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4442FC">
      <w:pPr>
        <w:pStyle w:val="16"/>
        <w:jc w:val="center"/>
        <w:outlineLvl w:val="0"/>
        <w:rPr>
          <w:rFonts w:hint="default" w:ascii="Times New Roman" w:hAnsi="Times New Roman" w:eastAsia="黑体" w:cs="Times New Roman"/>
          <w:snapToGrid w:val="0"/>
          <w:color w:val="000000" w:themeColor="text1"/>
          <w:sz w:val="30"/>
          <w:szCs w:val="30"/>
          <w:highlight w:val="none"/>
          <w14:textFill>
            <w14:solidFill>
              <w14:schemeClr w14:val="tx1"/>
            </w14:solidFill>
          </w14:textFill>
        </w:rPr>
        <w:sectPr>
          <w:footerReference r:id="rId3"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r>
        <w:drawing>
          <wp:inline distT="0" distB="0" distL="114300" distR="114300">
            <wp:extent cx="5728335" cy="7630795"/>
            <wp:effectExtent l="0" t="0" r="5715" b="8255"/>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3"/>
                    <a:srcRect l="11339" t="2672" r="5545" b="4633"/>
                    <a:stretch>
                      <a:fillRect/>
                    </a:stretch>
                  </pic:blipFill>
                  <pic:spPr>
                    <a:xfrm>
                      <a:off x="0" y="0"/>
                      <a:ext cx="5728335" cy="7630795"/>
                    </a:xfrm>
                    <a:prstGeom prst="rect">
                      <a:avLst/>
                    </a:prstGeom>
                    <a:noFill/>
                    <a:ln>
                      <a:noFill/>
                    </a:ln>
                  </pic:spPr>
                </pic:pic>
              </a:graphicData>
            </a:graphic>
          </wp:inline>
        </w:drawing>
      </w:r>
    </w:p>
    <w:p w14:paraId="64D8A8DB">
      <w:pPr>
        <w:pStyle w:val="16"/>
        <w:jc w:val="center"/>
        <w:outlineLvl w:val="0"/>
        <w:rPr>
          <w:rFonts w:hint="default" w:ascii="Times New Roman" w:hAnsi="Times New Roman" w:eastAsia="黑体" w:cs="Times New Roman"/>
          <w:snapToGrid w:val="0"/>
          <w:color w:val="000000" w:themeColor="text1"/>
          <w:sz w:val="30"/>
          <w:szCs w:val="30"/>
          <w:highlight w:val="none"/>
          <w14:textFill>
            <w14:solidFill>
              <w14:schemeClr w14:val="tx1"/>
            </w14:solidFill>
          </w14:textFill>
        </w:rPr>
        <w:sectPr>
          <w:footerReference r:id="rId4"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r>
        <w:drawing>
          <wp:inline distT="0" distB="0" distL="114300" distR="114300">
            <wp:extent cx="5615305" cy="7597140"/>
            <wp:effectExtent l="0" t="0" r="4445" b="3810"/>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14"/>
                    <a:stretch>
                      <a:fillRect/>
                    </a:stretch>
                  </pic:blipFill>
                  <pic:spPr>
                    <a:xfrm>
                      <a:off x="0" y="0"/>
                      <a:ext cx="5615305" cy="7597140"/>
                    </a:xfrm>
                    <a:prstGeom prst="rect">
                      <a:avLst/>
                    </a:prstGeom>
                    <a:noFill/>
                    <a:ln>
                      <a:noFill/>
                    </a:ln>
                  </pic:spPr>
                </pic:pic>
              </a:graphicData>
            </a:graphic>
          </wp:inline>
        </w:drawing>
      </w:r>
    </w:p>
    <w:p w14:paraId="77E42BD6">
      <w:pPr>
        <w:pStyle w:val="16"/>
        <w:jc w:val="center"/>
        <w:outlineLvl w:val="0"/>
      </w:pPr>
      <w:r>
        <w:drawing>
          <wp:inline distT="0" distB="0" distL="114300" distR="114300">
            <wp:extent cx="5612765" cy="7530465"/>
            <wp:effectExtent l="0" t="0" r="6985" b="13335"/>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15"/>
                    <a:stretch>
                      <a:fillRect/>
                    </a:stretch>
                  </pic:blipFill>
                  <pic:spPr>
                    <a:xfrm>
                      <a:off x="0" y="0"/>
                      <a:ext cx="5612765" cy="7530465"/>
                    </a:xfrm>
                    <a:prstGeom prst="rect">
                      <a:avLst/>
                    </a:prstGeom>
                    <a:noFill/>
                    <a:ln>
                      <a:noFill/>
                    </a:ln>
                  </pic:spPr>
                </pic:pic>
              </a:graphicData>
            </a:graphic>
          </wp:inline>
        </w:drawing>
      </w:r>
    </w:p>
    <w:p w14:paraId="3AABD071">
      <w:pPr>
        <w:pStyle w:val="16"/>
        <w:jc w:val="center"/>
        <w:outlineLvl w:val="0"/>
      </w:pPr>
    </w:p>
    <w:p w14:paraId="17485E21">
      <w:pPr>
        <w:pStyle w:val="16"/>
        <w:jc w:val="center"/>
        <w:outlineLvl w:val="0"/>
      </w:pPr>
    </w:p>
    <w:p w14:paraId="401ACB5E">
      <w:pPr>
        <w:pStyle w:val="16"/>
        <w:jc w:val="center"/>
        <w:outlineLvl w:val="0"/>
      </w:pPr>
      <w:r>
        <w:drawing>
          <wp:inline distT="0" distB="0" distL="114300" distR="114300">
            <wp:extent cx="5614670" cy="7369175"/>
            <wp:effectExtent l="0" t="0" r="5080" b="3175"/>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16"/>
                    <a:stretch>
                      <a:fillRect/>
                    </a:stretch>
                  </pic:blipFill>
                  <pic:spPr>
                    <a:xfrm>
                      <a:off x="0" y="0"/>
                      <a:ext cx="5614670" cy="7369175"/>
                    </a:xfrm>
                    <a:prstGeom prst="rect">
                      <a:avLst/>
                    </a:prstGeom>
                    <a:noFill/>
                    <a:ln>
                      <a:noFill/>
                    </a:ln>
                  </pic:spPr>
                </pic:pic>
              </a:graphicData>
            </a:graphic>
          </wp:inline>
        </w:drawing>
      </w:r>
    </w:p>
    <w:p w14:paraId="6F78FB53">
      <w:pPr>
        <w:pStyle w:val="16"/>
        <w:jc w:val="center"/>
        <w:outlineLvl w:val="0"/>
        <w:rPr>
          <w:rFonts w:hint="default"/>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14:paraId="2ADC639F">
      <w:pPr>
        <w:pStyle w:val="16"/>
        <w:jc w:val="center"/>
        <w:outlineLvl w:val="0"/>
        <w:rPr>
          <w:rFonts w:hint="default" w:ascii="Times New Roman" w:hAnsi="Times New Roman" w:eastAsia="黑体" w:cs="Times New Roman"/>
          <w:snapToGrid w:val="0"/>
          <w:color w:val="000000" w:themeColor="text1"/>
          <w:sz w:val="30"/>
          <w:szCs w:val="30"/>
          <w:highlight w:val="none"/>
          <w14:textFill>
            <w14:solidFill>
              <w14:schemeClr w14:val="tx1"/>
            </w14:solidFill>
          </w14:textFill>
        </w:rPr>
      </w:pPr>
      <w:r>
        <w:rPr>
          <w:rFonts w:hint="default" w:ascii="Times New Roman" w:hAnsi="Times New Roman" w:eastAsia="黑体" w:cs="Times New Roman"/>
          <w:snapToGrid w:val="0"/>
          <w:color w:val="000000" w:themeColor="text1"/>
          <w:sz w:val="30"/>
          <w:szCs w:val="30"/>
          <w:highlight w:val="none"/>
          <w14:textFill>
            <w14:solidFill>
              <w14:schemeClr w14:val="tx1"/>
            </w14:solidFill>
          </w14:textFill>
        </w:rPr>
        <w:t>一、建设项目基本情况</w:t>
      </w:r>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769"/>
        <w:gridCol w:w="2250"/>
        <w:gridCol w:w="2212"/>
        <w:gridCol w:w="2639"/>
      </w:tblGrid>
      <w:tr w14:paraId="007D6F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69" w:type="dxa"/>
            <w:noWrap w:val="0"/>
            <w:tcMar>
              <w:top w:w="16" w:type="dxa"/>
              <w:left w:w="16" w:type="dxa"/>
              <w:right w:w="16" w:type="dxa"/>
            </w:tcMar>
            <w:vAlign w:val="center"/>
          </w:tcPr>
          <w:p w14:paraId="5476D757">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建设项目名称</w:t>
            </w:r>
          </w:p>
        </w:tc>
        <w:tc>
          <w:tcPr>
            <w:tcW w:w="7101" w:type="dxa"/>
            <w:gridSpan w:val="3"/>
            <w:noWrap w:val="0"/>
            <w:vAlign w:val="center"/>
          </w:tcPr>
          <w:p w14:paraId="47347E9B">
            <w:pPr>
              <w:adjustRightInd w:val="0"/>
              <w:snapToGri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渝爱动物医院建设项目</w:t>
            </w:r>
          </w:p>
        </w:tc>
      </w:tr>
      <w:tr w14:paraId="01A491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69" w:type="dxa"/>
            <w:noWrap w:val="0"/>
            <w:tcMar>
              <w:top w:w="16" w:type="dxa"/>
              <w:left w:w="16" w:type="dxa"/>
              <w:right w:w="16" w:type="dxa"/>
            </w:tcMar>
            <w:vAlign w:val="center"/>
          </w:tcPr>
          <w:p w14:paraId="251FD5E3">
            <w:pPr>
              <w:adjustRightInd w:val="0"/>
              <w:snapToGrid w:val="0"/>
              <w:jc w:val="center"/>
              <w:rPr>
                <w:rFonts w:hint="default" w:cs="Times New Roman"/>
                <w:color w:val="auto"/>
                <w:szCs w:val="21"/>
                <w:highlight w:val="none"/>
                <w:lang w:val="en-US" w:eastAsia="zh-CN"/>
              </w:rPr>
            </w:pPr>
            <w:r>
              <w:rPr>
                <w:rFonts w:hint="default" w:cs="Times New Roman"/>
                <w:color w:val="auto"/>
                <w:szCs w:val="21"/>
                <w:highlight w:val="none"/>
                <w:lang w:val="en-US" w:eastAsia="zh-CN"/>
              </w:rPr>
              <w:t>项目代码</w:t>
            </w:r>
          </w:p>
        </w:tc>
        <w:tc>
          <w:tcPr>
            <w:tcW w:w="7101" w:type="dxa"/>
            <w:gridSpan w:val="3"/>
            <w:noWrap w:val="0"/>
            <w:vAlign w:val="center"/>
          </w:tcPr>
          <w:p w14:paraId="349A28D0">
            <w:pPr>
              <w:adjustRightInd w:val="0"/>
              <w:snapToGrid w:val="0"/>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2507-500107-04-03-466402</w:t>
            </w:r>
          </w:p>
        </w:tc>
      </w:tr>
      <w:tr w14:paraId="74FC5B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69" w:type="dxa"/>
            <w:noWrap w:val="0"/>
            <w:tcMar>
              <w:top w:w="16" w:type="dxa"/>
              <w:left w:w="16" w:type="dxa"/>
              <w:right w:w="16" w:type="dxa"/>
            </w:tcMar>
            <w:vAlign w:val="center"/>
          </w:tcPr>
          <w:p w14:paraId="4402D77E">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建设单位联系人</w:t>
            </w:r>
          </w:p>
        </w:tc>
        <w:tc>
          <w:tcPr>
            <w:tcW w:w="2250" w:type="dxa"/>
            <w:noWrap w:val="0"/>
            <w:vAlign w:val="center"/>
          </w:tcPr>
          <w:p w14:paraId="0CC9CD04">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夏**</w:t>
            </w:r>
          </w:p>
        </w:tc>
        <w:tc>
          <w:tcPr>
            <w:tcW w:w="2212" w:type="dxa"/>
            <w:noWrap w:val="0"/>
            <w:vAlign w:val="center"/>
          </w:tcPr>
          <w:p w14:paraId="13C817C6">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联系方式</w:t>
            </w:r>
          </w:p>
        </w:tc>
        <w:tc>
          <w:tcPr>
            <w:tcW w:w="2639" w:type="dxa"/>
            <w:noWrap w:val="0"/>
            <w:vAlign w:val="center"/>
          </w:tcPr>
          <w:p w14:paraId="7AE604A7">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17*******</w:t>
            </w:r>
            <w:bookmarkStart w:id="1" w:name="_GoBack"/>
            <w:bookmarkEnd w:id="1"/>
            <w:r>
              <w:rPr>
                <w:rFonts w:hint="eastAsia" w:cs="Times New Roman"/>
                <w:color w:val="auto"/>
                <w:szCs w:val="21"/>
                <w:highlight w:val="none"/>
                <w:lang w:val="en-US" w:eastAsia="zh-CN"/>
              </w:rPr>
              <w:t>59</w:t>
            </w:r>
          </w:p>
        </w:tc>
      </w:tr>
      <w:tr w14:paraId="1B34EC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69" w:type="dxa"/>
            <w:noWrap w:val="0"/>
            <w:tcMar>
              <w:top w:w="16" w:type="dxa"/>
              <w:left w:w="16" w:type="dxa"/>
              <w:right w:w="16" w:type="dxa"/>
            </w:tcMar>
            <w:vAlign w:val="center"/>
          </w:tcPr>
          <w:p w14:paraId="25ADD660">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建设地点</w:t>
            </w:r>
          </w:p>
        </w:tc>
        <w:tc>
          <w:tcPr>
            <w:tcW w:w="7101" w:type="dxa"/>
            <w:gridSpan w:val="3"/>
            <w:noWrap w:val="0"/>
            <w:vAlign w:val="center"/>
          </w:tcPr>
          <w:p w14:paraId="58E0A576">
            <w:pPr>
              <w:adjustRightInd w:val="0"/>
              <w:snapToGrid w:val="0"/>
              <w:jc w:val="center"/>
              <w:rPr>
                <w:rFonts w:hint="default" w:ascii="Times New Roman" w:hAnsi="Times New Roman" w:cs="Times New Roman"/>
                <w:color w:val="auto"/>
                <w:szCs w:val="21"/>
                <w:highlight w:val="none"/>
                <w:lang w:val="en-US"/>
              </w:rPr>
            </w:pPr>
            <w:r>
              <w:rPr>
                <w:rFonts w:hint="eastAsia" w:cs="Times New Roman"/>
                <w:color w:val="auto"/>
                <w:szCs w:val="21"/>
                <w:highlight w:val="none"/>
                <w:lang w:val="en-US" w:eastAsia="zh-CN"/>
              </w:rPr>
              <w:t>重庆市九龙坡区二郎街道火炬大道100号附24号及附23-2号</w:t>
            </w:r>
          </w:p>
        </w:tc>
      </w:tr>
      <w:tr w14:paraId="5B615C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69" w:type="dxa"/>
            <w:noWrap w:val="0"/>
            <w:tcMar>
              <w:top w:w="16" w:type="dxa"/>
              <w:left w:w="16" w:type="dxa"/>
              <w:right w:w="16" w:type="dxa"/>
            </w:tcMar>
            <w:vAlign w:val="center"/>
          </w:tcPr>
          <w:p w14:paraId="3F6C527A">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地理坐标</w:t>
            </w:r>
          </w:p>
        </w:tc>
        <w:tc>
          <w:tcPr>
            <w:tcW w:w="7101" w:type="dxa"/>
            <w:gridSpan w:val="3"/>
            <w:noWrap w:val="0"/>
            <w:vAlign w:val="center"/>
          </w:tcPr>
          <w:p w14:paraId="2C133DAC">
            <w:pPr>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lang w:val="en-US" w:eastAsia="zh-CN"/>
              </w:rPr>
              <w:t>东经</w:t>
            </w:r>
            <w:r>
              <w:rPr>
                <w:rFonts w:hint="eastAsia" w:ascii="Times New Roman" w:hAnsi="Times New Roman" w:cs="Times New Roman"/>
                <w:color w:val="auto"/>
                <w:szCs w:val="21"/>
              </w:rPr>
              <w:t>10</w:t>
            </w:r>
            <w:r>
              <w:rPr>
                <w:rFonts w:hint="eastAsia" w:ascii="Times New Roman" w:hAnsi="Times New Roman" w:cs="Times New Roman"/>
                <w:color w:val="auto"/>
                <w:szCs w:val="21"/>
                <w:lang w:val="en-US" w:eastAsia="zh-CN"/>
              </w:rPr>
              <w:t>6</w:t>
            </w:r>
            <w:r>
              <w:rPr>
                <w:rFonts w:hint="eastAsia" w:ascii="Times New Roman" w:hAnsi="Times New Roman" w:cs="Times New Roman"/>
                <w:color w:val="auto"/>
                <w:szCs w:val="21"/>
              </w:rPr>
              <w:t>°</w:t>
            </w:r>
            <w:r>
              <w:rPr>
                <w:rFonts w:hint="eastAsia" w:cs="Times New Roman"/>
                <w:color w:val="auto"/>
                <w:szCs w:val="21"/>
                <w:lang w:val="en-US" w:eastAsia="zh-CN"/>
              </w:rPr>
              <w:t>27</w:t>
            </w:r>
            <w:r>
              <w:rPr>
                <w:rFonts w:hint="eastAsia" w:ascii="Times New Roman" w:hAnsi="Times New Roman" w:cs="Times New Roman"/>
                <w:color w:val="auto"/>
                <w:szCs w:val="21"/>
              </w:rPr>
              <w:t>′</w:t>
            </w:r>
            <w:r>
              <w:rPr>
                <w:rFonts w:hint="eastAsia" w:cs="Times New Roman"/>
                <w:color w:val="auto"/>
                <w:szCs w:val="21"/>
                <w:lang w:val="en-US" w:eastAsia="zh-CN"/>
              </w:rPr>
              <w:t>48.284</w:t>
            </w:r>
            <w:r>
              <w:rPr>
                <w:rFonts w:hint="eastAsia" w:ascii="Times New Roman" w:hAnsi="Times New Roman" w:cs="Times New Roman"/>
                <w:color w:val="auto"/>
                <w:szCs w:val="21"/>
              </w:rPr>
              <w:t>″</w:t>
            </w:r>
            <w:r>
              <w:rPr>
                <w:rFonts w:ascii="Times New Roman" w:hAnsi="Times New Roman" w:cs="Times New Roman"/>
                <w:color w:val="auto"/>
                <w:szCs w:val="21"/>
              </w:rPr>
              <w:t>，</w:t>
            </w:r>
            <w:r>
              <w:rPr>
                <w:rFonts w:hint="eastAsia" w:ascii="Times New Roman" w:hAnsi="Times New Roman" w:cs="Times New Roman"/>
                <w:color w:val="auto"/>
                <w:szCs w:val="21"/>
                <w:lang w:val="en-US" w:eastAsia="zh-CN"/>
              </w:rPr>
              <w:t>北纬29</w:t>
            </w:r>
            <w:r>
              <w:rPr>
                <w:rFonts w:hint="eastAsia" w:ascii="Times New Roman" w:hAnsi="Times New Roman" w:cs="Times New Roman"/>
                <w:color w:val="auto"/>
                <w:szCs w:val="21"/>
              </w:rPr>
              <w:t>°</w:t>
            </w:r>
            <w:r>
              <w:rPr>
                <w:rFonts w:hint="eastAsia" w:cs="Times New Roman"/>
                <w:color w:val="auto"/>
                <w:szCs w:val="21"/>
                <w:lang w:val="en-US" w:eastAsia="zh-CN"/>
              </w:rPr>
              <w:t>30</w:t>
            </w:r>
            <w:r>
              <w:rPr>
                <w:rFonts w:hint="eastAsia" w:ascii="Times New Roman" w:hAnsi="Times New Roman" w:cs="Times New Roman"/>
                <w:color w:val="auto"/>
                <w:szCs w:val="21"/>
              </w:rPr>
              <w:t>′</w:t>
            </w:r>
            <w:r>
              <w:rPr>
                <w:rFonts w:hint="eastAsia" w:cs="Times New Roman"/>
                <w:color w:val="auto"/>
                <w:szCs w:val="21"/>
                <w:lang w:val="en-US" w:eastAsia="zh-CN"/>
              </w:rPr>
              <w:t>21.419</w:t>
            </w:r>
            <w:r>
              <w:rPr>
                <w:rFonts w:hint="eastAsia" w:ascii="Times New Roman" w:hAnsi="Times New Roman" w:cs="Times New Roman"/>
                <w:color w:val="auto"/>
                <w:szCs w:val="21"/>
              </w:rPr>
              <w:t>″</w:t>
            </w:r>
          </w:p>
        </w:tc>
      </w:tr>
      <w:tr w14:paraId="633440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769" w:type="dxa"/>
            <w:noWrap w:val="0"/>
            <w:tcMar>
              <w:top w:w="16" w:type="dxa"/>
              <w:left w:w="16" w:type="dxa"/>
              <w:right w:w="16" w:type="dxa"/>
            </w:tcMar>
            <w:vAlign w:val="center"/>
          </w:tcPr>
          <w:p w14:paraId="65BE0B3D">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国民经济</w:t>
            </w:r>
          </w:p>
          <w:p w14:paraId="67FF21AF">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行业类别</w:t>
            </w:r>
          </w:p>
        </w:tc>
        <w:tc>
          <w:tcPr>
            <w:tcW w:w="2250" w:type="dxa"/>
            <w:noWrap w:val="0"/>
            <w:vAlign w:val="center"/>
          </w:tcPr>
          <w:p w14:paraId="08C524B3">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O822</w:t>
            </w:r>
            <w:r>
              <w:rPr>
                <w:rFonts w:hint="eastAsia" w:cs="Times New Roman"/>
                <w:color w:val="auto"/>
                <w:szCs w:val="21"/>
                <w:highlight w:val="none"/>
                <w:lang w:val="en-US" w:eastAsia="zh-CN"/>
              </w:rPr>
              <w:t>2宠物医院服务</w:t>
            </w:r>
          </w:p>
        </w:tc>
        <w:tc>
          <w:tcPr>
            <w:tcW w:w="2212" w:type="dxa"/>
            <w:noWrap w:val="0"/>
            <w:vAlign w:val="center"/>
          </w:tcPr>
          <w:p w14:paraId="55B75253">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建设项目</w:t>
            </w:r>
          </w:p>
          <w:p w14:paraId="54EFD45F">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行业类别</w:t>
            </w:r>
          </w:p>
        </w:tc>
        <w:tc>
          <w:tcPr>
            <w:tcW w:w="2639" w:type="dxa"/>
            <w:noWrap w:val="0"/>
            <w:vAlign w:val="center"/>
          </w:tcPr>
          <w:p w14:paraId="4354C6CC">
            <w:pPr>
              <w:adjustRightInd w:val="0"/>
              <w:snapToGrid w:val="0"/>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五十、社会事业与服务业 123动物医院</w:t>
            </w:r>
          </w:p>
        </w:tc>
      </w:tr>
      <w:tr w14:paraId="418D79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769" w:type="dxa"/>
            <w:noWrap w:val="0"/>
            <w:tcMar>
              <w:top w:w="16" w:type="dxa"/>
              <w:left w:w="16" w:type="dxa"/>
              <w:right w:w="16" w:type="dxa"/>
            </w:tcMar>
            <w:vAlign w:val="center"/>
          </w:tcPr>
          <w:p w14:paraId="77CE6C45">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建设性质</w:t>
            </w:r>
          </w:p>
        </w:tc>
        <w:tc>
          <w:tcPr>
            <w:tcW w:w="2250" w:type="dxa"/>
            <w:noWrap w:val="0"/>
            <w:vAlign w:val="center"/>
          </w:tcPr>
          <w:p w14:paraId="5F631645">
            <w:pPr>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sym w:font="Wingdings 2" w:char="00A3"/>
            </w:r>
            <w:r>
              <w:rPr>
                <w:rFonts w:hint="default" w:ascii="Times New Roman" w:hAnsi="Times New Roman" w:cs="Times New Roman"/>
                <w:color w:val="auto"/>
                <w:szCs w:val="21"/>
                <w:highlight w:val="none"/>
              </w:rPr>
              <w:t>新建（迁建）</w:t>
            </w:r>
          </w:p>
          <w:p w14:paraId="52A6F7E1">
            <w:pPr>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sym w:font="Wingdings 2" w:char="00A3"/>
            </w:r>
            <w:r>
              <w:rPr>
                <w:rFonts w:hint="default" w:ascii="Times New Roman" w:hAnsi="Times New Roman" w:cs="Times New Roman"/>
                <w:color w:val="auto"/>
                <w:szCs w:val="21"/>
                <w:highlight w:val="none"/>
              </w:rPr>
              <w:t>改建</w:t>
            </w:r>
          </w:p>
          <w:p w14:paraId="13216234">
            <w:pPr>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扩建</w:t>
            </w:r>
          </w:p>
          <w:p w14:paraId="2EB6A43F">
            <w:pPr>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sym w:font="Wingdings 2" w:char="00A3"/>
            </w:r>
            <w:r>
              <w:rPr>
                <w:rFonts w:hint="default" w:ascii="Times New Roman" w:hAnsi="Times New Roman" w:cs="Times New Roman"/>
                <w:color w:val="auto"/>
                <w:szCs w:val="21"/>
                <w:highlight w:val="none"/>
              </w:rPr>
              <w:t>技术改造</w:t>
            </w:r>
          </w:p>
        </w:tc>
        <w:tc>
          <w:tcPr>
            <w:tcW w:w="2212" w:type="dxa"/>
            <w:noWrap w:val="0"/>
            <w:vAlign w:val="center"/>
          </w:tcPr>
          <w:p w14:paraId="692E83D0">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建设项目</w:t>
            </w:r>
          </w:p>
          <w:p w14:paraId="553D1737">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申报情形</w:t>
            </w:r>
          </w:p>
        </w:tc>
        <w:tc>
          <w:tcPr>
            <w:tcW w:w="2639" w:type="dxa"/>
            <w:noWrap w:val="0"/>
            <w:vAlign w:val="center"/>
          </w:tcPr>
          <w:p w14:paraId="74D1F8BA">
            <w:pPr>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sym w:font="Wingdings 2" w:char="0052"/>
            </w:r>
            <w:r>
              <w:rPr>
                <w:rFonts w:hint="default" w:ascii="Times New Roman" w:hAnsi="Times New Roman" w:cs="Times New Roman"/>
                <w:color w:val="auto"/>
                <w:szCs w:val="21"/>
                <w:highlight w:val="none"/>
              </w:rPr>
              <w:t xml:space="preserve">首次申报项目             </w:t>
            </w:r>
          </w:p>
          <w:p w14:paraId="59AB295C">
            <w:pPr>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sym w:font="Wingdings 2" w:char="00A3"/>
            </w:r>
            <w:r>
              <w:rPr>
                <w:rFonts w:hint="default" w:ascii="Times New Roman" w:hAnsi="Times New Roman" w:cs="Times New Roman"/>
                <w:color w:val="auto"/>
                <w:szCs w:val="21"/>
                <w:highlight w:val="none"/>
              </w:rPr>
              <w:t>不予批准后再次申报项目</w:t>
            </w:r>
          </w:p>
          <w:p w14:paraId="048BC264">
            <w:pPr>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sym w:font="Wingdings 2" w:char="00A3"/>
            </w:r>
            <w:r>
              <w:rPr>
                <w:rFonts w:hint="default" w:ascii="Times New Roman" w:hAnsi="Times New Roman" w:cs="Times New Roman"/>
                <w:color w:val="auto"/>
                <w:szCs w:val="21"/>
                <w:highlight w:val="none"/>
              </w:rPr>
              <w:t xml:space="preserve">超五年重新审核项目     </w:t>
            </w:r>
          </w:p>
          <w:p w14:paraId="69F77F02">
            <w:pPr>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sym w:font="Wingdings 2" w:char="00A3"/>
            </w:r>
            <w:r>
              <w:rPr>
                <w:rFonts w:hint="default" w:ascii="Times New Roman" w:hAnsi="Times New Roman" w:cs="Times New Roman"/>
                <w:color w:val="auto"/>
                <w:szCs w:val="21"/>
                <w:highlight w:val="none"/>
              </w:rPr>
              <w:t>重大变动重新报批项目</w:t>
            </w:r>
          </w:p>
        </w:tc>
      </w:tr>
      <w:tr w14:paraId="152A21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769" w:type="dxa"/>
            <w:noWrap w:val="0"/>
            <w:tcMar>
              <w:top w:w="16" w:type="dxa"/>
              <w:left w:w="16" w:type="dxa"/>
              <w:right w:w="16" w:type="dxa"/>
            </w:tcMar>
            <w:vAlign w:val="center"/>
          </w:tcPr>
          <w:p w14:paraId="6A3AEB3A">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项目审批（核准/</w:t>
            </w:r>
          </w:p>
          <w:p w14:paraId="4E790CEE">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备案）部门（选填）</w:t>
            </w:r>
          </w:p>
        </w:tc>
        <w:tc>
          <w:tcPr>
            <w:tcW w:w="2250" w:type="dxa"/>
            <w:noWrap w:val="0"/>
            <w:vAlign w:val="center"/>
          </w:tcPr>
          <w:p w14:paraId="720542E2">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重庆市九龙坡区发展和改革委员会</w:t>
            </w:r>
          </w:p>
        </w:tc>
        <w:tc>
          <w:tcPr>
            <w:tcW w:w="2212" w:type="dxa"/>
            <w:noWrap w:val="0"/>
            <w:vAlign w:val="center"/>
          </w:tcPr>
          <w:p w14:paraId="11347878">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项目审批（核准/</w:t>
            </w:r>
          </w:p>
          <w:p w14:paraId="471C8D5A">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备案）文号（选填）</w:t>
            </w:r>
          </w:p>
        </w:tc>
        <w:tc>
          <w:tcPr>
            <w:tcW w:w="2639" w:type="dxa"/>
            <w:noWrap w:val="0"/>
            <w:vAlign w:val="center"/>
          </w:tcPr>
          <w:p w14:paraId="08DEF864">
            <w:pPr>
              <w:adjustRightInd w:val="0"/>
              <w:snapToGrid w:val="0"/>
              <w:jc w:val="center"/>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2507-500107-04-03-466402</w:t>
            </w:r>
          </w:p>
        </w:tc>
      </w:tr>
      <w:tr w14:paraId="2B42A0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69" w:type="dxa"/>
            <w:noWrap w:val="0"/>
            <w:tcMar>
              <w:top w:w="16" w:type="dxa"/>
              <w:left w:w="16" w:type="dxa"/>
              <w:right w:w="16" w:type="dxa"/>
            </w:tcMar>
            <w:vAlign w:val="center"/>
          </w:tcPr>
          <w:p w14:paraId="6CAB1A8A">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总投资（万元）</w:t>
            </w:r>
          </w:p>
        </w:tc>
        <w:tc>
          <w:tcPr>
            <w:tcW w:w="2250" w:type="dxa"/>
            <w:noWrap w:val="0"/>
            <w:vAlign w:val="center"/>
          </w:tcPr>
          <w:p w14:paraId="7FFC1FCD">
            <w:pPr>
              <w:adjustRightInd w:val="0"/>
              <w:snapToGri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10</w:t>
            </w:r>
          </w:p>
        </w:tc>
        <w:tc>
          <w:tcPr>
            <w:tcW w:w="2212" w:type="dxa"/>
            <w:noWrap w:val="0"/>
            <w:tcMar>
              <w:top w:w="16" w:type="dxa"/>
              <w:left w:w="16" w:type="dxa"/>
              <w:right w:w="16" w:type="dxa"/>
            </w:tcMar>
            <w:vAlign w:val="center"/>
          </w:tcPr>
          <w:p w14:paraId="6FEBAB8B">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环保投资（万元）</w:t>
            </w:r>
          </w:p>
        </w:tc>
        <w:tc>
          <w:tcPr>
            <w:tcW w:w="2639" w:type="dxa"/>
            <w:noWrap w:val="0"/>
            <w:vAlign w:val="center"/>
          </w:tcPr>
          <w:p w14:paraId="5DBCA5B0">
            <w:pPr>
              <w:adjustRightInd w:val="0"/>
              <w:snapToGrid w:val="0"/>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1</w:t>
            </w:r>
          </w:p>
        </w:tc>
      </w:tr>
      <w:tr w14:paraId="2317D8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69" w:type="dxa"/>
            <w:noWrap w:val="0"/>
            <w:tcMar>
              <w:top w:w="16" w:type="dxa"/>
              <w:left w:w="16" w:type="dxa"/>
              <w:right w:w="16" w:type="dxa"/>
            </w:tcMar>
            <w:vAlign w:val="center"/>
          </w:tcPr>
          <w:p w14:paraId="0FC077F2">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环保投资占比（%）</w:t>
            </w:r>
          </w:p>
        </w:tc>
        <w:tc>
          <w:tcPr>
            <w:tcW w:w="2250" w:type="dxa"/>
            <w:noWrap w:val="0"/>
            <w:vAlign w:val="center"/>
          </w:tcPr>
          <w:p w14:paraId="2E71ACF3">
            <w:pPr>
              <w:adjustRightInd w:val="0"/>
              <w:snapToGri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10</w:t>
            </w:r>
          </w:p>
        </w:tc>
        <w:tc>
          <w:tcPr>
            <w:tcW w:w="2212" w:type="dxa"/>
            <w:noWrap w:val="0"/>
            <w:tcMar>
              <w:top w:w="16" w:type="dxa"/>
              <w:left w:w="16" w:type="dxa"/>
              <w:right w:w="16" w:type="dxa"/>
            </w:tcMar>
            <w:vAlign w:val="center"/>
          </w:tcPr>
          <w:p w14:paraId="192F1F3E">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施工工期</w:t>
            </w:r>
          </w:p>
        </w:tc>
        <w:tc>
          <w:tcPr>
            <w:tcW w:w="2639" w:type="dxa"/>
            <w:noWrap w:val="0"/>
            <w:vAlign w:val="center"/>
          </w:tcPr>
          <w:p w14:paraId="2A07F930">
            <w:pPr>
              <w:adjustRightInd w:val="0"/>
              <w:snapToGrid w:val="0"/>
              <w:jc w:val="center"/>
              <w:rPr>
                <w:rFonts w:hint="eastAsia" w:ascii="Times New Roman" w:hAnsi="Times New Roman" w:eastAsia="宋体" w:cs="Times New Roman"/>
                <w:color w:val="000000" w:themeColor="text1"/>
                <w:szCs w:val="21"/>
                <w:highlight w:val="none"/>
                <w:lang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1</w:t>
            </w:r>
          </w:p>
        </w:tc>
      </w:tr>
      <w:tr w14:paraId="5964B8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69" w:type="dxa"/>
            <w:noWrap w:val="0"/>
            <w:tcMar>
              <w:top w:w="16" w:type="dxa"/>
              <w:left w:w="16" w:type="dxa"/>
              <w:right w:w="16" w:type="dxa"/>
            </w:tcMar>
            <w:vAlign w:val="center"/>
          </w:tcPr>
          <w:p w14:paraId="400EE3AE">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是否开工建设</w:t>
            </w:r>
          </w:p>
        </w:tc>
        <w:tc>
          <w:tcPr>
            <w:tcW w:w="2250" w:type="dxa"/>
            <w:noWrap w:val="0"/>
            <w:vAlign w:val="center"/>
          </w:tcPr>
          <w:p w14:paraId="70024CCD">
            <w:pPr>
              <w:adjustRightInd w:val="0"/>
              <w:snapToGrid w:val="0"/>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sym w:font="Wingdings 2" w:char="0052"/>
            </w:r>
            <w:r>
              <w:rPr>
                <w:rFonts w:hint="default" w:ascii="Times New Roman" w:hAnsi="Times New Roman" w:cs="Times New Roman"/>
                <w:color w:val="000000" w:themeColor="text1"/>
                <w:szCs w:val="21"/>
                <w:highlight w:val="none"/>
                <w14:textFill>
                  <w14:solidFill>
                    <w14:schemeClr w14:val="tx1"/>
                  </w14:solidFill>
                </w14:textFill>
              </w:rPr>
              <w:t>否</w:t>
            </w:r>
          </w:p>
          <w:p w14:paraId="728BADF4">
            <w:pPr>
              <w:adjustRightInd w:val="0"/>
              <w:snapToGrid w:val="0"/>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sym w:font="Wingdings 2" w:char="00A3"/>
            </w:r>
            <w:r>
              <w:rPr>
                <w:rFonts w:hint="default" w:ascii="Times New Roman" w:hAnsi="Times New Roman" w:cs="Times New Roman"/>
                <w:color w:val="000000" w:themeColor="text1"/>
                <w:szCs w:val="21"/>
                <w:highlight w:val="none"/>
                <w14:textFill>
                  <w14:solidFill>
                    <w14:schemeClr w14:val="tx1"/>
                  </w14:solidFill>
                </w14:textFill>
              </w:rPr>
              <w:t>是</w:t>
            </w:r>
          </w:p>
        </w:tc>
        <w:tc>
          <w:tcPr>
            <w:tcW w:w="2212" w:type="dxa"/>
            <w:noWrap w:val="0"/>
            <w:tcMar>
              <w:top w:w="16" w:type="dxa"/>
              <w:left w:w="16" w:type="dxa"/>
              <w:right w:w="16" w:type="dxa"/>
            </w:tcMar>
            <w:vAlign w:val="center"/>
          </w:tcPr>
          <w:p w14:paraId="53DC3AE3">
            <w:pPr>
              <w:adjustRightInd w:val="0"/>
              <w:snapToGrid w:val="0"/>
              <w:jc w:val="center"/>
              <w:rPr>
                <w:rFonts w:hint="default" w:ascii="Times New Roman" w:hAnsi="Times New Roman" w:cs="Times New Roman"/>
                <w:color w:val="000000" w:themeColor="text1"/>
                <w:spacing w:val="-6"/>
                <w:szCs w:val="21"/>
                <w:highlight w:val="none"/>
                <w14:textFill>
                  <w14:solidFill>
                    <w14:schemeClr w14:val="tx1"/>
                  </w14:solidFill>
                </w14:textFill>
              </w:rPr>
            </w:pPr>
            <w:r>
              <w:rPr>
                <w:rFonts w:hint="default" w:ascii="Times New Roman" w:hAnsi="Times New Roman" w:cs="Times New Roman"/>
                <w:color w:val="000000" w:themeColor="text1"/>
                <w:spacing w:val="-6"/>
                <w:szCs w:val="21"/>
                <w:highlight w:val="none"/>
                <w14:textFill>
                  <w14:solidFill>
                    <w14:schemeClr w14:val="tx1"/>
                  </w14:solidFill>
                </w14:textFill>
              </w:rPr>
              <w:t>用地（用海）</w:t>
            </w:r>
          </w:p>
          <w:p w14:paraId="2FAD801D">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pacing w:val="-6"/>
                <w:szCs w:val="21"/>
                <w:highlight w:val="none"/>
                <w14:textFill>
                  <w14:solidFill>
                    <w14:schemeClr w14:val="tx1"/>
                  </w14:solidFill>
                </w14:textFill>
              </w:rPr>
              <w:t>面积（m</w:t>
            </w:r>
            <w:r>
              <w:rPr>
                <w:rFonts w:hint="default" w:ascii="Times New Roman" w:hAnsi="Times New Roman" w:cs="Times New Roman"/>
                <w:color w:val="000000" w:themeColor="text1"/>
                <w:spacing w:val="-6"/>
                <w:szCs w:val="21"/>
                <w:highlight w:val="none"/>
                <w:vertAlign w:val="superscript"/>
                <w14:textFill>
                  <w14:solidFill>
                    <w14:schemeClr w14:val="tx1"/>
                  </w14:solidFill>
                </w14:textFill>
              </w:rPr>
              <w:t>2</w:t>
            </w:r>
            <w:r>
              <w:rPr>
                <w:rFonts w:hint="default" w:ascii="Times New Roman" w:hAnsi="Times New Roman" w:cs="Times New Roman"/>
                <w:color w:val="000000" w:themeColor="text1"/>
                <w:spacing w:val="-6"/>
                <w:szCs w:val="21"/>
                <w:highlight w:val="none"/>
                <w14:textFill>
                  <w14:solidFill>
                    <w14:schemeClr w14:val="tx1"/>
                  </w14:solidFill>
                </w14:textFill>
              </w:rPr>
              <w:t>）</w:t>
            </w:r>
          </w:p>
        </w:tc>
        <w:tc>
          <w:tcPr>
            <w:tcW w:w="2639" w:type="dxa"/>
            <w:noWrap w:val="0"/>
            <w:vAlign w:val="center"/>
          </w:tcPr>
          <w:p w14:paraId="44E564B1">
            <w:pPr>
              <w:adjustRightInd w:val="0"/>
              <w:snapToGri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132.61</w:t>
            </w:r>
          </w:p>
        </w:tc>
      </w:tr>
      <w:tr w14:paraId="163956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769" w:type="dxa"/>
            <w:noWrap w:val="0"/>
            <w:vAlign w:val="center"/>
          </w:tcPr>
          <w:p w14:paraId="1A4C0065">
            <w:pPr>
              <w:autoSpaceDE w:val="0"/>
              <w:autoSpaceDN w:val="0"/>
              <w:adjustRightInd w:val="0"/>
              <w:snapToGrid w:val="0"/>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专项评价设置情况</w:t>
            </w:r>
          </w:p>
        </w:tc>
        <w:tc>
          <w:tcPr>
            <w:tcW w:w="7101" w:type="dxa"/>
            <w:gridSpan w:val="3"/>
            <w:noWrap w:val="0"/>
            <w:vAlign w:val="center"/>
          </w:tcPr>
          <w:p w14:paraId="1400CEA9">
            <w:pPr>
              <w:autoSpaceDE w:val="0"/>
              <w:autoSpaceDN w:val="0"/>
              <w:adjustRightInd w:val="0"/>
              <w:snapToGrid w:val="0"/>
              <w:jc w:val="center"/>
              <w:rPr>
                <w:rFonts w:hint="default" w:ascii="Times New Roman" w:hAnsi="Times New Roman" w:cs="Times New Roman"/>
                <w:b/>
                <w:bCs/>
                <w:color w:val="000000" w:themeColor="text1"/>
                <w:kern w:val="0"/>
                <w:szCs w:val="21"/>
                <w:highlight w:val="none"/>
                <w:vertAlign w:val="baseline"/>
                <w14:textFill>
                  <w14:solidFill>
                    <w14:schemeClr w14:val="tx1"/>
                  </w14:solidFill>
                </w14:textFill>
              </w:rPr>
            </w:pPr>
            <w:r>
              <w:rPr>
                <w:rFonts w:hint="default" w:ascii="Times New Roman" w:hAnsi="Times New Roman" w:cs="Times New Roman"/>
                <w:b/>
                <w:bCs/>
                <w:color w:val="000000" w:themeColor="text1"/>
                <w:kern w:val="0"/>
                <w:szCs w:val="21"/>
                <w:highlight w:val="none"/>
                <w14:textFill>
                  <w14:solidFill>
                    <w14:schemeClr w14:val="tx1"/>
                  </w14:solidFill>
                </w14:textFill>
              </w:rPr>
              <w:t>表</w:t>
            </w:r>
            <w:r>
              <w:rPr>
                <w:rFonts w:hint="eastAsia" w:cs="Times New Roman"/>
                <w:b/>
                <w:bCs/>
                <w:color w:val="000000" w:themeColor="text1"/>
                <w:kern w:val="0"/>
                <w:szCs w:val="21"/>
                <w:highlight w:val="none"/>
                <w:lang w:val="en-US" w:eastAsia="zh-CN"/>
                <w14:textFill>
                  <w14:solidFill>
                    <w14:schemeClr w14:val="tx1"/>
                  </w14:solidFill>
                </w14:textFill>
              </w:rPr>
              <w:t>1-1</w:t>
            </w:r>
            <w:r>
              <w:rPr>
                <w:rFonts w:hint="default" w:ascii="Times New Roman" w:hAnsi="Times New Roman" w:cs="Times New Roman"/>
                <w:b/>
                <w:bCs/>
                <w:color w:val="000000" w:themeColor="text1"/>
                <w:kern w:val="0"/>
                <w:szCs w:val="21"/>
                <w:highlight w:val="none"/>
                <w:lang w:val="en-US" w:eastAsia="zh-CN"/>
                <w14:textFill>
                  <w14:solidFill>
                    <w14:schemeClr w14:val="tx1"/>
                  </w14:solidFill>
                </w14:textFill>
              </w:rPr>
              <w:t xml:space="preserve"> </w:t>
            </w:r>
            <w:r>
              <w:rPr>
                <w:rFonts w:hint="default" w:ascii="Times New Roman" w:hAnsi="Times New Roman" w:cs="Times New Roman"/>
                <w:b/>
                <w:bCs/>
                <w:color w:val="000000" w:themeColor="text1"/>
                <w:kern w:val="0"/>
                <w:szCs w:val="21"/>
                <w:highlight w:val="none"/>
                <w14:textFill>
                  <w14:solidFill>
                    <w14:schemeClr w14:val="tx1"/>
                  </w14:solidFill>
                </w14:textFill>
              </w:rPr>
              <w:t>专项评价设置原则表</w:t>
            </w:r>
          </w:p>
          <w:tbl>
            <w:tblPr>
              <w:tblStyle w:val="21"/>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61"/>
              <w:gridCol w:w="3326"/>
              <w:gridCol w:w="2465"/>
            </w:tblGrid>
            <w:tr w14:paraId="3D3024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trPr>
              <w:tc>
                <w:tcPr>
                  <w:tcW w:w="774" w:type="pct"/>
                  <w:tcBorders>
                    <w:tl2br w:val="nil"/>
                    <w:tr2bl w:val="nil"/>
                  </w:tcBorders>
                  <w:noWrap w:val="0"/>
                  <w:vAlign w:val="center"/>
                </w:tcPr>
                <w:p w14:paraId="6617F4AB">
                  <w:pPr>
                    <w:autoSpaceDE w:val="0"/>
                    <w:autoSpaceDN w:val="0"/>
                    <w:adjustRightInd w:val="0"/>
                    <w:snapToGrid w:val="0"/>
                    <w:jc w:val="center"/>
                    <w:rPr>
                      <w:rFonts w:hint="default" w:ascii="Times New Roman" w:hAnsi="Times New Roman" w:eastAsia="宋体" w:cs="Times New Roman"/>
                      <w:color w:val="000000" w:themeColor="text1"/>
                      <w:kern w:val="0"/>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kern w:val="0"/>
                      <w:szCs w:val="21"/>
                      <w:highlight w:val="none"/>
                      <w:vertAlign w:val="baseline"/>
                      <w:lang w:val="en-US" w:eastAsia="zh-CN"/>
                      <w14:textFill>
                        <w14:solidFill>
                          <w14:schemeClr w14:val="tx1"/>
                        </w14:solidFill>
                      </w14:textFill>
                    </w:rPr>
                    <w:t>专项评价类别</w:t>
                  </w:r>
                </w:p>
              </w:tc>
              <w:tc>
                <w:tcPr>
                  <w:tcW w:w="2427" w:type="pct"/>
                  <w:tcBorders>
                    <w:tl2br w:val="nil"/>
                    <w:tr2bl w:val="nil"/>
                  </w:tcBorders>
                  <w:noWrap w:val="0"/>
                  <w:vAlign w:val="center"/>
                </w:tcPr>
                <w:p w14:paraId="2F623705">
                  <w:pPr>
                    <w:autoSpaceDE w:val="0"/>
                    <w:autoSpaceDN w:val="0"/>
                    <w:adjustRightInd w:val="0"/>
                    <w:snapToGrid w:val="0"/>
                    <w:jc w:val="center"/>
                    <w:rPr>
                      <w:rFonts w:hint="default" w:ascii="Times New Roman" w:hAnsi="Times New Roman" w:eastAsia="宋体" w:cs="Times New Roman"/>
                      <w:color w:val="000000" w:themeColor="text1"/>
                      <w:kern w:val="0"/>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kern w:val="0"/>
                      <w:szCs w:val="21"/>
                      <w:highlight w:val="none"/>
                      <w:vertAlign w:val="baseline"/>
                      <w:lang w:val="en-US" w:eastAsia="zh-CN"/>
                      <w14:textFill>
                        <w14:solidFill>
                          <w14:schemeClr w14:val="tx1"/>
                        </w14:solidFill>
                      </w14:textFill>
                    </w:rPr>
                    <w:t>设置原则</w:t>
                  </w:r>
                </w:p>
              </w:tc>
              <w:tc>
                <w:tcPr>
                  <w:tcW w:w="1798" w:type="pct"/>
                  <w:tcBorders>
                    <w:tl2br w:val="nil"/>
                    <w:tr2bl w:val="nil"/>
                  </w:tcBorders>
                  <w:noWrap w:val="0"/>
                  <w:vAlign w:val="center"/>
                </w:tcPr>
                <w:p w14:paraId="1C864283">
                  <w:pPr>
                    <w:autoSpaceDE w:val="0"/>
                    <w:autoSpaceDN w:val="0"/>
                    <w:adjustRightInd w:val="0"/>
                    <w:snapToGrid w:val="0"/>
                    <w:jc w:val="center"/>
                    <w:rPr>
                      <w:rFonts w:hint="default" w:ascii="Times New Roman" w:hAnsi="Times New Roman" w:eastAsia="宋体" w:cs="Times New Roman"/>
                      <w:color w:val="000000" w:themeColor="text1"/>
                      <w:kern w:val="0"/>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kern w:val="0"/>
                      <w:szCs w:val="21"/>
                      <w:highlight w:val="none"/>
                      <w:vertAlign w:val="baseline"/>
                      <w:lang w:val="en-US" w:eastAsia="zh-CN"/>
                      <w14:textFill>
                        <w14:solidFill>
                          <w14:schemeClr w14:val="tx1"/>
                        </w14:solidFill>
                      </w14:textFill>
                    </w:rPr>
                    <w:t>本项目专项评价设置情况</w:t>
                  </w:r>
                </w:p>
              </w:tc>
            </w:tr>
            <w:tr w14:paraId="042992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4" w:type="pct"/>
                  <w:tcBorders>
                    <w:tl2br w:val="nil"/>
                    <w:tr2bl w:val="nil"/>
                  </w:tcBorders>
                  <w:noWrap w:val="0"/>
                  <w:vAlign w:val="center"/>
                </w:tcPr>
                <w:p w14:paraId="2F462366">
                  <w:pPr>
                    <w:autoSpaceDE w:val="0"/>
                    <w:autoSpaceDN w:val="0"/>
                    <w:adjustRightInd w:val="0"/>
                    <w:snapToGrid w:val="0"/>
                    <w:jc w:val="center"/>
                    <w:rPr>
                      <w:rFonts w:hint="default" w:ascii="Times New Roman" w:hAnsi="Times New Roman" w:eastAsia="宋体" w:cs="Times New Roman"/>
                      <w:color w:val="000000" w:themeColor="text1"/>
                      <w:kern w:val="0"/>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kern w:val="0"/>
                      <w:szCs w:val="21"/>
                      <w:highlight w:val="none"/>
                      <w:vertAlign w:val="baseline"/>
                      <w:lang w:val="en-US" w:eastAsia="zh-CN"/>
                      <w14:textFill>
                        <w14:solidFill>
                          <w14:schemeClr w14:val="tx1"/>
                        </w14:solidFill>
                      </w14:textFill>
                    </w:rPr>
                    <w:t>大气</w:t>
                  </w:r>
                </w:p>
              </w:tc>
              <w:tc>
                <w:tcPr>
                  <w:tcW w:w="2427" w:type="pct"/>
                  <w:tcBorders>
                    <w:tl2br w:val="nil"/>
                    <w:tr2bl w:val="nil"/>
                  </w:tcBorders>
                  <w:noWrap w:val="0"/>
                  <w:vAlign w:val="center"/>
                </w:tcPr>
                <w:p w14:paraId="4E907846">
                  <w:pPr>
                    <w:autoSpaceDE w:val="0"/>
                    <w:autoSpaceDN w:val="0"/>
                    <w:adjustRightInd w:val="0"/>
                    <w:snapToGrid w:val="0"/>
                    <w:jc w:val="center"/>
                    <w:rPr>
                      <w:rFonts w:hint="default" w:ascii="Times New Roman" w:hAnsi="Times New Roman" w:cs="Times New Roman"/>
                      <w:color w:val="000000" w:themeColor="text1"/>
                      <w:kern w:val="0"/>
                      <w:szCs w:val="21"/>
                      <w:highlight w:val="none"/>
                      <w:vertAlign w:val="baseline"/>
                      <w14:textFill>
                        <w14:solidFill>
                          <w14:schemeClr w14:val="tx1"/>
                        </w14:solidFill>
                      </w14:textFill>
                    </w:rPr>
                  </w:pPr>
                  <w:r>
                    <w:rPr>
                      <w:rFonts w:hint="default" w:ascii="Times New Roman" w:hAnsi="Times New Roman" w:cs="Times New Roman"/>
                      <w:color w:val="000000" w:themeColor="text1"/>
                      <w:kern w:val="0"/>
                      <w:szCs w:val="21"/>
                      <w:highlight w:val="none"/>
                      <w:vertAlign w:val="baseline"/>
                      <w14:textFill>
                        <w14:solidFill>
                          <w14:schemeClr w14:val="tx1"/>
                        </w14:solidFill>
                      </w14:textFill>
                    </w:rPr>
                    <w:t>排放废气含有毒有害污染物、二噁英、苯并</w:t>
                  </w:r>
                  <w:r>
                    <w:rPr>
                      <w:rFonts w:hint="default" w:ascii="Times New Roman" w:hAnsi="Times New Roman" w:cs="Times New Roman"/>
                      <w:color w:val="000000" w:themeColor="text1"/>
                      <w:kern w:val="0"/>
                      <w:szCs w:val="21"/>
                      <w:highlight w:val="none"/>
                      <w:vertAlign w:val="baseline"/>
                      <w:lang w:eastAsia="zh-CN"/>
                      <w14:textFill>
                        <w14:solidFill>
                          <w14:schemeClr w14:val="tx1"/>
                        </w14:solidFill>
                      </w14:textFill>
                    </w:rPr>
                    <w:t>（</w:t>
                  </w:r>
                  <w:r>
                    <w:rPr>
                      <w:rFonts w:hint="default" w:ascii="Times New Roman" w:hAnsi="Times New Roman" w:cs="Times New Roman"/>
                      <w:color w:val="000000" w:themeColor="text1"/>
                      <w:kern w:val="0"/>
                      <w:szCs w:val="21"/>
                      <w:highlight w:val="none"/>
                      <w:vertAlign w:val="baseline"/>
                      <w14:textFill>
                        <w14:solidFill>
                          <w14:schemeClr w14:val="tx1"/>
                        </w14:solidFill>
                      </w14:textFill>
                    </w:rPr>
                    <w:t>a</w:t>
                  </w:r>
                  <w:r>
                    <w:rPr>
                      <w:rFonts w:hint="default" w:ascii="Times New Roman" w:hAnsi="Times New Roman" w:cs="Times New Roman"/>
                      <w:color w:val="000000" w:themeColor="text1"/>
                      <w:kern w:val="0"/>
                      <w:szCs w:val="21"/>
                      <w:highlight w:val="none"/>
                      <w:vertAlign w:val="baseline"/>
                      <w:lang w:eastAsia="zh-CN"/>
                      <w14:textFill>
                        <w14:solidFill>
                          <w14:schemeClr w14:val="tx1"/>
                        </w14:solidFill>
                      </w14:textFill>
                    </w:rPr>
                    <w:t>）</w:t>
                  </w:r>
                  <w:r>
                    <w:rPr>
                      <w:rFonts w:hint="default" w:ascii="Times New Roman" w:hAnsi="Times New Roman" w:cs="Times New Roman"/>
                      <w:color w:val="000000" w:themeColor="text1"/>
                      <w:kern w:val="0"/>
                      <w:szCs w:val="21"/>
                      <w:highlight w:val="none"/>
                      <w:vertAlign w:val="baseline"/>
                      <w14:textFill>
                        <w14:solidFill>
                          <w14:schemeClr w14:val="tx1"/>
                        </w14:solidFill>
                      </w14:textFill>
                    </w:rPr>
                    <w:t>芘、氰化物、氯气且厂界外 500m范围内有环境空气保护目标的建设项目</w:t>
                  </w:r>
                </w:p>
              </w:tc>
              <w:tc>
                <w:tcPr>
                  <w:tcW w:w="1798" w:type="pct"/>
                  <w:tcBorders>
                    <w:tl2br w:val="nil"/>
                    <w:tr2bl w:val="nil"/>
                  </w:tcBorders>
                  <w:noWrap w:val="0"/>
                  <w:vAlign w:val="center"/>
                </w:tcPr>
                <w:p w14:paraId="4EAA4238">
                  <w:pPr>
                    <w:autoSpaceDE w:val="0"/>
                    <w:autoSpaceDN w:val="0"/>
                    <w:adjustRightInd w:val="0"/>
                    <w:snapToGrid w:val="0"/>
                    <w:jc w:val="center"/>
                    <w:rPr>
                      <w:rFonts w:hint="default" w:ascii="Times New Roman" w:hAnsi="Times New Roman" w:eastAsia="宋体" w:cs="Times New Roman"/>
                      <w:color w:val="000000" w:themeColor="text1"/>
                      <w:kern w:val="0"/>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kern w:val="0"/>
                      <w:szCs w:val="21"/>
                      <w:highlight w:val="none"/>
                      <w:vertAlign w:val="baseline"/>
                      <w14:textFill>
                        <w14:solidFill>
                          <w14:schemeClr w14:val="tx1"/>
                        </w14:solidFill>
                      </w14:textFill>
                    </w:rPr>
                    <w:t>本项目排放的废气不涉及有毒有害污染物、二噁英、苯并</w:t>
                  </w:r>
                  <w:r>
                    <w:rPr>
                      <w:rFonts w:hint="default" w:ascii="Times New Roman" w:hAnsi="Times New Roman" w:cs="Times New Roman"/>
                      <w:color w:val="000000" w:themeColor="text1"/>
                      <w:kern w:val="0"/>
                      <w:szCs w:val="21"/>
                      <w:highlight w:val="none"/>
                      <w:vertAlign w:val="baseline"/>
                      <w:lang w:eastAsia="zh-CN"/>
                      <w14:textFill>
                        <w14:solidFill>
                          <w14:schemeClr w14:val="tx1"/>
                        </w14:solidFill>
                      </w14:textFill>
                    </w:rPr>
                    <w:t>（</w:t>
                  </w:r>
                  <w:r>
                    <w:rPr>
                      <w:rFonts w:hint="default" w:ascii="Times New Roman" w:hAnsi="Times New Roman" w:cs="Times New Roman"/>
                      <w:color w:val="000000" w:themeColor="text1"/>
                      <w:kern w:val="0"/>
                      <w:szCs w:val="21"/>
                      <w:highlight w:val="none"/>
                      <w:vertAlign w:val="baseline"/>
                      <w14:textFill>
                        <w14:solidFill>
                          <w14:schemeClr w14:val="tx1"/>
                        </w14:solidFill>
                      </w14:textFill>
                    </w:rPr>
                    <w:t>a</w:t>
                  </w:r>
                  <w:r>
                    <w:rPr>
                      <w:rFonts w:hint="default" w:ascii="Times New Roman" w:hAnsi="Times New Roman" w:cs="Times New Roman"/>
                      <w:color w:val="000000" w:themeColor="text1"/>
                      <w:kern w:val="0"/>
                      <w:szCs w:val="21"/>
                      <w:highlight w:val="none"/>
                      <w:vertAlign w:val="baseline"/>
                      <w:lang w:eastAsia="zh-CN"/>
                      <w14:textFill>
                        <w14:solidFill>
                          <w14:schemeClr w14:val="tx1"/>
                        </w14:solidFill>
                      </w14:textFill>
                    </w:rPr>
                    <w:t>）</w:t>
                  </w:r>
                  <w:r>
                    <w:rPr>
                      <w:rFonts w:hint="default" w:ascii="Times New Roman" w:hAnsi="Times New Roman" w:cs="Times New Roman"/>
                      <w:color w:val="000000" w:themeColor="text1"/>
                      <w:kern w:val="0"/>
                      <w:szCs w:val="21"/>
                      <w:highlight w:val="none"/>
                      <w:vertAlign w:val="baseline"/>
                      <w14:textFill>
                        <w14:solidFill>
                          <w14:schemeClr w14:val="tx1"/>
                        </w14:solidFill>
                      </w14:textFill>
                    </w:rPr>
                    <w:t>芘、氰化物、氯气</w:t>
                  </w:r>
                  <w:r>
                    <w:rPr>
                      <w:rFonts w:hint="eastAsia" w:cs="Times New Roman"/>
                      <w:color w:val="000000" w:themeColor="text1"/>
                      <w:kern w:val="0"/>
                      <w:szCs w:val="21"/>
                      <w:highlight w:val="none"/>
                      <w:vertAlign w:val="baseline"/>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故本项目不设置大气专项评价。</w:t>
                  </w:r>
                </w:p>
              </w:tc>
            </w:tr>
            <w:tr w14:paraId="366ABD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4" w:type="pct"/>
                  <w:tcBorders>
                    <w:tl2br w:val="nil"/>
                    <w:tr2bl w:val="nil"/>
                  </w:tcBorders>
                  <w:noWrap w:val="0"/>
                  <w:vAlign w:val="center"/>
                </w:tcPr>
                <w:p w14:paraId="36C41D29">
                  <w:pPr>
                    <w:autoSpaceDE w:val="0"/>
                    <w:autoSpaceDN w:val="0"/>
                    <w:adjustRightInd w:val="0"/>
                    <w:snapToGrid w:val="0"/>
                    <w:jc w:val="center"/>
                    <w:rPr>
                      <w:rFonts w:hint="default" w:ascii="Times New Roman" w:hAnsi="Times New Roman" w:eastAsia="宋体" w:cs="Times New Roman"/>
                      <w:color w:val="000000" w:themeColor="text1"/>
                      <w:kern w:val="0"/>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kern w:val="0"/>
                      <w:szCs w:val="21"/>
                      <w:highlight w:val="none"/>
                      <w:vertAlign w:val="baseline"/>
                      <w:lang w:val="en-US" w:eastAsia="zh-CN"/>
                      <w14:textFill>
                        <w14:solidFill>
                          <w14:schemeClr w14:val="tx1"/>
                        </w14:solidFill>
                      </w14:textFill>
                    </w:rPr>
                    <w:t>地表水</w:t>
                  </w:r>
                </w:p>
              </w:tc>
              <w:tc>
                <w:tcPr>
                  <w:tcW w:w="2427" w:type="pct"/>
                  <w:tcBorders>
                    <w:tl2br w:val="nil"/>
                    <w:tr2bl w:val="nil"/>
                  </w:tcBorders>
                  <w:noWrap w:val="0"/>
                  <w:vAlign w:val="center"/>
                </w:tcPr>
                <w:p w14:paraId="77469D5B">
                  <w:pPr>
                    <w:autoSpaceDE w:val="0"/>
                    <w:autoSpaceDN w:val="0"/>
                    <w:adjustRightInd w:val="0"/>
                    <w:snapToGrid w:val="0"/>
                    <w:jc w:val="center"/>
                    <w:rPr>
                      <w:rFonts w:hint="default" w:ascii="Times New Roman" w:hAnsi="Times New Roman" w:cs="Times New Roman"/>
                      <w:color w:val="000000" w:themeColor="text1"/>
                      <w:kern w:val="0"/>
                      <w:szCs w:val="21"/>
                      <w:highlight w:val="none"/>
                      <w:vertAlign w:val="baseline"/>
                      <w14:textFill>
                        <w14:solidFill>
                          <w14:schemeClr w14:val="tx1"/>
                        </w14:solidFill>
                      </w14:textFill>
                    </w:rPr>
                  </w:pPr>
                  <w:r>
                    <w:rPr>
                      <w:rFonts w:hint="default" w:ascii="Times New Roman" w:hAnsi="Times New Roman" w:cs="Times New Roman"/>
                      <w:color w:val="000000" w:themeColor="text1"/>
                      <w:kern w:val="0"/>
                      <w:szCs w:val="21"/>
                      <w:highlight w:val="none"/>
                      <w:vertAlign w:val="baseline"/>
                      <w14:textFill>
                        <w14:solidFill>
                          <w14:schemeClr w14:val="tx1"/>
                        </w14:solidFill>
                      </w14:textFill>
                    </w:rPr>
                    <w:t>新增工业废水直排建设项目</w:t>
                  </w:r>
                  <w:r>
                    <w:rPr>
                      <w:rFonts w:hint="default" w:ascii="Times New Roman" w:hAnsi="Times New Roman" w:cs="Times New Roman"/>
                      <w:color w:val="000000" w:themeColor="text1"/>
                      <w:kern w:val="0"/>
                      <w:szCs w:val="21"/>
                      <w:highlight w:val="none"/>
                      <w:vertAlign w:val="baseline"/>
                      <w:lang w:eastAsia="zh-CN"/>
                      <w14:textFill>
                        <w14:solidFill>
                          <w14:schemeClr w14:val="tx1"/>
                        </w14:solidFill>
                      </w14:textFill>
                    </w:rPr>
                    <w:t>（</w:t>
                  </w:r>
                  <w:r>
                    <w:rPr>
                      <w:rFonts w:hint="default" w:ascii="Times New Roman" w:hAnsi="Times New Roman" w:cs="Times New Roman"/>
                      <w:color w:val="000000" w:themeColor="text1"/>
                      <w:kern w:val="0"/>
                      <w:szCs w:val="21"/>
                      <w:highlight w:val="none"/>
                      <w:vertAlign w:val="baseline"/>
                      <w14:textFill>
                        <w14:solidFill>
                          <w14:schemeClr w14:val="tx1"/>
                        </w14:solidFill>
                      </w14:textFill>
                    </w:rPr>
                    <w:t>槽罐车外送污水处理厂的除外</w:t>
                  </w:r>
                  <w:r>
                    <w:rPr>
                      <w:rFonts w:hint="default" w:ascii="Times New Roman" w:hAnsi="Times New Roman" w:cs="Times New Roman"/>
                      <w:color w:val="000000" w:themeColor="text1"/>
                      <w:kern w:val="0"/>
                      <w:szCs w:val="21"/>
                      <w:highlight w:val="none"/>
                      <w:vertAlign w:val="baseline"/>
                      <w:lang w:eastAsia="zh-CN"/>
                      <w14:textFill>
                        <w14:solidFill>
                          <w14:schemeClr w14:val="tx1"/>
                        </w14:solidFill>
                      </w14:textFill>
                    </w:rPr>
                    <w:t>）：</w:t>
                  </w:r>
                  <w:r>
                    <w:rPr>
                      <w:rFonts w:hint="default" w:ascii="Times New Roman" w:hAnsi="Times New Roman" w:cs="Times New Roman"/>
                      <w:color w:val="000000" w:themeColor="text1"/>
                      <w:kern w:val="0"/>
                      <w:szCs w:val="21"/>
                      <w:highlight w:val="none"/>
                      <w:vertAlign w:val="baseline"/>
                      <w14:textFill>
                        <w14:solidFill>
                          <w14:schemeClr w14:val="tx1"/>
                        </w14:solidFill>
                      </w14:textFill>
                    </w:rPr>
                    <w:t>新增废水直排的污水集中处理厂</w:t>
                  </w:r>
                </w:p>
              </w:tc>
              <w:tc>
                <w:tcPr>
                  <w:tcW w:w="1798" w:type="pct"/>
                  <w:tcBorders>
                    <w:tl2br w:val="nil"/>
                    <w:tr2bl w:val="nil"/>
                  </w:tcBorders>
                  <w:noWrap w:val="0"/>
                  <w:vAlign w:val="center"/>
                </w:tcPr>
                <w:p w14:paraId="26EC7CC5">
                  <w:pPr>
                    <w:autoSpaceDE w:val="0"/>
                    <w:autoSpaceDN w:val="0"/>
                    <w:adjustRightInd w:val="0"/>
                    <w:snapToGrid w:val="0"/>
                    <w:jc w:val="center"/>
                    <w:rPr>
                      <w:rFonts w:hint="default" w:ascii="Times New Roman" w:hAnsi="Times New Roman" w:eastAsia="宋体" w:cs="Times New Roman"/>
                      <w:color w:val="000000" w:themeColor="text1"/>
                      <w:kern w:val="0"/>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kern w:val="0"/>
                      <w:szCs w:val="21"/>
                      <w:highlight w:val="none"/>
                      <w:vertAlign w:val="baseline"/>
                      <w:lang w:val="en-US" w:eastAsia="zh-CN"/>
                      <w14:textFill>
                        <w14:solidFill>
                          <w14:schemeClr w14:val="tx1"/>
                        </w14:solidFill>
                      </w14:textFill>
                    </w:rPr>
                    <w:t>本项目无废水直排</w:t>
                  </w:r>
                  <w:r>
                    <w:rPr>
                      <w:rFonts w:hint="eastAsia" w:cs="Times New Roman"/>
                      <w:color w:val="000000" w:themeColor="text1"/>
                      <w:kern w:val="0"/>
                      <w:szCs w:val="21"/>
                      <w:highlight w:val="none"/>
                      <w:vertAlign w:val="baseline"/>
                      <w:lang w:val="en-US" w:eastAsia="zh-CN"/>
                      <w14:textFill>
                        <w14:solidFill>
                          <w14:schemeClr w14:val="tx1"/>
                        </w14:solidFill>
                      </w14:textFill>
                    </w:rPr>
                    <w:t>。</w:t>
                  </w:r>
                  <w:r>
                    <w:rPr>
                      <w:rFonts w:hint="eastAsia"/>
                      <w:color w:val="000000" w:themeColor="text1"/>
                      <w:lang w:val="en-US" w:eastAsia="zh-CN"/>
                      <w14:textFill>
                        <w14:solidFill>
                          <w14:schemeClr w14:val="tx1"/>
                        </w14:solidFill>
                      </w14:textFill>
                    </w:rPr>
                    <w:t>故本项目不设置地表水专项评价。</w:t>
                  </w:r>
                </w:p>
              </w:tc>
            </w:tr>
            <w:tr w14:paraId="573295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4" w:type="pct"/>
                  <w:tcBorders>
                    <w:tl2br w:val="nil"/>
                    <w:tr2bl w:val="nil"/>
                  </w:tcBorders>
                  <w:noWrap w:val="0"/>
                  <w:vAlign w:val="center"/>
                </w:tcPr>
                <w:p w14:paraId="6E02FEE0">
                  <w:pPr>
                    <w:autoSpaceDE w:val="0"/>
                    <w:autoSpaceDN w:val="0"/>
                    <w:adjustRightInd w:val="0"/>
                    <w:snapToGrid w:val="0"/>
                    <w:jc w:val="center"/>
                    <w:rPr>
                      <w:rFonts w:hint="default" w:ascii="Times New Roman" w:hAnsi="Times New Roman" w:eastAsia="宋体" w:cs="Times New Roman"/>
                      <w:color w:val="000000" w:themeColor="text1"/>
                      <w:kern w:val="0"/>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kern w:val="0"/>
                      <w:szCs w:val="21"/>
                      <w:highlight w:val="none"/>
                      <w:vertAlign w:val="baseline"/>
                      <w:lang w:val="en-US" w:eastAsia="zh-CN"/>
                      <w14:textFill>
                        <w14:solidFill>
                          <w14:schemeClr w14:val="tx1"/>
                        </w14:solidFill>
                      </w14:textFill>
                    </w:rPr>
                    <w:t>环境风险</w:t>
                  </w:r>
                </w:p>
              </w:tc>
              <w:tc>
                <w:tcPr>
                  <w:tcW w:w="2427" w:type="pct"/>
                  <w:tcBorders>
                    <w:tl2br w:val="nil"/>
                    <w:tr2bl w:val="nil"/>
                  </w:tcBorders>
                  <w:noWrap w:val="0"/>
                  <w:vAlign w:val="center"/>
                </w:tcPr>
                <w:p w14:paraId="6D22525D">
                  <w:pPr>
                    <w:autoSpaceDE w:val="0"/>
                    <w:autoSpaceDN w:val="0"/>
                    <w:adjustRightInd w:val="0"/>
                    <w:snapToGrid w:val="0"/>
                    <w:jc w:val="center"/>
                    <w:rPr>
                      <w:rFonts w:hint="default" w:ascii="Times New Roman" w:hAnsi="Times New Roman" w:cs="Times New Roman"/>
                      <w:color w:val="000000" w:themeColor="text1"/>
                      <w:kern w:val="0"/>
                      <w:szCs w:val="21"/>
                      <w:highlight w:val="none"/>
                      <w:vertAlign w:val="baseline"/>
                      <w14:textFill>
                        <w14:solidFill>
                          <w14:schemeClr w14:val="tx1"/>
                        </w14:solidFill>
                      </w14:textFill>
                    </w:rPr>
                  </w:pPr>
                  <w:r>
                    <w:rPr>
                      <w:rFonts w:hint="default" w:ascii="Times New Roman" w:hAnsi="Times New Roman" w:cs="Times New Roman"/>
                      <w:color w:val="000000" w:themeColor="text1"/>
                      <w:kern w:val="0"/>
                      <w:szCs w:val="21"/>
                      <w:highlight w:val="none"/>
                      <w:vertAlign w:val="baseline"/>
                      <w14:textFill>
                        <w14:solidFill>
                          <w14:schemeClr w14:val="tx1"/>
                        </w14:solidFill>
                      </w14:textFill>
                    </w:rPr>
                    <w:t>有毒有害和易燃易爆危险物质存储量超过临界量的建设项目</w:t>
                  </w:r>
                </w:p>
              </w:tc>
              <w:tc>
                <w:tcPr>
                  <w:tcW w:w="1798" w:type="pct"/>
                  <w:tcBorders>
                    <w:tl2br w:val="nil"/>
                    <w:tr2bl w:val="nil"/>
                  </w:tcBorders>
                  <w:noWrap w:val="0"/>
                  <w:vAlign w:val="center"/>
                </w:tcPr>
                <w:p w14:paraId="544F265A">
                  <w:pPr>
                    <w:autoSpaceDE w:val="0"/>
                    <w:autoSpaceDN w:val="0"/>
                    <w:adjustRightInd w:val="0"/>
                    <w:snapToGrid w:val="0"/>
                    <w:jc w:val="center"/>
                    <w:rPr>
                      <w:rFonts w:hint="default" w:ascii="Times New Roman" w:hAnsi="Times New Roman" w:cs="Times New Roman"/>
                      <w:color w:val="000000" w:themeColor="text1"/>
                      <w:kern w:val="0"/>
                      <w:szCs w:val="21"/>
                      <w:highlight w:val="none"/>
                      <w:vertAlign w:val="baseline"/>
                      <w14:textFill>
                        <w14:solidFill>
                          <w14:schemeClr w14:val="tx1"/>
                        </w14:solidFill>
                      </w14:textFill>
                    </w:rPr>
                  </w:pPr>
                  <w:r>
                    <w:rPr>
                      <w:rFonts w:hint="default" w:ascii="Times New Roman" w:hAnsi="Times New Roman" w:cs="Times New Roman"/>
                      <w:color w:val="000000" w:themeColor="text1"/>
                      <w:kern w:val="0"/>
                      <w:szCs w:val="21"/>
                      <w:highlight w:val="none"/>
                      <w:vertAlign w:val="baseline"/>
                      <w14:textFill>
                        <w14:solidFill>
                          <w14:schemeClr w14:val="tx1"/>
                        </w14:solidFill>
                      </w14:textFill>
                    </w:rPr>
                    <w:t>本项目涉及</w:t>
                  </w:r>
                  <w:r>
                    <w:rPr>
                      <w:rFonts w:hint="default" w:ascii="Times New Roman" w:hAnsi="Times New Roman" w:cs="Times New Roman"/>
                      <w:color w:val="000000" w:themeColor="text1"/>
                      <w:kern w:val="0"/>
                      <w:szCs w:val="21"/>
                      <w:highlight w:val="none"/>
                      <w:vertAlign w:val="baseline"/>
                      <w:lang w:val="en-US" w:eastAsia="zh-CN"/>
                      <w14:textFill>
                        <w14:solidFill>
                          <w14:schemeClr w14:val="tx1"/>
                        </w14:solidFill>
                      </w14:textFill>
                    </w:rPr>
                    <w:t>的</w:t>
                  </w:r>
                  <w:r>
                    <w:rPr>
                      <w:rFonts w:hint="default" w:ascii="Times New Roman" w:hAnsi="Times New Roman" w:cs="Times New Roman"/>
                      <w:color w:val="000000" w:themeColor="text1"/>
                      <w:kern w:val="0"/>
                      <w:szCs w:val="21"/>
                      <w:highlight w:val="none"/>
                      <w:vertAlign w:val="baseline"/>
                      <w14:textFill>
                        <w14:solidFill>
                          <w14:schemeClr w14:val="tx1"/>
                        </w14:solidFill>
                      </w14:textFill>
                    </w:rPr>
                    <w:t>有毒有害物质</w:t>
                  </w:r>
                  <w:r>
                    <w:rPr>
                      <w:rFonts w:hint="default" w:ascii="Times New Roman" w:hAnsi="Times New Roman" w:cs="Times New Roman"/>
                      <w:color w:val="000000" w:themeColor="text1"/>
                      <w:kern w:val="0"/>
                      <w:szCs w:val="21"/>
                      <w:highlight w:val="none"/>
                      <w:vertAlign w:val="baseline"/>
                      <w:lang w:val="en-US" w:eastAsia="zh-CN"/>
                      <w14:textFill>
                        <w14:solidFill>
                          <w14:schemeClr w14:val="tx1"/>
                        </w14:solidFill>
                      </w14:textFill>
                    </w:rPr>
                    <w:t>和</w:t>
                  </w:r>
                  <w:r>
                    <w:rPr>
                      <w:rFonts w:hint="default" w:ascii="Times New Roman" w:hAnsi="Times New Roman" w:cs="Times New Roman"/>
                      <w:color w:val="000000" w:themeColor="text1"/>
                      <w:kern w:val="0"/>
                      <w:szCs w:val="21"/>
                      <w:highlight w:val="none"/>
                      <w:vertAlign w:val="baseline"/>
                      <w14:textFill>
                        <w14:solidFill>
                          <w14:schemeClr w14:val="tx1"/>
                        </w14:solidFill>
                      </w14:textFill>
                    </w:rPr>
                    <w:t>易燃易爆物质存放量未超过临界量</w:t>
                  </w:r>
                  <w:r>
                    <w:rPr>
                      <w:rFonts w:hint="eastAsia" w:cs="Times New Roman"/>
                      <w:color w:val="000000" w:themeColor="text1"/>
                      <w:kern w:val="0"/>
                      <w:szCs w:val="21"/>
                      <w:highlight w:val="none"/>
                      <w:vertAlign w:val="baseline"/>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故本项目不设置环境风险专项评价。</w:t>
                  </w:r>
                </w:p>
              </w:tc>
            </w:tr>
            <w:tr w14:paraId="78F240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4" w:type="pct"/>
                  <w:tcBorders>
                    <w:tl2br w:val="nil"/>
                    <w:tr2bl w:val="nil"/>
                  </w:tcBorders>
                  <w:noWrap w:val="0"/>
                  <w:vAlign w:val="center"/>
                </w:tcPr>
                <w:p w14:paraId="3AD4AEDA">
                  <w:pPr>
                    <w:autoSpaceDE w:val="0"/>
                    <w:autoSpaceDN w:val="0"/>
                    <w:adjustRightInd w:val="0"/>
                    <w:snapToGrid w:val="0"/>
                    <w:jc w:val="center"/>
                    <w:rPr>
                      <w:rFonts w:hint="default" w:ascii="Times New Roman" w:hAnsi="Times New Roman" w:eastAsia="宋体" w:cs="Times New Roman"/>
                      <w:color w:val="000000" w:themeColor="text1"/>
                      <w:kern w:val="0"/>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kern w:val="0"/>
                      <w:szCs w:val="21"/>
                      <w:highlight w:val="none"/>
                      <w:vertAlign w:val="baseline"/>
                      <w:lang w:val="en-US" w:eastAsia="zh-CN"/>
                      <w14:textFill>
                        <w14:solidFill>
                          <w14:schemeClr w14:val="tx1"/>
                        </w14:solidFill>
                      </w14:textFill>
                    </w:rPr>
                    <w:t>生态</w:t>
                  </w:r>
                </w:p>
              </w:tc>
              <w:tc>
                <w:tcPr>
                  <w:tcW w:w="2427" w:type="pct"/>
                  <w:tcBorders>
                    <w:tl2br w:val="nil"/>
                    <w:tr2bl w:val="nil"/>
                  </w:tcBorders>
                  <w:noWrap w:val="0"/>
                  <w:vAlign w:val="center"/>
                </w:tcPr>
                <w:p w14:paraId="5E817101">
                  <w:pPr>
                    <w:autoSpaceDE w:val="0"/>
                    <w:autoSpaceDN w:val="0"/>
                    <w:adjustRightInd w:val="0"/>
                    <w:snapToGrid w:val="0"/>
                    <w:jc w:val="center"/>
                    <w:rPr>
                      <w:rFonts w:hint="default" w:ascii="Times New Roman" w:hAnsi="Times New Roman" w:cs="Times New Roman"/>
                      <w:color w:val="000000" w:themeColor="text1"/>
                      <w:kern w:val="0"/>
                      <w:szCs w:val="21"/>
                      <w:highlight w:val="none"/>
                      <w:vertAlign w:val="baseline"/>
                      <w14:textFill>
                        <w14:solidFill>
                          <w14:schemeClr w14:val="tx1"/>
                        </w14:solidFill>
                      </w14:textFill>
                    </w:rPr>
                  </w:pPr>
                  <w:r>
                    <w:rPr>
                      <w:rFonts w:hint="default" w:ascii="Times New Roman" w:hAnsi="Times New Roman" w:cs="Times New Roman"/>
                      <w:color w:val="000000" w:themeColor="text1"/>
                      <w:kern w:val="0"/>
                      <w:szCs w:val="21"/>
                      <w:highlight w:val="none"/>
                      <w:vertAlign w:val="baseline"/>
                      <w14:textFill>
                        <w14:solidFill>
                          <w14:schemeClr w14:val="tx1"/>
                        </w14:solidFill>
                      </w14:textFill>
                    </w:rPr>
                    <w:t>取水口下游500 米范围内有重要水生 生物的自然产卵场、索饵场、越冬场和洄游通道的新增河道取水的污染类建设项目</w:t>
                  </w:r>
                </w:p>
              </w:tc>
              <w:tc>
                <w:tcPr>
                  <w:tcW w:w="1798" w:type="pct"/>
                  <w:tcBorders>
                    <w:tl2br w:val="nil"/>
                    <w:tr2bl w:val="nil"/>
                  </w:tcBorders>
                  <w:noWrap w:val="0"/>
                  <w:vAlign w:val="center"/>
                </w:tcPr>
                <w:p w14:paraId="5EACD205">
                  <w:pPr>
                    <w:autoSpaceDE w:val="0"/>
                    <w:autoSpaceDN w:val="0"/>
                    <w:adjustRightInd w:val="0"/>
                    <w:snapToGrid w:val="0"/>
                    <w:jc w:val="center"/>
                    <w:rPr>
                      <w:rFonts w:hint="default" w:ascii="Times New Roman" w:hAnsi="Times New Roman" w:cs="Times New Roman"/>
                      <w:color w:val="000000" w:themeColor="text1"/>
                      <w:kern w:val="0"/>
                      <w:szCs w:val="21"/>
                      <w:highlight w:val="none"/>
                      <w:vertAlign w:val="baseline"/>
                      <w14:textFill>
                        <w14:solidFill>
                          <w14:schemeClr w14:val="tx1"/>
                        </w14:solidFill>
                      </w14:textFill>
                    </w:rPr>
                  </w:pPr>
                  <w:r>
                    <w:rPr>
                      <w:rFonts w:hint="default" w:ascii="Times New Roman" w:hAnsi="Times New Roman" w:cs="Times New Roman"/>
                      <w:color w:val="000000" w:themeColor="text1"/>
                      <w:kern w:val="0"/>
                      <w:szCs w:val="21"/>
                      <w:highlight w:val="none"/>
                      <w:vertAlign w:val="baseline"/>
                      <w14:textFill>
                        <w14:solidFill>
                          <w14:schemeClr w14:val="tx1"/>
                        </w14:solidFill>
                      </w14:textFill>
                    </w:rPr>
                    <w:t>本项目不涉及取水口</w:t>
                  </w:r>
                  <w:r>
                    <w:rPr>
                      <w:rFonts w:hint="eastAsia" w:cs="Times New Roman"/>
                      <w:color w:val="000000" w:themeColor="text1"/>
                      <w:kern w:val="0"/>
                      <w:szCs w:val="21"/>
                      <w:highlight w:val="none"/>
                      <w:vertAlign w:val="baseline"/>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故本项目不设置生态专项评价。</w:t>
                  </w:r>
                </w:p>
              </w:tc>
            </w:tr>
            <w:tr w14:paraId="378D0A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4" w:type="pct"/>
                  <w:tcBorders>
                    <w:tl2br w:val="nil"/>
                    <w:tr2bl w:val="nil"/>
                  </w:tcBorders>
                  <w:noWrap w:val="0"/>
                  <w:vAlign w:val="center"/>
                </w:tcPr>
                <w:p w14:paraId="4E666DD8">
                  <w:pPr>
                    <w:autoSpaceDE w:val="0"/>
                    <w:autoSpaceDN w:val="0"/>
                    <w:adjustRightInd w:val="0"/>
                    <w:snapToGrid w:val="0"/>
                    <w:jc w:val="center"/>
                    <w:rPr>
                      <w:rFonts w:hint="default" w:ascii="Times New Roman" w:hAnsi="Times New Roman" w:cs="Times New Roman"/>
                      <w:color w:val="000000" w:themeColor="text1"/>
                      <w:kern w:val="0"/>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kern w:val="0"/>
                      <w:szCs w:val="21"/>
                      <w:highlight w:val="none"/>
                      <w:vertAlign w:val="baseline"/>
                      <w:lang w:val="en-US" w:eastAsia="zh-CN"/>
                      <w14:textFill>
                        <w14:solidFill>
                          <w14:schemeClr w14:val="tx1"/>
                        </w14:solidFill>
                      </w14:textFill>
                    </w:rPr>
                    <w:t>海洋</w:t>
                  </w:r>
                </w:p>
              </w:tc>
              <w:tc>
                <w:tcPr>
                  <w:tcW w:w="2427" w:type="pct"/>
                  <w:tcBorders>
                    <w:tl2br w:val="nil"/>
                    <w:tr2bl w:val="nil"/>
                  </w:tcBorders>
                  <w:noWrap w:val="0"/>
                  <w:vAlign w:val="center"/>
                </w:tcPr>
                <w:p w14:paraId="1D633F1E">
                  <w:pPr>
                    <w:autoSpaceDE w:val="0"/>
                    <w:autoSpaceDN w:val="0"/>
                    <w:adjustRightInd w:val="0"/>
                    <w:snapToGrid w:val="0"/>
                    <w:jc w:val="center"/>
                    <w:rPr>
                      <w:rFonts w:hint="default" w:ascii="Times New Roman" w:hAnsi="Times New Roman" w:cs="Times New Roman"/>
                      <w:color w:val="000000" w:themeColor="text1"/>
                      <w:kern w:val="0"/>
                      <w:szCs w:val="21"/>
                      <w:highlight w:val="none"/>
                      <w:vertAlign w:val="baseline"/>
                      <w14:textFill>
                        <w14:solidFill>
                          <w14:schemeClr w14:val="tx1"/>
                        </w14:solidFill>
                      </w14:textFill>
                    </w:rPr>
                  </w:pPr>
                  <w:r>
                    <w:rPr>
                      <w:rFonts w:hint="default" w:ascii="Times New Roman" w:hAnsi="Times New Roman" w:cs="Times New Roman"/>
                      <w:color w:val="000000" w:themeColor="text1"/>
                      <w:kern w:val="0"/>
                      <w:szCs w:val="21"/>
                      <w:highlight w:val="none"/>
                      <w:vertAlign w:val="baseline"/>
                      <w14:textFill>
                        <w14:solidFill>
                          <w14:schemeClr w14:val="tx1"/>
                        </w14:solidFill>
                      </w14:textFill>
                    </w:rPr>
                    <w:t>直接向海排放污染物的海洋工程建设项目</w:t>
                  </w:r>
                </w:p>
              </w:tc>
              <w:tc>
                <w:tcPr>
                  <w:tcW w:w="1798" w:type="pct"/>
                  <w:tcBorders>
                    <w:tl2br w:val="nil"/>
                    <w:tr2bl w:val="nil"/>
                  </w:tcBorders>
                  <w:noWrap w:val="0"/>
                  <w:vAlign w:val="center"/>
                </w:tcPr>
                <w:p w14:paraId="55C49332">
                  <w:pPr>
                    <w:autoSpaceDE w:val="0"/>
                    <w:autoSpaceDN w:val="0"/>
                    <w:adjustRightInd w:val="0"/>
                    <w:snapToGrid w:val="0"/>
                    <w:jc w:val="center"/>
                    <w:rPr>
                      <w:rFonts w:hint="default" w:ascii="Times New Roman" w:hAnsi="Times New Roman" w:cs="Times New Roman"/>
                      <w:color w:val="000000" w:themeColor="text1"/>
                      <w:kern w:val="0"/>
                      <w:szCs w:val="21"/>
                      <w:highlight w:val="none"/>
                      <w:vertAlign w:val="baseline"/>
                      <w14:textFill>
                        <w14:solidFill>
                          <w14:schemeClr w14:val="tx1"/>
                        </w14:solidFill>
                      </w14:textFill>
                    </w:rPr>
                  </w:pPr>
                  <w:r>
                    <w:rPr>
                      <w:rFonts w:hint="default" w:ascii="Times New Roman" w:hAnsi="Times New Roman" w:cs="Times New Roman"/>
                      <w:color w:val="000000" w:themeColor="text1"/>
                      <w:kern w:val="0"/>
                      <w:szCs w:val="21"/>
                      <w:highlight w:val="none"/>
                      <w:vertAlign w:val="baseline"/>
                      <w14:textFill>
                        <w14:solidFill>
                          <w14:schemeClr w14:val="tx1"/>
                        </w14:solidFill>
                      </w14:textFill>
                    </w:rPr>
                    <w:t>本项目不涉及向海洋排放污染物</w:t>
                  </w:r>
                  <w:r>
                    <w:rPr>
                      <w:rFonts w:hint="eastAsia" w:cs="Times New Roman"/>
                      <w:color w:val="000000" w:themeColor="text1"/>
                      <w:kern w:val="0"/>
                      <w:szCs w:val="21"/>
                      <w:highlight w:val="none"/>
                      <w:vertAlign w:val="baseline"/>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故本项目不设置海洋专项评价。</w:t>
                  </w:r>
                </w:p>
              </w:tc>
            </w:tr>
          </w:tbl>
          <w:p w14:paraId="029F96CA">
            <w:pPr>
              <w:autoSpaceDE w:val="0"/>
              <w:autoSpaceDN w:val="0"/>
              <w:adjustRightInd w:val="0"/>
              <w:snapToGrid w:val="0"/>
              <w:jc w:val="both"/>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b/>
                <w:bCs/>
                <w:color w:val="000000" w:themeColor="text1"/>
                <w:kern w:val="0"/>
                <w:sz w:val="24"/>
                <w:szCs w:val="24"/>
                <w:highlight w:val="none"/>
                <w14:textFill>
                  <w14:solidFill>
                    <w14:schemeClr w14:val="tx1"/>
                  </w14:solidFill>
                </w14:textFill>
              </w:rPr>
              <w:t>综上，经与专项评价设置原则表对照分析，本项目无需设置专项评</w:t>
            </w:r>
            <w:r>
              <w:rPr>
                <w:rFonts w:hint="default" w:ascii="Times New Roman" w:hAnsi="Times New Roman" w:cs="Times New Roman"/>
                <w:b/>
                <w:bCs/>
                <w:color w:val="000000" w:themeColor="text1"/>
                <w:kern w:val="0"/>
                <w:sz w:val="24"/>
                <w:szCs w:val="24"/>
                <w:highlight w:val="none"/>
                <w:lang w:val="en-US" w:eastAsia="zh-CN"/>
                <w14:textFill>
                  <w14:solidFill>
                    <w14:schemeClr w14:val="tx1"/>
                  </w14:solidFill>
                </w14:textFill>
              </w:rPr>
              <w:t>价</w:t>
            </w:r>
            <w:r>
              <w:rPr>
                <w:rFonts w:hint="eastAsia" w:cs="Times New Roman"/>
                <w:b/>
                <w:bCs/>
                <w:color w:val="000000" w:themeColor="text1"/>
                <w:kern w:val="0"/>
                <w:sz w:val="24"/>
                <w:szCs w:val="24"/>
                <w:highlight w:val="none"/>
                <w:lang w:val="en-US" w:eastAsia="zh-CN"/>
                <w14:textFill>
                  <w14:solidFill>
                    <w14:schemeClr w14:val="tx1"/>
                  </w14:solidFill>
                </w14:textFill>
              </w:rPr>
              <w:t>。</w:t>
            </w:r>
          </w:p>
        </w:tc>
      </w:tr>
      <w:tr w14:paraId="0EC910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769" w:type="dxa"/>
            <w:noWrap w:val="0"/>
            <w:vAlign w:val="center"/>
          </w:tcPr>
          <w:p w14:paraId="3F6D89A1">
            <w:pPr>
              <w:autoSpaceDE w:val="0"/>
              <w:autoSpaceDN w:val="0"/>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规划情况</w:t>
            </w:r>
          </w:p>
        </w:tc>
        <w:tc>
          <w:tcPr>
            <w:tcW w:w="7101" w:type="dxa"/>
            <w:gridSpan w:val="3"/>
            <w:noWrap w:val="0"/>
            <w:vAlign w:val="center"/>
          </w:tcPr>
          <w:p w14:paraId="52F6F61C">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color w:val="auto"/>
                <w:sz w:val="24"/>
                <w:szCs w:val="24"/>
                <w:highlight w:val="none"/>
                <w:shd w:val="clear" w:color="auto" w:fill="auto"/>
                <w:lang w:val="en-US" w:eastAsia="zh-CN"/>
              </w:rPr>
            </w:pPr>
            <w:r>
              <w:rPr>
                <w:rFonts w:hint="eastAsia" w:ascii="宋体" w:hAnsi="宋体" w:eastAsia="宋体" w:cs="宋体"/>
                <w:b w:val="0"/>
                <w:bCs w:val="0"/>
                <w:color w:val="auto"/>
                <w:sz w:val="24"/>
                <w:szCs w:val="24"/>
                <w:highlight w:val="none"/>
                <w:shd w:val="clear" w:color="auto" w:fill="auto"/>
                <w:lang w:val="en-US" w:eastAsia="zh-CN"/>
              </w:rPr>
              <w:t>无</w:t>
            </w:r>
          </w:p>
        </w:tc>
      </w:tr>
      <w:tr w14:paraId="4B009E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769" w:type="dxa"/>
            <w:noWrap w:val="0"/>
            <w:vAlign w:val="center"/>
          </w:tcPr>
          <w:p w14:paraId="5EC49695">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规划环境影响</w:t>
            </w:r>
          </w:p>
          <w:p w14:paraId="6B900713">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评价情况</w:t>
            </w:r>
          </w:p>
        </w:tc>
        <w:tc>
          <w:tcPr>
            <w:tcW w:w="7101" w:type="dxa"/>
            <w:gridSpan w:val="3"/>
            <w:noWrap w:val="0"/>
            <w:vAlign w:val="center"/>
          </w:tcPr>
          <w:p w14:paraId="42E5A635">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color w:val="auto"/>
                <w:sz w:val="24"/>
                <w:szCs w:val="24"/>
                <w:highlight w:val="none"/>
                <w:shd w:val="clear" w:color="auto" w:fill="auto"/>
                <w:lang w:val="en-US" w:eastAsia="zh-CN"/>
              </w:rPr>
            </w:pPr>
            <w:r>
              <w:rPr>
                <w:rFonts w:hint="eastAsia" w:ascii="宋体" w:hAnsi="宋体" w:eastAsia="宋体" w:cs="宋体"/>
                <w:b w:val="0"/>
                <w:bCs w:val="0"/>
                <w:color w:val="auto"/>
                <w:sz w:val="24"/>
                <w:szCs w:val="24"/>
                <w:highlight w:val="none"/>
                <w:shd w:val="clear" w:color="auto" w:fill="auto"/>
                <w:lang w:val="en-US" w:eastAsia="zh-CN"/>
              </w:rPr>
              <w:t>无</w:t>
            </w:r>
          </w:p>
        </w:tc>
      </w:tr>
      <w:tr w14:paraId="5100CA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769" w:type="dxa"/>
            <w:noWrap w:val="0"/>
            <w:vAlign w:val="center"/>
          </w:tcPr>
          <w:p w14:paraId="010458C3">
            <w:pPr>
              <w:autoSpaceDE w:val="0"/>
              <w:autoSpaceDN w:val="0"/>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规划及规划环境影响评价符合性分析</w:t>
            </w:r>
          </w:p>
        </w:tc>
        <w:tc>
          <w:tcPr>
            <w:tcW w:w="7101" w:type="dxa"/>
            <w:gridSpan w:val="3"/>
            <w:noWrap w:val="0"/>
            <w:vAlign w:val="center"/>
          </w:tcPr>
          <w:p w14:paraId="46880035">
            <w:pPr>
              <w:pStyle w:val="2"/>
              <w:keepNext/>
              <w:keepLines w:val="0"/>
              <w:pageBreakBefore w:val="0"/>
              <w:widowControl w:val="0"/>
              <w:kinsoku/>
              <w:wordWrap/>
              <w:overflowPunct w:val="0"/>
              <w:topLinePunct w:val="0"/>
              <w:autoSpaceDE/>
              <w:autoSpaceDN/>
              <w:bidi w:val="0"/>
              <w:adjustRightInd/>
              <w:snapToGrid w:val="0"/>
              <w:spacing w:before="0" w:after="0" w:line="360" w:lineRule="auto"/>
              <w:textAlignment w:val="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sz w:val="24"/>
                <w:szCs w:val="24"/>
                <w:highlight w:val="none"/>
                <w:shd w:val="clear" w:color="auto" w:fill="auto"/>
                <w:lang w:val="en-US" w:eastAsia="zh-CN"/>
              </w:rPr>
              <w:t>无</w:t>
            </w:r>
          </w:p>
        </w:tc>
      </w:tr>
      <w:tr w14:paraId="4F7561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769" w:type="dxa"/>
            <w:noWrap w:val="0"/>
            <w:vAlign w:val="center"/>
          </w:tcPr>
          <w:p w14:paraId="6B764576">
            <w:pPr>
              <w:autoSpaceDE w:val="0"/>
              <w:autoSpaceDN w:val="0"/>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其他符合性分析</w:t>
            </w:r>
          </w:p>
        </w:tc>
        <w:tc>
          <w:tcPr>
            <w:tcW w:w="7101" w:type="dxa"/>
            <w:gridSpan w:val="3"/>
            <w:noWrap w:val="0"/>
            <w:vAlign w:val="center"/>
          </w:tcPr>
          <w:p w14:paraId="79217917">
            <w:pPr>
              <w:keepNext w:val="0"/>
              <w:keepLines w:val="0"/>
              <w:pageBreakBefore w:val="0"/>
              <w:widowControl w:val="0"/>
              <w:numPr>
                <w:ilvl w:val="0"/>
                <w:numId w:val="1"/>
              </w:numPr>
              <w:kinsoku/>
              <w:wordWrap/>
              <w:overflowPunct/>
              <w:topLinePunct w:val="0"/>
              <w:autoSpaceDE w:val="0"/>
              <w:autoSpaceDN w:val="0"/>
              <w:bidi w:val="0"/>
              <w:adjustRightInd w:val="0"/>
              <w:snapToGrid w:val="0"/>
              <w:spacing w:line="360" w:lineRule="auto"/>
              <w:ind w:firstLine="0" w:firstLineChars="0"/>
              <w:jc w:val="left"/>
              <w:textAlignment w:val="auto"/>
              <w:rPr>
                <w:rFonts w:hint="default" w:ascii="Times New Roman" w:hAnsi="Times New Roman" w:cs="Times New Roman"/>
                <w:b/>
                <w:bCs/>
                <w:color w:val="auto"/>
                <w:kern w:val="0"/>
                <w:sz w:val="24"/>
                <w:szCs w:val="24"/>
                <w:highlight w:val="none"/>
                <w:lang w:val="en-US" w:eastAsia="zh-CN"/>
              </w:rPr>
            </w:pPr>
            <w:r>
              <w:rPr>
                <w:rFonts w:hint="default" w:ascii="Times New Roman" w:hAnsi="Times New Roman" w:cs="Times New Roman"/>
                <w:b/>
                <w:bCs/>
                <w:color w:val="auto"/>
                <w:kern w:val="0"/>
                <w:sz w:val="24"/>
                <w:szCs w:val="24"/>
                <w:highlight w:val="none"/>
                <w:lang w:val="en-US" w:eastAsia="zh-CN"/>
              </w:rPr>
              <w:t>三线一单符合性分析</w:t>
            </w:r>
          </w:p>
          <w:p w14:paraId="3CCFDB21">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Chars="0" w:firstLine="480" w:firstLineChars="200"/>
              <w:jc w:val="left"/>
              <w:textAlignment w:val="auto"/>
              <w:rPr>
                <w:rFonts w:hint="default" w:ascii="Times New Roman" w:hAnsi="Times New Roman" w:cs="Times New Roman"/>
                <w:b w:val="0"/>
                <w:bCs w:val="0"/>
                <w:color w:val="auto"/>
                <w:kern w:val="0"/>
                <w:sz w:val="24"/>
                <w:szCs w:val="24"/>
                <w:highlight w:val="none"/>
                <w:lang w:val="en-US" w:eastAsia="zh-CN"/>
              </w:rPr>
            </w:pPr>
            <w:r>
              <w:rPr>
                <w:rFonts w:hint="eastAsia" w:ascii="Times New Roman" w:hAnsi="Times New Roman" w:eastAsia="宋体" w:cs="Times New Roman"/>
                <w:b w:val="0"/>
                <w:bCs w:val="0"/>
                <w:color w:val="auto"/>
                <w:kern w:val="0"/>
                <w:sz w:val="24"/>
                <w:szCs w:val="24"/>
                <w:highlight w:val="none"/>
                <w:lang w:val="en-US" w:eastAsia="zh-CN"/>
              </w:rPr>
              <w:t>根据《重庆市“三线一单”生态环境分区管控调整方案）（2023年）》及</w:t>
            </w:r>
            <w:r>
              <w:rPr>
                <w:rFonts w:hint="eastAsia" w:cs="Times New Roman"/>
                <w:b w:val="0"/>
                <w:bCs w:val="0"/>
                <w:color w:val="auto"/>
                <w:kern w:val="0"/>
                <w:sz w:val="24"/>
                <w:szCs w:val="24"/>
                <w:highlight w:val="none"/>
                <w:lang w:val="en-US" w:eastAsia="zh-CN"/>
              </w:rPr>
              <w:t>《重庆市九龙坡区“三线一单”生态环境分区管控调整方案（2023年）》</w:t>
            </w:r>
            <w:r>
              <w:rPr>
                <w:rFonts w:hint="default" w:ascii="Times New Roman" w:hAnsi="Times New Roman" w:eastAsia="宋体" w:cs="Times New Roman"/>
                <w:b w:val="0"/>
                <w:bCs w:val="0"/>
                <w:color w:val="auto"/>
                <w:kern w:val="0"/>
                <w:sz w:val="24"/>
                <w:szCs w:val="24"/>
                <w:highlight w:val="none"/>
                <w:lang w:val="en-US" w:eastAsia="zh-CN"/>
              </w:rPr>
              <w:t>，项目位于</w:t>
            </w:r>
            <w:r>
              <w:rPr>
                <w:rFonts w:hint="eastAsia" w:cs="Times New Roman"/>
                <w:b w:val="0"/>
                <w:bCs w:val="0"/>
                <w:color w:val="auto"/>
                <w:kern w:val="0"/>
                <w:sz w:val="24"/>
                <w:szCs w:val="24"/>
                <w:highlight w:val="none"/>
                <w:lang w:val="en-US" w:eastAsia="zh-CN"/>
              </w:rPr>
              <w:t>重庆市九龙坡区二郎街道火炬大道100号附24号及附23-2号</w:t>
            </w:r>
            <w:r>
              <w:rPr>
                <w:rFonts w:hint="default" w:ascii="Times New Roman" w:hAnsi="Times New Roman" w:eastAsia="宋体" w:cs="Times New Roman"/>
                <w:b w:val="0"/>
                <w:bCs w:val="0"/>
                <w:color w:val="auto"/>
                <w:kern w:val="0"/>
                <w:sz w:val="24"/>
                <w:szCs w:val="24"/>
                <w:highlight w:val="none"/>
                <w:lang w:val="en-US" w:eastAsia="zh-CN"/>
              </w:rPr>
              <w:t>，从事宠物医</w:t>
            </w:r>
            <w:r>
              <w:rPr>
                <w:rFonts w:hint="default" w:ascii="Times New Roman" w:hAnsi="Times New Roman" w:cs="Times New Roman"/>
                <w:b w:val="0"/>
                <w:bCs w:val="0"/>
                <w:color w:val="auto"/>
                <w:kern w:val="0"/>
                <w:sz w:val="24"/>
                <w:szCs w:val="24"/>
                <w:highlight w:val="none"/>
                <w:lang w:val="en-US" w:eastAsia="zh-CN"/>
              </w:rPr>
              <w:t>院诊疗服务，项目所在地不属于生态保护红线和一般生态空间，属于ZH50010720001</w:t>
            </w:r>
            <w:r>
              <w:rPr>
                <w:rFonts w:hint="eastAsia" w:cs="Times New Roman"/>
                <w:b w:val="0"/>
                <w:bCs w:val="0"/>
                <w:color w:val="auto"/>
                <w:kern w:val="0"/>
                <w:sz w:val="24"/>
                <w:szCs w:val="24"/>
                <w:highlight w:val="none"/>
                <w:lang w:val="en-US" w:eastAsia="zh-CN"/>
              </w:rPr>
              <w:t>九龙坡区工业城镇重点管控单元-九龙东城片区</w:t>
            </w:r>
            <w:r>
              <w:rPr>
                <w:rFonts w:hint="default" w:ascii="Times New Roman" w:hAnsi="Times New Roman" w:cs="Times New Roman"/>
                <w:b w:val="0"/>
                <w:bCs w:val="0"/>
                <w:color w:val="auto"/>
                <w:kern w:val="0"/>
                <w:sz w:val="24"/>
                <w:szCs w:val="24"/>
                <w:highlight w:val="none"/>
                <w:lang w:val="en-US" w:eastAsia="zh-CN"/>
              </w:rPr>
              <w:t>，系重点管控单元</w:t>
            </w:r>
            <w:r>
              <w:rPr>
                <w:rFonts w:hint="eastAsia" w:cs="Times New Roman"/>
                <w:b w:val="0"/>
                <w:bCs w:val="0"/>
                <w:color w:val="auto"/>
                <w:kern w:val="0"/>
                <w:sz w:val="24"/>
                <w:szCs w:val="24"/>
                <w:highlight w:val="none"/>
                <w:lang w:val="en-US" w:eastAsia="zh-CN"/>
              </w:rPr>
              <w:t>1</w:t>
            </w:r>
            <w:r>
              <w:rPr>
                <w:rFonts w:hint="default" w:ascii="Times New Roman" w:hAnsi="Times New Roman" w:cs="Times New Roman"/>
                <w:b w:val="0"/>
                <w:bCs w:val="0"/>
                <w:color w:val="auto"/>
                <w:kern w:val="0"/>
                <w:sz w:val="24"/>
                <w:szCs w:val="24"/>
                <w:highlight w:val="none"/>
                <w:lang w:val="en-US" w:eastAsia="zh-CN"/>
              </w:rPr>
              <w:t>。</w:t>
            </w:r>
          </w:p>
          <w:p w14:paraId="14D6E5BC">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default" w:ascii="Times New Roman" w:hAnsi="Times New Roman" w:cs="Times New Roman"/>
                <w:b w:val="0"/>
                <w:bCs/>
                <w:color w:val="auto"/>
                <w:sz w:val="24"/>
                <w:szCs w:val="21"/>
                <w:highlight w:val="none"/>
              </w:rPr>
            </w:pPr>
            <w:r>
              <w:rPr>
                <w:rFonts w:hint="default" w:ascii="Times New Roman" w:hAnsi="Times New Roman" w:cs="Times New Roman"/>
                <w:b w:val="0"/>
                <w:bCs/>
                <w:color w:val="auto"/>
                <w:sz w:val="21"/>
                <w:szCs w:val="18"/>
                <w:highlight w:val="none"/>
              </w:rPr>
              <w:t>表1.</w:t>
            </w:r>
            <w:r>
              <w:rPr>
                <w:rFonts w:hint="default" w:ascii="Times New Roman" w:hAnsi="Times New Roman" w:cs="Times New Roman"/>
                <w:b w:val="0"/>
                <w:bCs/>
                <w:color w:val="auto"/>
                <w:sz w:val="21"/>
                <w:szCs w:val="18"/>
                <w:highlight w:val="none"/>
                <w:lang w:val="en-US" w:eastAsia="zh-CN"/>
              </w:rPr>
              <w:t>1</w:t>
            </w:r>
            <w:r>
              <w:rPr>
                <w:rFonts w:hint="default" w:ascii="Times New Roman" w:hAnsi="Times New Roman" w:cs="Times New Roman"/>
                <w:b w:val="0"/>
                <w:bCs/>
                <w:color w:val="auto"/>
                <w:sz w:val="21"/>
                <w:szCs w:val="18"/>
                <w:highlight w:val="none"/>
              </w:rPr>
              <w:t>-1  本项目与“三线一单”符合性分析</w:t>
            </w:r>
          </w:p>
          <w:tbl>
            <w:tblPr>
              <w:tblStyle w:val="2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8"/>
              <w:gridCol w:w="572"/>
              <w:gridCol w:w="3522"/>
              <w:gridCol w:w="1534"/>
              <w:gridCol w:w="399"/>
            </w:tblGrid>
            <w:tr w14:paraId="19F5FF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55" w:type="dxa"/>
                  <w:gridSpan w:val="2"/>
                  <w:noWrap w:val="0"/>
                  <w:tcMar>
                    <w:top w:w="0" w:type="dxa"/>
                    <w:left w:w="0" w:type="dxa"/>
                    <w:bottom w:w="0" w:type="dxa"/>
                    <w:right w:w="0" w:type="dxa"/>
                  </w:tcMar>
                  <w:vAlign w:val="center"/>
                </w:tcPr>
                <w:p w14:paraId="363457BD">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default" w:ascii="Times New Roman" w:hAnsi="Times New Roman" w:eastAsia="宋体" w:cs="Times New Roman"/>
                      <w:color w:val="auto"/>
                      <w:spacing w:val="0"/>
                      <w:sz w:val="21"/>
                      <w:highlight w:val="none"/>
                    </w:rPr>
                    <w:t>环境管控单元编码</w:t>
                  </w:r>
                </w:p>
              </w:tc>
              <w:tc>
                <w:tcPr>
                  <w:tcW w:w="3663" w:type="dxa"/>
                  <w:noWrap w:val="0"/>
                  <w:tcMar>
                    <w:top w:w="0" w:type="dxa"/>
                    <w:left w:w="0" w:type="dxa"/>
                    <w:bottom w:w="0" w:type="dxa"/>
                    <w:right w:w="0" w:type="dxa"/>
                  </w:tcMar>
                  <w:vAlign w:val="center"/>
                </w:tcPr>
                <w:p w14:paraId="02F39750">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default" w:ascii="Times New Roman" w:hAnsi="Times New Roman" w:eastAsia="宋体" w:cs="Times New Roman"/>
                      <w:color w:val="auto"/>
                      <w:spacing w:val="0"/>
                      <w:sz w:val="21"/>
                      <w:highlight w:val="none"/>
                    </w:rPr>
                    <w:t>环境管控单元名称</w:t>
                  </w:r>
                </w:p>
              </w:tc>
              <w:tc>
                <w:tcPr>
                  <w:tcW w:w="2009" w:type="dxa"/>
                  <w:gridSpan w:val="2"/>
                  <w:noWrap w:val="0"/>
                  <w:tcMar>
                    <w:top w:w="0" w:type="dxa"/>
                    <w:left w:w="0" w:type="dxa"/>
                    <w:bottom w:w="0" w:type="dxa"/>
                    <w:right w:w="0" w:type="dxa"/>
                  </w:tcMar>
                  <w:vAlign w:val="center"/>
                </w:tcPr>
                <w:p w14:paraId="5072E39B">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default" w:ascii="Times New Roman" w:hAnsi="Times New Roman" w:eastAsia="宋体" w:cs="Times New Roman"/>
                      <w:color w:val="auto"/>
                      <w:spacing w:val="0"/>
                      <w:sz w:val="21"/>
                      <w:highlight w:val="none"/>
                    </w:rPr>
                    <w:t>环境管控单元类型</w:t>
                  </w:r>
                </w:p>
              </w:tc>
            </w:tr>
            <w:tr w14:paraId="719D07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55" w:type="dxa"/>
                  <w:gridSpan w:val="2"/>
                  <w:noWrap w:val="0"/>
                  <w:tcMar>
                    <w:top w:w="0" w:type="dxa"/>
                    <w:left w:w="0" w:type="dxa"/>
                    <w:bottom w:w="0" w:type="dxa"/>
                    <w:right w:w="0" w:type="dxa"/>
                  </w:tcMar>
                  <w:vAlign w:val="center"/>
                </w:tcPr>
                <w:p w14:paraId="5E64E024">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lang w:eastAsia="zh-CN"/>
                    </w:rPr>
                  </w:pPr>
                  <w:r>
                    <w:rPr>
                      <w:rFonts w:hint="default" w:ascii="Times New Roman" w:hAnsi="Times New Roman" w:eastAsia="宋体" w:cs="Times New Roman"/>
                      <w:color w:val="auto"/>
                      <w:spacing w:val="0"/>
                      <w:sz w:val="21"/>
                      <w:highlight w:val="none"/>
                      <w:lang w:eastAsia="zh-CN"/>
                    </w:rPr>
                    <w:t>ZH50010</w:t>
                  </w:r>
                  <w:r>
                    <w:rPr>
                      <w:rFonts w:hint="eastAsia" w:ascii="Times New Roman" w:hAnsi="Times New Roman" w:eastAsia="宋体" w:cs="Times New Roman"/>
                      <w:color w:val="auto"/>
                      <w:spacing w:val="0"/>
                      <w:sz w:val="21"/>
                      <w:highlight w:val="none"/>
                      <w:lang w:val="en-US" w:eastAsia="zh-CN"/>
                    </w:rPr>
                    <w:t>7</w:t>
                  </w:r>
                  <w:r>
                    <w:rPr>
                      <w:rFonts w:hint="default" w:ascii="Times New Roman" w:hAnsi="Times New Roman" w:eastAsia="宋体" w:cs="Times New Roman"/>
                      <w:color w:val="auto"/>
                      <w:spacing w:val="0"/>
                      <w:sz w:val="21"/>
                      <w:highlight w:val="none"/>
                      <w:lang w:eastAsia="zh-CN"/>
                    </w:rPr>
                    <w:t>20001</w:t>
                  </w:r>
                </w:p>
              </w:tc>
              <w:tc>
                <w:tcPr>
                  <w:tcW w:w="3663" w:type="dxa"/>
                  <w:noWrap w:val="0"/>
                  <w:tcMar>
                    <w:top w:w="0" w:type="dxa"/>
                    <w:left w:w="0" w:type="dxa"/>
                    <w:bottom w:w="0" w:type="dxa"/>
                    <w:right w:w="0" w:type="dxa"/>
                  </w:tcMar>
                  <w:vAlign w:val="center"/>
                </w:tcPr>
                <w:p w14:paraId="554CFF4D">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lang w:val="en-US" w:eastAsia="zh-CN"/>
                    </w:rPr>
                  </w:pPr>
                  <w:r>
                    <w:rPr>
                      <w:rFonts w:hint="eastAsia" w:ascii="Times New Roman" w:hAnsi="Times New Roman" w:eastAsia="宋体" w:cs="Times New Roman"/>
                      <w:color w:val="auto"/>
                      <w:spacing w:val="0"/>
                      <w:sz w:val="21"/>
                      <w:highlight w:val="none"/>
                      <w:lang w:eastAsia="zh-CN"/>
                    </w:rPr>
                    <w:t>九龙坡区</w:t>
                  </w:r>
                  <w:r>
                    <w:rPr>
                      <w:rFonts w:hint="default" w:ascii="Times New Roman" w:hAnsi="Times New Roman" w:eastAsia="宋体" w:cs="Times New Roman"/>
                      <w:color w:val="auto"/>
                      <w:spacing w:val="0"/>
                      <w:sz w:val="21"/>
                      <w:highlight w:val="none"/>
                      <w:lang w:eastAsia="zh-CN"/>
                    </w:rPr>
                    <w:t>工业城镇重点管控单元</w:t>
                  </w:r>
                  <w:r>
                    <w:rPr>
                      <w:rFonts w:hint="eastAsia" w:ascii="Times New Roman" w:hAnsi="Times New Roman" w:eastAsia="宋体" w:cs="Times New Roman"/>
                      <w:color w:val="auto"/>
                      <w:spacing w:val="0"/>
                      <w:sz w:val="21"/>
                      <w:highlight w:val="none"/>
                      <w:lang w:val="en-US" w:eastAsia="zh-CN"/>
                    </w:rPr>
                    <w:t>-九龙东城片区</w:t>
                  </w:r>
                </w:p>
              </w:tc>
              <w:tc>
                <w:tcPr>
                  <w:tcW w:w="2009" w:type="dxa"/>
                  <w:gridSpan w:val="2"/>
                  <w:noWrap w:val="0"/>
                  <w:tcMar>
                    <w:top w:w="0" w:type="dxa"/>
                    <w:left w:w="0" w:type="dxa"/>
                    <w:bottom w:w="0" w:type="dxa"/>
                    <w:right w:w="0" w:type="dxa"/>
                  </w:tcMar>
                  <w:vAlign w:val="center"/>
                </w:tcPr>
                <w:p w14:paraId="2334E2C7">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default" w:ascii="Times New Roman" w:hAnsi="Times New Roman" w:eastAsia="宋体" w:cs="Times New Roman"/>
                      <w:color w:val="auto"/>
                      <w:spacing w:val="0"/>
                      <w:sz w:val="21"/>
                      <w:highlight w:val="none"/>
                    </w:rPr>
                    <w:t>重点管控单元</w:t>
                  </w:r>
                </w:p>
              </w:tc>
            </w:tr>
            <w:tr w14:paraId="5034FD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61" w:type="dxa"/>
                  <w:noWrap w:val="0"/>
                  <w:tcMar>
                    <w:top w:w="0" w:type="dxa"/>
                    <w:left w:w="0" w:type="dxa"/>
                    <w:bottom w:w="0" w:type="dxa"/>
                    <w:right w:w="0" w:type="dxa"/>
                  </w:tcMar>
                  <w:vAlign w:val="center"/>
                </w:tcPr>
                <w:p w14:paraId="0A930E34">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default" w:ascii="Times New Roman" w:hAnsi="Times New Roman" w:eastAsia="宋体" w:cs="Times New Roman"/>
                      <w:color w:val="auto"/>
                      <w:spacing w:val="0"/>
                      <w:sz w:val="21"/>
                      <w:highlight w:val="none"/>
                    </w:rPr>
                    <w:t>管控要求层级</w:t>
                  </w:r>
                </w:p>
              </w:tc>
              <w:tc>
                <w:tcPr>
                  <w:tcW w:w="594" w:type="dxa"/>
                  <w:noWrap w:val="0"/>
                  <w:tcMar>
                    <w:top w:w="0" w:type="dxa"/>
                    <w:left w:w="0" w:type="dxa"/>
                    <w:bottom w:w="0" w:type="dxa"/>
                    <w:right w:w="0" w:type="dxa"/>
                  </w:tcMar>
                  <w:vAlign w:val="center"/>
                </w:tcPr>
                <w:p w14:paraId="49F5E42A">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default" w:ascii="Times New Roman" w:hAnsi="Times New Roman" w:eastAsia="宋体" w:cs="Times New Roman"/>
                      <w:color w:val="auto"/>
                      <w:spacing w:val="0"/>
                      <w:sz w:val="21"/>
                      <w:highlight w:val="none"/>
                    </w:rPr>
                    <w:t>管控类型</w:t>
                  </w:r>
                </w:p>
              </w:tc>
              <w:tc>
                <w:tcPr>
                  <w:tcW w:w="3663" w:type="dxa"/>
                  <w:noWrap w:val="0"/>
                  <w:tcMar>
                    <w:top w:w="0" w:type="dxa"/>
                    <w:left w:w="0" w:type="dxa"/>
                    <w:bottom w:w="0" w:type="dxa"/>
                    <w:right w:w="0" w:type="dxa"/>
                  </w:tcMar>
                  <w:vAlign w:val="center"/>
                </w:tcPr>
                <w:p w14:paraId="6E222830">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default" w:ascii="Times New Roman" w:hAnsi="Times New Roman" w:eastAsia="宋体" w:cs="Times New Roman"/>
                      <w:color w:val="auto"/>
                      <w:spacing w:val="0"/>
                      <w:sz w:val="21"/>
                      <w:highlight w:val="none"/>
                    </w:rPr>
                    <w:t>管控要求</w:t>
                  </w:r>
                </w:p>
              </w:tc>
              <w:tc>
                <w:tcPr>
                  <w:tcW w:w="1595" w:type="dxa"/>
                  <w:noWrap w:val="0"/>
                  <w:tcMar>
                    <w:top w:w="0" w:type="dxa"/>
                    <w:left w:w="0" w:type="dxa"/>
                    <w:bottom w:w="0" w:type="dxa"/>
                    <w:right w:w="0" w:type="dxa"/>
                  </w:tcMar>
                  <w:vAlign w:val="center"/>
                </w:tcPr>
                <w:p w14:paraId="3D07F2A8">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default" w:ascii="Times New Roman" w:hAnsi="Times New Roman" w:eastAsia="宋体" w:cs="Times New Roman"/>
                      <w:color w:val="auto"/>
                      <w:spacing w:val="0"/>
                      <w:sz w:val="21"/>
                      <w:highlight w:val="none"/>
                    </w:rPr>
                    <w:t>本项目相关情况</w:t>
                  </w:r>
                </w:p>
              </w:tc>
              <w:tc>
                <w:tcPr>
                  <w:tcW w:w="414" w:type="dxa"/>
                  <w:noWrap w:val="0"/>
                  <w:tcMar>
                    <w:top w:w="0" w:type="dxa"/>
                    <w:left w:w="0" w:type="dxa"/>
                    <w:bottom w:w="0" w:type="dxa"/>
                    <w:right w:w="0" w:type="dxa"/>
                  </w:tcMar>
                  <w:vAlign w:val="center"/>
                </w:tcPr>
                <w:p w14:paraId="4390942F">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default" w:ascii="Times New Roman" w:hAnsi="Times New Roman" w:eastAsia="宋体" w:cs="Times New Roman"/>
                      <w:color w:val="auto"/>
                      <w:spacing w:val="0"/>
                      <w:sz w:val="21"/>
                      <w:highlight w:val="none"/>
                    </w:rPr>
                    <w:t>符合性</w:t>
                  </w:r>
                </w:p>
              </w:tc>
            </w:tr>
            <w:tr w14:paraId="7EA114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61" w:type="dxa"/>
                  <w:vMerge w:val="restart"/>
                  <w:noWrap w:val="0"/>
                  <w:tcMar>
                    <w:top w:w="0" w:type="dxa"/>
                    <w:left w:w="0" w:type="dxa"/>
                    <w:bottom w:w="0" w:type="dxa"/>
                    <w:right w:w="0" w:type="dxa"/>
                  </w:tcMar>
                  <w:vAlign w:val="center"/>
                </w:tcPr>
                <w:p w14:paraId="00470592">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default" w:ascii="Times New Roman" w:hAnsi="Times New Roman" w:eastAsia="宋体" w:cs="Times New Roman"/>
                      <w:color w:val="auto"/>
                      <w:spacing w:val="0"/>
                      <w:sz w:val="21"/>
                      <w:highlight w:val="none"/>
                    </w:rPr>
                    <w:t>全市总体管控要求</w:t>
                  </w:r>
                </w:p>
              </w:tc>
              <w:tc>
                <w:tcPr>
                  <w:tcW w:w="594" w:type="dxa"/>
                  <w:vMerge w:val="restart"/>
                  <w:noWrap w:val="0"/>
                  <w:tcMar>
                    <w:top w:w="0" w:type="dxa"/>
                    <w:left w:w="0" w:type="dxa"/>
                    <w:bottom w:w="0" w:type="dxa"/>
                    <w:right w:w="0" w:type="dxa"/>
                  </w:tcMar>
                  <w:vAlign w:val="center"/>
                </w:tcPr>
                <w:p w14:paraId="694505A7">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default" w:ascii="Times New Roman" w:hAnsi="Times New Roman" w:eastAsia="宋体" w:cs="Times New Roman"/>
                      <w:color w:val="auto"/>
                      <w:spacing w:val="0"/>
                      <w:sz w:val="21"/>
                      <w:highlight w:val="none"/>
                    </w:rPr>
                    <w:t>空间布局约束</w:t>
                  </w:r>
                </w:p>
              </w:tc>
              <w:tc>
                <w:tcPr>
                  <w:tcW w:w="3663" w:type="dxa"/>
                  <w:noWrap w:val="0"/>
                  <w:tcMar>
                    <w:top w:w="0" w:type="dxa"/>
                    <w:left w:w="0" w:type="dxa"/>
                    <w:bottom w:w="0" w:type="dxa"/>
                    <w:right w:w="0" w:type="dxa"/>
                  </w:tcMar>
                  <w:vAlign w:val="center"/>
                </w:tcPr>
                <w:p w14:paraId="0EEF7EB7">
                  <w:pPr>
                    <w:keepNext w:val="0"/>
                    <w:keepLines w:val="0"/>
                    <w:pageBreakBefore w:val="0"/>
                    <w:kinsoku/>
                    <w:wordWrap/>
                    <w:overflowPunct/>
                    <w:topLinePunct w:val="0"/>
                    <w:autoSpaceDE/>
                    <w:autoSpaceDN/>
                    <w:bidi w:val="0"/>
                    <w:snapToGrid w:val="0"/>
                    <w:jc w:val="center"/>
                    <w:textAlignment w:val="auto"/>
                    <w:rPr>
                      <w:rFonts w:hint="default" w:ascii="Times New Roman" w:hAnsi="Times New Roman" w:eastAsia="宋体"/>
                      <w:color w:val="auto"/>
                      <w:spacing w:val="0"/>
                      <w:kern w:val="2"/>
                      <w:sz w:val="21"/>
                      <w:szCs w:val="24"/>
                      <w:lang w:val="en-US" w:eastAsia="zh-CN" w:bidi="ar-SA"/>
                    </w:rPr>
                  </w:pPr>
                  <w:r>
                    <w:rPr>
                      <w:rFonts w:hint="eastAsia" w:ascii="Times New Roman" w:hAnsi="Times New Roman" w:eastAsia="宋体"/>
                      <w:color w:val="auto"/>
                      <w:spacing w:val="0"/>
                      <w:sz w:val="21"/>
                    </w:rPr>
                    <w:t>第一条 深入贯彻习近平生态文明思想，筑牢长江上游重要生态屏障，推动优势区域重点发展、生态功能区重点保护、城乡融合发展，优化重点区域、流域、产业的空间布局。</w:t>
                  </w:r>
                </w:p>
              </w:tc>
              <w:tc>
                <w:tcPr>
                  <w:tcW w:w="1595" w:type="dxa"/>
                  <w:noWrap w:val="0"/>
                  <w:tcMar>
                    <w:top w:w="0" w:type="dxa"/>
                    <w:left w:w="0" w:type="dxa"/>
                    <w:bottom w:w="0" w:type="dxa"/>
                    <w:right w:w="0" w:type="dxa"/>
                  </w:tcMar>
                  <w:vAlign w:val="center"/>
                </w:tcPr>
                <w:p w14:paraId="0DCF0FD1">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lang w:eastAsia="zh-CN"/>
                    </w:rPr>
                  </w:pPr>
                  <w:r>
                    <w:rPr>
                      <w:rFonts w:hint="eastAsia" w:ascii="Times New Roman" w:hAnsi="Times New Roman" w:eastAsia="宋体" w:cs="Times New Roman"/>
                      <w:color w:val="auto"/>
                      <w:spacing w:val="0"/>
                      <w:sz w:val="21"/>
                      <w:highlight w:val="none"/>
                      <w:lang w:val="en-US" w:eastAsia="zh-CN"/>
                    </w:rPr>
                    <w:t>本</w:t>
                  </w:r>
                  <w:r>
                    <w:rPr>
                      <w:rFonts w:hint="default" w:ascii="Times New Roman" w:hAnsi="Times New Roman" w:eastAsia="宋体" w:cs="Times New Roman"/>
                      <w:color w:val="auto"/>
                      <w:spacing w:val="0"/>
                      <w:sz w:val="21"/>
                      <w:highlight w:val="none"/>
                    </w:rPr>
                    <w:t>项目严格按照“三线一单”管控要求，认真落实废气、废水、噪声及固体废物污染防治措施，确保各污染物稳定达标排放，减小对环境的不利影响。</w:t>
                  </w:r>
                </w:p>
              </w:tc>
              <w:tc>
                <w:tcPr>
                  <w:tcW w:w="414" w:type="dxa"/>
                  <w:noWrap w:val="0"/>
                  <w:tcMar>
                    <w:top w:w="0" w:type="dxa"/>
                    <w:left w:w="0" w:type="dxa"/>
                    <w:bottom w:w="0" w:type="dxa"/>
                    <w:right w:w="0" w:type="dxa"/>
                  </w:tcMar>
                  <w:vAlign w:val="center"/>
                </w:tcPr>
                <w:p w14:paraId="5BE6A9F5">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default" w:ascii="Times New Roman" w:hAnsi="Times New Roman" w:eastAsia="宋体" w:cs="Times New Roman"/>
                      <w:color w:val="auto"/>
                      <w:spacing w:val="0"/>
                      <w:sz w:val="21"/>
                      <w:highlight w:val="none"/>
                    </w:rPr>
                    <w:t>符合</w:t>
                  </w:r>
                </w:p>
              </w:tc>
            </w:tr>
            <w:tr w14:paraId="5C6828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61" w:type="dxa"/>
                  <w:vMerge w:val="continue"/>
                  <w:noWrap w:val="0"/>
                  <w:tcMar>
                    <w:top w:w="0" w:type="dxa"/>
                    <w:left w:w="0" w:type="dxa"/>
                    <w:bottom w:w="0" w:type="dxa"/>
                    <w:right w:w="0" w:type="dxa"/>
                  </w:tcMar>
                  <w:vAlign w:val="center"/>
                </w:tcPr>
                <w:p w14:paraId="63521A16">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594" w:type="dxa"/>
                  <w:vMerge w:val="continue"/>
                  <w:noWrap w:val="0"/>
                  <w:tcMar>
                    <w:top w:w="0" w:type="dxa"/>
                    <w:left w:w="0" w:type="dxa"/>
                    <w:bottom w:w="0" w:type="dxa"/>
                    <w:right w:w="0" w:type="dxa"/>
                  </w:tcMar>
                  <w:vAlign w:val="center"/>
                </w:tcPr>
                <w:p w14:paraId="6E3CFF3F">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3663" w:type="dxa"/>
                  <w:noWrap w:val="0"/>
                  <w:tcMar>
                    <w:top w:w="0" w:type="dxa"/>
                    <w:left w:w="0" w:type="dxa"/>
                    <w:bottom w:w="0" w:type="dxa"/>
                    <w:right w:w="0" w:type="dxa"/>
                  </w:tcMar>
                  <w:vAlign w:val="center"/>
                </w:tcPr>
                <w:p w14:paraId="2DC989FC">
                  <w:pPr>
                    <w:keepNext w:val="0"/>
                    <w:keepLines w:val="0"/>
                    <w:pageBreakBefore w:val="0"/>
                    <w:kinsoku/>
                    <w:wordWrap/>
                    <w:overflowPunct/>
                    <w:topLinePunct w:val="0"/>
                    <w:autoSpaceDE/>
                    <w:autoSpaceDN/>
                    <w:bidi w:val="0"/>
                    <w:snapToGrid w:val="0"/>
                    <w:jc w:val="center"/>
                    <w:textAlignment w:val="auto"/>
                    <w:rPr>
                      <w:rFonts w:hint="default" w:ascii="Times New Roman" w:hAnsi="Times New Roman" w:eastAsia="宋体"/>
                      <w:color w:val="auto"/>
                      <w:spacing w:val="0"/>
                      <w:kern w:val="2"/>
                      <w:sz w:val="21"/>
                      <w:szCs w:val="24"/>
                      <w:lang w:val="en-US" w:eastAsia="zh-CN" w:bidi="ar-SA"/>
                    </w:rPr>
                  </w:pPr>
                  <w:r>
                    <w:rPr>
                      <w:rFonts w:hint="eastAsia" w:ascii="Times New Roman" w:hAnsi="Times New Roman" w:eastAsia="宋体"/>
                      <w:color w:val="auto"/>
                      <w:spacing w:val="0"/>
                      <w:sz w:val="21"/>
                    </w:rPr>
                    <w:t>第二条 禁止在长江干支流、重要湖泊岸线一公里范围内新建、扩建化工园区和化工项目。禁止在长江干流岸线三公里范围内和重要支流岸线一公里范围内新建、改建、扩建尾矿库、冶炼渣库、磷石膏库，以提升安全、生态环境保护水平为目的的改建除外。禁止在长江、嘉陵江、乌江岸线一公里范围内布局新建重化工、纸浆制造、印染等存在环境风险的项目。</w:t>
                  </w:r>
                </w:p>
              </w:tc>
              <w:tc>
                <w:tcPr>
                  <w:tcW w:w="1595" w:type="dxa"/>
                  <w:noWrap w:val="0"/>
                  <w:tcMar>
                    <w:top w:w="0" w:type="dxa"/>
                    <w:left w:w="0" w:type="dxa"/>
                    <w:bottom w:w="0" w:type="dxa"/>
                    <w:right w:w="0" w:type="dxa"/>
                  </w:tcMar>
                  <w:vAlign w:val="center"/>
                </w:tcPr>
                <w:p w14:paraId="48E08D12">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eastAsia" w:ascii="Times New Roman" w:hAnsi="Times New Roman" w:eastAsia="宋体" w:cs="Times New Roman"/>
                      <w:color w:val="auto"/>
                      <w:spacing w:val="0"/>
                      <w:sz w:val="21"/>
                      <w:highlight w:val="none"/>
                      <w:lang w:val="en-US" w:eastAsia="zh-CN"/>
                    </w:rPr>
                    <w:t>本项目为动物医院扩建项目</w:t>
                  </w:r>
                  <w:r>
                    <w:rPr>
                      <w:rFonts w:hint="default" w:ascii="Times New Roman" w:hAnsi="Times New Roman" w:eastAsia="宋体" w:cs="Times New Roman"/>
                      <w:color w:val="auto"/>
                      <w:spacing w:val="0"/>
                      <w:sz w:val="21"/>
                      <w:highlight w:val="none"/>
                    </w:rPr>
                    <w:t>，位于</w:t>
                  </w:r>
                  <w:r>
                    <w:rPr>
                      <w:rFonts w:hint="eastAsia" w:ascii="Times New Roman" w:hAnsi="Times New Roman" w:eastAsia="宋体" w:cs="Times New Roman"/>
                      <w:color w:val="auto"/>
                      <w:spacing w:val="0"/>
                      <w:sz w:val="21"/>
                      <w:highlight w:val="none"/>
                      <w:lang w:val="en-US" w:eastAsia="zh-CN"/>
                    </w:rPr>
                    <w:t>重庆市九龙坡区二郎街道火炬大道100号附24号及附23-2号</w:t>
                  </w:r>
                  <w:r>
                    <w:rPr>
                      <w:rFonts w:hint="default" w:ascii="Times New Roman" w:hAnsi="Times New Roman" w:eastAsia="宋体" w:cs="Times New Roman"/>
                      <w:color w:val="auto"/>
                      <w:spacing w:val="0"/>
                      <w:sz w:val="21"/>
                      <w:highlight w:val="none"/>
                    </w:rPr>
                    <w:t>，不属于</w:t>
                  </w:r>
                  <w:r>
                    <w:rPr>
                      <w:rFonts w:hint="eastAsia" w:ascii="Times New Roman" w:hAnsi="Times New Roman" w:eastAsia="宋体" w:cs="Times New Roman"/>
                      <w:color w:val="auto"/>
                      <w:spacing w:val="0"/>
                      <w:sz w:val="21"/>
                      <w:highlight w:val="none"/>
                      <w:lang w:val="en-US" w:eastAsia="zh-CN"/>
                    </w:rPr>
                    <w:t>前述行业</w:t>
                  </w:r>
                  <w:r>
                    <w:rPr>
                      <w:rFonts w:hint="default" w:ascii="Times New Roman" w:hAnsi="Times New Roman" w:eastAsia="宋体" w:cs="Times New Roman"/>
                      <w:color w:val="auto"/>
                      <w:spacing w:val="0"/>
                      <w:sz w:val="21"/>
                      <w:highlight w:val="none"/>
                    </w:rPr>
                    <w:t>。</w:t>
                  </w:r>
                </w:p>
              </w:tc>
              <w:tc>
                <w:tcPr>
                  <w:tcW w:w="414" w:type="dxa"/>
                  <w:noWrap w:val="0"/>
                  <w:tcMar>
                    <w:top w:w="0" w:type="dxa"/>
                    <w:left w:w="0" w:type="dxa"/>
                    <w:bottom w:w="0" w:type="dxa"/>
                    <w:right w:w="0" w:type="dxa"/>
                  </w:tcMar>
                  <w:vAlign w:val="center"/>
                </w:tcPr>
                <w:p w14:paraId="3CDA7978">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default" w:ascii="Times New Roman" w:hAnsi="Times New Roman" w:eastAsia="宋体" w:cs="Times New Roman"/>
                      <w:color w:val="auto"/>
                      <w:spacing w:val="0"/>
                      <w:sz w:val="21"/>
                      <w:highlight w:val="none"/>
                    </w:rPr>
                    <w:t>符合</w:t>
                  </w:r>
                </w:p>
              </w:tc>
            </w:tr>
            <w:tr w14:paraId="0D6CFF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61" w:type="dxa"/>
                  <w:vMerge w:val="continue"/>
                  <w:noWrap w:val="0"/>
                  <w:tcMar>
                    <w:top w:w="0" w:type="dxa"/>
                    <w:left w:w="0" w:type="dxa"/>
                    <w:bottom w:w="0" w:type="dxa"/>
                    <w:right w:w="0" w:type="dxa"/>
                  </w:tcMar>
                  <w:vAlign w:val="center"/>
                </w:tcPr>
                <w:p w14:paraId="6906BFD9">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594" w:type="dxa"/>
                  <w:vMerge w:val="continue"/>
                  <w:noWrap w:val="0"/>
                  <w:tcMar>
                    <w:top w:w="0" w:type="dxa"/>
                    <w:left w:w="0" w:type="dxa"/>
                    <w:bottom w:w="0" w:type="dxa"/>
                    <w:right w:w="0" w:type="dxa"/>
                  </w:tcMar>
                  <w:vAlign w:val="center"/>
                </w:tcPr>
                <w:p w14:paraId="44BCF372">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3663" w:type="dxa"/>
                  <w:noWrap w:val="0"/>
                  <w:tcMar>
                    <w:top w:w="0" w:type="dxa"/>
                    <w:left w:w="0" w:type="dxa"/>
                    <w:bottom w:w="0" w:type="dxa"/>
                    <w:right w:w="0" w:type="dxa"/>
                  </w:tcMar>
                  <w:vAlign w:val="center"/>
                </w:tcPr>
                <w:p w14:paraId="769A8F0D">
                  <w:pPr>
                    <w:keepNext w:val="0"/>
                    <w:keepLines w:val="0"/>
                    <w:pageBreakBefore w:val="0"/>
                    <w:kinsoku/>
                    <w:wordWrap/>
                    <w:overflowPunct/>
                    <w:topLinePunct w:val="0"/>
                    <w:autoSpaceDE/>
                    <w:autoSpaceDN/>
                    <w:bidi w:val="0"/>
                    <w:snapToGrid w:val="0"/>
                    <w:jc w:val="center"/>
                    <w:textAlignment w:val="auto"/>
                    <w:rPr>
                      <w:rFonts w:hint="default" w:ascii="Times New Roman" w:hAnsi="Times New Roman" w:eastAsia="宋体"/>
                      <w:color w:val="auto"/>
                      <w:spacing w:val="0"/>
                      <w:kern w:val="2"/>
                      <w:sz w:val="21"/>
                      <w:szCs w:val="24"/>
                      <w:lang w:val="en-US" w:eastAsia="zh-CN" w:bidi="ar-SA"/>
                    </w:rPr>
                  </w:pPr>
                  <w:r>
                    <w:rPr>
                      <w:rFonts w:hint="eastAsia" w:ascii="Times New Roman" w:hAnsi="Times New Roman" w:eastAsia="宋体"/>
                      <w:color w:val="auto"/>
                      <w:spacing w:val="0"/>
                      <w:sz w:val="21"/>
                    </w:rPr>
                    <w:t>第三条 禁止在合规园区外新建、扩建钢铁、石化、化工、焦化、建材、有色、制浆造纸等高污染项目（高污染项目严格按照《环境保护综合名录》“高污染”产品名录执行）。禁止新建、扩建不符合国家石化、现代煤化工等产业布局规划的项目。新建、改建、扩建“两高”项目须符合生态环境保护法律法规和相关法定规划，满足重点污染物排放总量控制、碳排放达峰目标、生态环境准入清单、相关规划环评和相应行业建设项目环境准入条件、环评文件审批原则要求。</w:t>
                  </w:r>
                </w:p>
              </w:tc>
              <w:tc>
                <w:tcPr>
                  <w:tcW w:w="1595" w:type="dxa"/>
                  <w:noWrap w:val="0"/>
                  <w:tcMar>
                    <w:top w:w="0" w:type="dxa"/>
                    <w:left w:w="0" w:type="dxa"/>
                    <w:bottom w:w="0" w:type="dxa"/>
                    <w:right w:w="0" w:type="dxa"/>
                  </w:tcMar>
                  <w:vAlign w:val="center"/>
                </w:tcPr>
                <w:p w14:paraId="7DD753CA">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eastAsia" w:ascii="Times New Roman" w:hAnsi="Times New Roman" w:eastAsia="宋体" w:cs="Times New Roman"/>
                      <w:color w:val="auto"/>
                      <w:spacing w:val="0"/>
                      <w:sz w:val="21"/>
                      <w:highlight w:val="none"/>
                      <w:lang w:val="en-US" w:eastAsia="zh-CN"/>
                    </w:rPr>
                    <w:t>本项目为动物医院扩建项目</w:t>
                  </w:r>
                  <w:r>
                    <w:rPr>
                      <w:rFonts w:hint="default" w:ascii="Times New Roman" w:hAnsi="Times New Roman" w:eastAsia="宋体" w:cs="Times New Roman"/>
                      <w:color w:val="auto"/>
                      <w:spacing w:val="0"/>
                      <w:sz w:val="21"/>
                      <w:highlight w:val="none"/>
                      <w:lang w:val="en-US" w:eastAsia="zh-CN"/>
                    </w:rPr>
                    <w:t>，</w:t>
                  </w:r>
                  <w:r>
                    <w:rPr>
                      <w:rFonts w:hint="default" w:ascii="Times New Roman" w:hAnsi="Times New Roman" w:eastAsia="宋体" w:cs="Times New Roman"/>
                      <w:color w:val="auto"/>
                      <w:spacing w:val="0"/>
                      <w:sz w:val="21"/>
                      <w:highlight w:val="none"/>
                    </w:rPr>
                    <w:t>不属于</w:t>
                  </w:r>
                  <w:r>
                    <w:rPr>
                      <w:rFonts w:hint="eastAsia" w:ascii="Times New Roman" w:hAnsi="Times New Roman" w:eastAsia="宋体" w:cs="Times New Roman"/>
                      <w:color w:val="auto"/>
                      <w:spacing w:val="0"/>
                      <w:sz w:val="21"/>
                      <w:highlight w:val="none"/>
                      <w:lang w:val="en-US" w:eastAsia="zh-CN"/>
                    </w:rPr>
                    <w:t>前述行业</w:t>
                  </w:r>
                  <w:r>
                    <w:rPr>
                      <w:rFonts w:hint="default" w:ascii="Times New Roman" w:hAnsi="Times New Roman" w:eastAsia="宋体" w:cs="Times New Roman"/>
                      <w:color w:val="auto"/>
                      <w:spacing w:val="0"/>
                      <w:sz w:val="21"/>
                      <w:highlight w:val="none"/>
                    </w:rPr>
                    <w:t>。</w:t>
                  </w:r>
                </w:p>
              </w:tc>
              <w:tc>
                <w:tcPr>
                  <w:tcW w:w="414" w:type="dxa"/>
                  <w:noWrap w:val="0"/>
                  <w:tcMar>
                    <w:top w:w="0" w:type="dxa"/>
                    <w:left w:w="0" w:type="dxa"/>
                    <w:bottom w:w="0" w:type="dxa"/>
                    <w:right w:w="0" w:type="dxa"/>
                  </w:tcMar>
                  <w:vAlign w:val="center"/>
                </w:tcPr>
                <w:p w14:paraId="0E6F9730">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default" w:ascii="Times New Roman" w:hAnsi="Times New Roman" w:eastAsia="宋体" w:cs="Times New Roman"/>
                      <w:color w:val="auto"/>
                      <w:spacing w:val="0"/>
                      <w:sz w:val="21"/>
                      <w:highlight w:val="none"/>
                    </w:rPr>
                    <w:t>符合</w:t>
                  </w:r>
                </w:p>
              </w:tc>
            </w:tr>
            <w:tr w14:paraId="5CF3B8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61" w:type="dxa"/>
                  <w:vMerge w:val="continue"/>
                  <w:noWrap w:val="0"/>
                  <w:tcMar>
                    <w:top w:w="0" w:type="dxa"/>
                    <w:left w:w="0" w:type="dxa"/>
                    <w:bottom w:w="0" w:type="dxa"/>
                    <w:right w:w="0" w:type="dxa"/>
                  </w:tcMar>
                  <w:vAlign w:val="center"/>
                </w:tcPr>
                <w:p w14:paraId="2DF17D1F">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594" w:type="dxa"/>
                  <w:vMerge w:val="continue"/>
                  <w:noWrap w:val="0"/>
                  <w:tcMar>
                    <w:top w:w="0" w:type="dxa"/>
                    <w:left w:w="0" w:type="dxa"/>
                    <w:bottom w:w="0" w:type="dxa"/>
                    <w:right w:w="0" w:type="dxa"/>
                  </w:tcMar>
                  <w:vAlign w:val="center"/>
                </w:tcPr>
                <w:p w14:paraId="1D03CA85">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3663" w:type="dxa"/>
                  <w:noWrap w:val="0"/>
                  <w:tcMar>
                    <w:top w:w="0" w:type="dxa"/>
                    <w:left w:w="0" w:type="dxa"/>
                    <w:bottom w:w="0" w:type="dxa"/>
                    <w:right w:w="0" w:type="dxa"/>
                  </w:tcMar>
                  <w:vAlign w:val="center"/>
                </w:tcPr>
                <w:p w14:paraId="2E55D592">
                  <w:pPr>
                    <w:keepNext w:val="0"/>
                    <w:keepLines w:val="0"/>
                    <w:pageBreakBefore w:val="0"/>
                    <w:kinsoku/>
                    <w:wordWrap/>
                    <w:overflowPunct/>
                    <w:topLinePunct w:val="0"/>
                    <w:autoSpaceDE/>
                    <w:autoSpaceDN/>
                    <w:bidi w:val="0"/>
                    <w:snapToGrid w:val="0"/>
                    <w:jc w:val="center"/>
                    <w:textAlignment w:val="auto"/>
                    <w:rPr>
                      <w:rFonts w:hint="default" w:ascii="Times New Roman" w:hAnsi="Times New Roman" w:eastAsia="宋体"/>
                      <w:color w:val="auto"/>
                      <w:spacing w:val="0"/>
                      <w:kern w:val="2"/>
                      <w:sz w:val="21"/>
                      <w:szCs w:val="24"/>
                      <w:lang w:val="en-US" w:eastAsia="zh-CN" w:bidi="ar-SA"/>
                    </w:rPr>
                  </w:pPr>
                  <w:r>
                    <w:rPr>
                      <w:rFonts w:hint="eastAsia" w:ascii="Times New Roman" w:hAnsi="Times New Roman" w:eastAsia="宋体"/>
                      <w:color w:val="auto"/>
                      <w:spacing w:val="0"/>
                      <w:sz w:val="21"/>
                    </w:rPr>
                    <w:t>第四条 严把项目准入关口，对不符合要求的高耗能、高排放、低水平项目坚决不予准入。除在安全或者产业布局等方面有特殊要求的项目外，新建有污染物排放的工业项目应当进入工业集聚区。新建化工项目应当进入全市统一布局的化工产业集聚区。鼓励现有工业项目、化工项目分别搬入工业集聚区、化工产业集聚区。</w:t>
                  </w:r>
                </w:p>
              </w:tc>
              <w:tc>
                <w:tcPr>
                  <w:tcW w:w="1595" w:type="dxa"/>
                  <w:noWrap w:val="0"/>
                  <w:tcMar>
                    <w:top w:w="0" w:type="dxa"/>
                    <w:left w:w="0" w:type="dxa"/>
                    <w:bottom w:w="0" w:type="dxa"/>
                    <w:right w:w="0" w:type="dxa"/>
                  </w:tcMar>
                  <w:vAlign w:val="center"/>
                </w:tcPr>
                <w:p w14:paraId="06014B73">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lang w:eastAsia="zh-CN"/>
                    </w:rPr>
                  </w:pPr>
                  <w:r>
                    <w:rPr>
                      <w:rFonts w:hint="eastAsia" w:ascii="Times New Roman" w:hAnsi="Times New Roman" w:eastAsia="宋体" w:cs="Times New Roman"/>
                      <w:color w:val="auto"/>
                      <w:spacing w:val="0"/>
                      <w:sz w:val="21"/>
                      <w:highlight w:val="none"/>
                      <w:lang w:val="en-US" w:eastAsia="zh-CN"/>
                    </w:rPr>
                    <w:t>本项目为动物医院扩建项目</w:t>
                  </w:r>
                  <w:r>
                    <w:rPr>
                      <w:rFonts w:hint="default" w:ascii="Times New Roman" w:hAnsi="Times New Roman" w:eastAsia="宋体" w:cs="Times New Roman"/>
                      <w:color w:val="auto"/>
                      <w:spacing w:val="0"/>
                      <w:sz w:val="21"/>
                      <w:highlight w:val="none"/>
                      <w:lang w:val="en-US" w:eastAsia="zh-CN"/>
                    </w:rPr>
                    <w:t>，</w:t>
                  </w:r>
                  <w:r>
                    <w:rPr>
                      <w:rFonts w:hint="default" w:ascii="Times New Roman" w:hAnsi="Times New Roman" w:eastAsia="宋体" w:cs="Times New Roman"/>
                      <w:color w:val="auto"/>
                      <w:spacing w:val="0"/>
                      <w:sz w:val="21"/>
                      <w:highlight w:val="none"/>
                    </w:rPr>
                    <w:t>不属于高耗能、高排放、低水平项目</w:t>
                  </w:r>
                  <w:r>
                    <w:rPr>
                      <w:rFonts w:hint="default" w:ascii="Times New Roman" w:hAnsi="Times New Roman" w:eastAsia="宋体" w:cs="Times New Roman"/>
                      <w:color w:val="auto"/>
                      <w:spacing w:val="0"/>
                      <w:sz w:val="21"/>
                      <w:highlight w:val="none"/>
                      <w:lang w:eastAsia="zh-CN"/>
                    </w:rPr>
                    <w:t>。</w:t>
                  </w:r>
                </w:p>
              </w:tc>
              <w:tc>
                <w:tcPr>
                  <w:tcW w:w="414" w:type="dxa"/>
                  <w:noWrap w:val="0"/>
                  <w:tcMar>
                    <w:top w:w="0" w:type="dxa"/>
                    <w:left w:w="0" w:type="dxa"/>
                    <w:bottom w:w="0" w:type="dxa"/>
                    <w:right w:w="0" w:type="dxa"/>
                  </w:tcMar>
                  <w:vAlign w:val="center"/>
                </w:tcPr>
                <w:p w14:paraId="447018CF">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default" w:ascii="Times New Roman" w:hAnsi="Times New Roman" w:eastAsia="宋体" w:cs="Times New Roman"/>
                      <w:color w:val="auto"/>
                      <w:spacing w:val="0"/>
                      <w:sz w:val="21"/>
                      <w:highlight w:val="none"/>
                    </w:rPr>
                    <w:t>符合</w:t>
                  </w:r>
                </w:p>
              </w:tc>
            </w:tr>
            <w:tr w14:paraId="303921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61" w:type="dxa"/>
                  <w:vMerge w:val="continue"/>
                  <w:noWrap w:val="0"/>
                  <w:tcMar>
                    <w:top w:w="0" w:type="dxa"/>
                    <w:left w:w="0" w:type="dxa"/>
                    <w:bottom w:w="0" w:type="dxa"/>
                    <w:right w:w="0" w:type="dxa"/>
                  </w:tcMar>
                  <w:vAlign w:val="center"/>
                </w:tcPr>
                <w:p w14:paraId="43A336A3">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594" w:type="dxa"/>
                  <w:vMerge w:val="continue"/>
                  <w:noWrap w:val="0"/>
                  <w:tcMar>
                    <w:top w:w="0" w:type="dxa"/>
                    <w:left w:w="0" w:type="dxa"/>
                    <w:bottom w:w="0" w:type="dxa"/>
                    <w:right w:w="0" w:type="dxa"/>
                  </w:tcMar>
                  <w:vAlign w:val="center"/>
                </w:tcPr>
                <w:p w14:paraId="607D2888">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3663" w:type="dxa"/>
                  <w:noWrap w:val="0"/>
                  <w:tcMar>
                    <w:top w:w="0" w:type="dxa"/>
                    <w:left w:w="0" w:type="dxa"/>
                    <w:bottom w:w="0" w:type="dxa"/>
                    <w:right w:w="0" w:type="dxa"/>
                  </w:tcMar>
                  <w:vAlign w:val="center"/>
                </w:tcPr>
                <w:p w14:paraId="3844FF81">
                  <w:pPr>
                    <w:keepNext w:val="0"/>
                    <w:keepLines w:val="0"/>
                    <w:pageBreakBefore w:val="0"/>
                    <w:kinsoku/>
                    <w:wordWrap/>
                    <w:overflowPunct/>
                    <w:topLinePunct w:val="0"/>
                    <w:autoSpaceDE/>
                    <w:autoSpaceDN/>
                    <w:bidi w:val="0"/>
                    <w:snapToGrid w:val="0"/>
                    <w:jc w:val="center"/>
                    <w:textAlignment w:val="auto"/>
                    <w:rPr>
                      <w:rFonts w:hint="default" w:ascii="Times New Roman" w:hAnsi="Times New Roman" w:eastAsia="宋体"/>
                      <w:color w:val="auto"/>
                      <w:spacing w:val="0"/>
                      <w:kern w:val="2"/>
                      <w:sz w:val="21"/>
                      <w:szCs w:val="24"/>
                      <w:lang w:val="en-US" w:eastAsia="zh-CN" w:bidi="ar-SA"/>
                    </w:rPr>
                  </w:pPr>
                  <w:r>
                    <w:rPr>
                      <w:rFonts w:hint="eastAsia" w:ascii="Times New Roman" w:hAnsi="Times New Roman" w:eastAsia="宋体"/>
                      <w:color w:val="auto"/>
                      <w:spacing w:val="0"/>
                      <w:sz w:val="21"/>
                    </w:rPr>
                    <w:t>第五条 新建、扩建有色金属冶炼、电镀、铅蓄电池等企业应布设在依法合规设立并经过规划环评的产业园区。</w:t>
                  </w:r>
                </w:p>
              </w:tc>
              <w:tc>
                <w:tcPr>
                  <w:tcW w:w="1595" w:type="dxa"/>
                  <w:noWrap w:val="0"/>
                  <w:tcMar>
                    <w:top w:w="0" w:type="dxa"/>
                    <w:left w:w="0" w:type="dxa"/>
                    <w:bottom w:w="0" w:type="dxa"/>
                    <w:right w:w="0" w:type="dxa"/>
                  </w:tcMar>
                  <w:vAlign w:val="center"/>
                </w:tcPr>
                <w:p w14:paraId="5D3AE995">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eastAsia" w:ascii="Times New Roman" w:hAnsi="Times New Roman" w:eastAsia="宋体" w:cs="Times New Roman"/>
                      <w:color w:val="auto"/>
                      <w:spacing w:val="0"/>
                      <w:sz w:val="21"/>
                      <w:highlight w:val="none"/>
                      <w:lang w:val="en-US" w:eastAsia="zh-CN"/>
                    </w:rPr>
                    <w:t>本项目</w:t>
                  </w:r>
                  <w:r>
                    <w:rPr>
                      <w:rFonts w:hint="default" w:ascii="Times New Roman" w:hAnsi="Times New Roman" w:eastAsia="宋体" w:cs="Times New Roman"/>
                      <w:color w:val="auto"/>
                      <w:spacing w:val="0"/>
                      <w:sz w:val="21"/>
                      <w:highlight w:val="none"/>
                    </w:rPr>
                    <w:t>不属于</w:t>
                  </w:r>
                  <w:r>
                    <w:rPr>
                      <w:rFonts w:hint="eastAsia" w:ascii="Times New Roman" w:hAnsi="Times New Roman" w:eastAsia="宋体" w:cs="Times New Roman"/>
                      <w:color w:val="auto"/>
                      <w:spacing w:val="0"/>
                      <w:sz w:val="21"/>
                      <w:highlight w:val="none"/>
                      <w:lang w:val="en-US" w:eastAsia="zh-CN"/>
                    </w:rPr>
                    <w:t>前述行业</w:t>
                  </w:r>
                  <w:r>
                    <w:rPr>
                      <w:rFonts w:hint="default" w:ascii="Times New Roman" w:hAnsi="Times New Roman" w:eastAsia="宋体" w:cs="Times New Roman"/>
                      <w:color w:val="auto"/>
                      <w:spacing w:val="0"/>
                      <w:sz w:val="21"/>
                      <w:highlight w:val="none"/>
                    </w:rPr>
                    <w:t>。</w:t>
                  </w:r>
                </w:p>
              </w:tc>
              <w:tc>
                <w:tcPr>
                  <w:tcW w:w="414" w:type="dxa"/>
                  <w:noWrap w:val="0"/>
                  <w:tcMar>
                    <w:top w:w="0" w:type="dxa"/>
                    <w:left w:w="0" w:type="dxa"/>
                    <w:bottom w:w="0" w:type="dxa"/>
                    <w:right w:w="0" w:type="dxa"/>
                  </w:tcMar>
                  <w:vAlign w:val="center"/>
                </w:tcPr>
                <w:p w14:paraId="7C525DFA">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default" w:ascii="Times New Roman" w:hAnsi="Times New Roman" w:eastAsia="宋体" w:cs="Times New Roman"/>
                      <w:color w:val="auto"/>
                      <w:spacing w:val="0"/>
                      <w:sz w:val="21"/>
                      <w:highlight w:val="none"/>
                    </w:rPr>
                    <w:t>符合</w:t>
                  </w:r>
                </w:p>
              </w:tc>
            </w:tr>
            <w:tr w14:paraId="43D9E4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61" w:type="dxa"/>
                  <w:vMerge w:val="continue"/>
                  <w:noWrap w:val="0"/>
                  <w:tcMar>
                    <w:top w:w="0" w:type="dxa"/>
                    <w:left w:w="0" w:type="dxa"/>
                    <w:bottom w:w="0" w:type="dxa"/>
                    <w:right w:w="0" w:type="dxa"/>
                  </w:tcMar>
                  <w:vAlign w:val="center"/>
                </w:tcPr>
                <w:p w14:paraId="29479453">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594" w:type="dxa"/>
                  <w:vMerge w:val="continue"/>
                  <w:noWrap w:val="0"/>
                  <w:tcMar>
                    <w:top w:w="0" w:type="dxa"/>
                    <w:left w:w="0" w:type="dxa"/>
                    <w:bottom w:w="0" w:type="dxa"/>
                    <w:right w:w="0" w:type="dxa"/>
                  </w:tcMar>
                  <w:vAlign w:val="center"/>
                </w:tcPr>
                <w:p w14:paraId="4B9F8E36">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3663" w:type="dxa"/>
                  <w:noWrap w:val="0"/>
                  <w:tcMar>
                    <w:top w:w="0" w:type="dxa"/>
                    <w:left w:w="0" w:type="dxa"/>
                    <w:bottom w:w="0" w:type="dxa"/>
                    <w:right w:w="0" w:type="dxa"/>
                  </w:tcMar>
                  <w:vAlign w:val="center"/>
                </w:tcPr>
                <w:p w14:paraId="13E43ED3">
                  <w:pPr>
                    <w:keepNext w:val="0"/>
                    <w:keepLines w:val="0"/>
                    <w:pageBreakBefore w:val="0"/>
                    <w:kinsoku/>
                    <w:wordWrap/>
                    <w:overflowPunct/>
                    <w:topLinePunct w:val="0"/>
                    <w:autoSpaceDE/>
                    <w:autoSpaceDN/>
                    <w:bidi w:val="0"/>
                    <w:snapToGrid w:val="0"/>
                    <w:jc w:val="center"/>
                    <w:textAlignment w:val="auto"/>
                    <w:rPr>
                      <w:rFonts w:hint="default" w:ascii="Times New Roman" w:hAnsi="Times New Roman" w:eastAsia="宋体"/>
                      <w:color w:val="auto"/>
                      <w:spacing w:val="0"/>
                      <w:kern w:val="2"/>
                      <w:sz w:val="21"/>
                      <w:szCs w:val="24"/>
                      <w:lang w:val="en-US" w:eastAsia="zh-CN" w:bidi="ar-SA"/>
                    </w:rPr>
                  </w:pPr>
                  <w:r>
                    <w:rPr>
                      <w:rFonts w:hint="eastAsia" w:ascii="Times New Roman" w:hAnsi="Times New Roman" w:eastAsia="宋体"/>
                      <w:color w:val="auto"/>
                      <w:spacing w:val="0"/>
                      <w:sz w:val="21"/>
                    </w:rPr>
                    <w:t>第六条 涉及环境防护距离的工业企业或项目应通过选址或调整布局原则上将环境防护距离控制在园区边界或用地红线内，提前合理规划项目地块布置、预防环境风险。</w:t>
                  </w:r>
                </w:p>
              </w:tc>
              <w:tc>
                <w:tcPr>
                  <w:tcW w:w="1595" w:type="dxa"/>
                  <w:noWrap w:val="0"/>
                  <w:tcMar>
                    <w:top w:w="0" w:type="dxa"/>
                    <w:left w:w="0" w:type="dxa"/>
                    <w:bottom w:w="0" w:type="dxa"/>
                    <w:right w:w="0" w:type="dxa"/>
                  </w:tcMar>
                  <w:vAlign w:val="center"/>
                </w:tcPr>
                <w:p w14:paraId="54DB78A5">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eastAsia" w:ascii="Times New Roman" w:hAnsi="Times New Roman" w:eastAsia="宋体" w:cs="Times New Roman"/>
                      <w:color w:val="auto"/>
                      <w:spacing w:val="0"/>
                      <w:sz w:val="21"/>
                      <w:highlight w:val="none"/>
                      <w:lang w:val="en-US" w:eastAsia="zh-CN"/>
                    </w:rPr>
                    <w:t>本项目不属于工业企业，</w:t>
                  </w:r>
                  <w:r>
                    <w:rPr>
                      <w:rFonts w:hint="default" w:ascii="Times New Roman" w:hAnsi="Times New Roman" w:eastAsia="宋体" w:cs="Times New Roman"/>
                      <w:color w:val="auto"/>
                      <w:spacing w:val="0"/>
                      <w:sz w:val="21"/>
                      <w:highlight w:val="none"/>
                    </w:rPr>
                    <w:t>不涉及环境防护距离。</w:t>
                  </w:r>
                </w:p>
              </w:tc>
              <w:tc>
                <w:tcPr>
                  <w:tcW w:w="414" w:type="dxa"/>
                  <w:noWrap w:val="0"/>
                  <w:tcMar>
                    <w:top w:w="0" w:type="dxa"/>
                    <w:left w:w="0" w:type="dxa"/>
                    <w:bottom w:w="0" w:type="dxa"/>
                    <w:right w:w="0" w:type="dxa"/>
                  </w:tcMar>
                  <w:vAlign w:val="center"/>
                </w:tcPr>
                <w:p w14:paraId="6417D888">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default" w:ascii="Times New Roman" w:hAnsi="Times New Roman" w:eastAsia="宋体" w:cs="Times New Roman"/>
                      <w:color w:val="auto"/>
                      <w:spacing w:val="0"/>
                      <w:sz w:val="21"/>
                      <w:highlight w:val="none"/>
                    </w:rPr>
                    <w:t>符合</w:t>
                  </w:r>
                </w:p>
              </w:tc>
            </w:tr>
            <w:tr w14:paraId="4AA98F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61" w:type="dxa"/>
                  <w:vMerge w:val="continue"/>
                  <w:noWrap w:val="0"/>
                  <w:tcMar>
                    <w:top w:w="0" w:type="dxa"/>
                    <w:left w:w="0" w:type="dxa"/>
                    <w:bottom w:w="0" w:type="dxa"/>
                    <w:right w:w="0" w:type="dxa"/>
                  </w:tcMar>
                  <w:vAlign w:val="center"/>
                </w:tcPr>
                <w:p w14:paraId="4DC62021">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594" w:type="dxa"/>
                  <w:vMerge w:val="continue"/>
                  <w:noWrap w:val="0"/>
                  <w:tcMar>
                    <w:top w:w="0" w:type="dxa"/>
                    <w:left w:w="0" w:type="dxa"/>
                    <w:bottom w:w="0" w:type="dxa"/>
                    <w:right w:w="0" w:type="dxa"/>
                  </w:tcMar>
                  <w:vAlign w:val="center"/>
                </w:tcPr>
                <w:p w14:paraId="0C7E5931">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3663" w:type="dxa"/>
                  <w:noWrap w:val="0"/>
                  <w:tcMar>
                    <w:top w:w="0" w:type="dxa"/>
                    <w:left w:w="0" w:type="dxa"/>
                    <w:bottom w:w="0" w:type="dxa"/>
                    <w:right w:w="0" w:type="dxa"/>
                  </w:tcMar>
                  <w:vAlign w:val="center"/>
                </w:tcPr>
                <w:p w14:paraId="0D60523C">
                  <w:pPr>
                    <w:keepNext w:val="0"/>
                    <w:keepLines w:val="0"/>
                    <w:pageBreakBefore w:val="0"/>
                    <w:kinsoku/>
                    <w:wordWrap/>
                    <w:overflowPunct/>
                    <w:topLinePunct w:val="0"/>
                    <w:autoSpaceDE/>
                    <w:autoSpaceDN/>
                    <w:bidi w:val="0"/>
                    <w:snapToGrid w:val="0"/>
                    <w:jc w:val="center"/>
                    <w:textAlignment w:val="auto"/>
                    <w:rPr>
                      <w:rFonts w:hint="default" w:ascii="Times New Roman" w:hAnsi="Times New Roman" w:eastAsia="宋体"/>
                      <w:color w:val="auto"/>
                      <w:spacing w:val="0"/>
                      <w:kern w:val="2"/>
                      <w:sz w:val="21"/>
                      <w:szCs w:val="24"/>
                      <w:lang w:val="en-US" w:eastAsia="zh-CN" w:bidi="ar-SA"/>
                    </w:rPr>
                  </w:pPr>
                  <w:r>
                    <w:rPr>
                      <w:rFonts w:hint="eastAsia" w:ascii="Times New Roman" w:hAnsi="Times New Roman" w:eastAsia="宋体"/>
                      <w:color w:val="auto"/>
                      <w:spacing w:val="0"/>
                      <w:sz w:val="21"/>
                    </w:rPr>
                    <w:t>第七条 有效规范空间开发秩序，合理控制空间开发强度，切实将各类开发活动限制在资源环境承载能力之内，为构建高效协调可持续的国土空间开发格局奠定坚实基础。</w:t>
                  </w:r>
                </w:p>
              </w:tc>
              <w:tc>
                <w:tcPr>
                  <w:tcW w:w="1595" w:type="dxa"/>
                  <w:noWrap w:val="0"/>
                  <w:tcMar>
                    <w:top w:w="0" w:type="dxa"/>
                    <w:left w:w="0" w:type="dxa"/>
                    <w:bottom w:w="0" w:type="dxa"/>
                    <w:right w:w="0" w:type="dxa"/>
                  </w:tcMar>
                  <w:vAlign w:val="center"/>
                </w:tcPr>
                <w:p w14:paraId="64F50E4D">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lang w:val="en-US" w:eastAsia="zh-CN"/>
                    </w:rPr>
                  </w:pPr>
                  <w:r>
                    <w:rPr>
                      <w:rFonts w:hint="eastAsia" w:ascii="Times New Roman" w:hAnsi="Times New Roman" w:eastAsia="宋体" w:cs="Times New Roman"/>
                      <w:color w:val="auto"/>
                      <w:spacing w:val="0"/>
                      <w:sz w:val="21"/>
                      <w:lang w:val="en-US" w:eastAsia="zh-CN"/>
                    </w:rPr>
                    <w:t>本项目的建设符合空间布局要求</w:t>
                  </w:r>
                  <w:r>
                    <w:rPr>
                      <w:rFonts w:hint="default" w:ascii="Times New Roman" w:hAnsi="Times New Roman" w:eastAsia="宋体" w:cs="Times New Roman"/>
                      <w:color w:val="auto"/>
                      <w:spacing w:val="0"/>
                      <w:sz w:val="21"/>
                      <w:highlight w:val="none"/>
                      <w:lang w:val="en-US" w:eastAsia="zh-CN"/>
                    </w:rPr>
                    <w:t>。</w:t>
                  </w:r>
                </w:p>
              </w:tc>
              <w:tc>
                <w:tcPr>
                  <w:tcW w:w="414" w:type="dxa"/>
                  <w:noWrap w:val="0"/>
                  <w:tcMar>
                    <w:top w:w="0" w:type="dxa"/>
                    <w:left w:w="0" w:type="dxa"/>
                    <w:bottom w:w="0" w:type="dxa"/>
                    <w:right w:w="0" w:type="dxa"/>
                  </w:tcMar>
                  <w:vAlign w:val="center"/>
                </w:tcPr>
                <w:p w14:paraId="1E33F087">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default" w:ascii="Times New Roman" w:hAnsi="Times New Roman" w:eastAsia="宋体" w:cs="Times New Roman"/>
                      <w:color w:val="auto"/>
                      <w:spacing w:val="0"/>
                      <w:sz w:val="21"/>
                      <w:highlight w:val="none"/>
                    </w:rPr>
                    <w:t>符合</w:t>
                  </w:r>
                </w:p>
              </w:tc>
            </w:tr>
            <w:tr w14:paraId="53F1BA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61" w:type="dxa"/>
                  <w:vMerge w:val="continue"/>
                  <w:noWrap w:val="0"/>
                  <w:tcMar>
                    <w:top w:w="0" w:type="dxa"/>
                    <w:left w:w="0" w:type="dxa"/>
                    <w:bottom w:w="0" w:type="dxa"/>
                    <w:right w:w="0" w:type="dxa"/>
                  </w:tcMar>
                  <w:vAlign w:val="center"/>
                </w:tcPr>
                <w:p w14:paraId="58626B5D">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594" w:type="dxa"/>
                  <w:vMerge w:val="restart"/>
                  <w:noWrap w:val="0"/>
                  <w:tcMar>
                    <w:top w:w="0" w:type="dxa"/>
                    <w:left w:w="0" w:type="dxa"/>
                    <w:bottom w:w="0" w:type="dxa"/>
                    <w:right w:w="0" w:type="dxa"/>
                  </w:tcMar>
                  <w:vAlign w:val="center"/>
                </w:tcPr>
                <w:p w14:paraId="05B63C5E">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default" w:ascii="Times New Roman" w:hAnsi="Times New Roman" w:eastAsia="宋体" w:cs="Times New Roman"/>
                      <w:color w:val="auto"/>
                      <w:spacing w:val="0"/>
                      <w:sz w:val="21"/>
                      <w:highlight w:val="none"/>
                    </w:rPr>
                    <w:t>污染物排放管控</w:t>
                  </w:r>
                </w:p>
              </w:tc>
              <w:tc>
                <w:tcPr>
                  <w:tcW w:w="3663" w:type="dxa"/>
                  <w:noWrap w:val="0"/>
                  <w:tcMar>
                    <w:top w:w="0" w:type="dxa"/>
                    <w:left w:w="0" w:type="dxa"/>
                    <w:bottom w:w="0" w:type="dxa"/>
                    <w:right w:w="0" w:type="dxa"/>
                  </w:tcMar>
                  <w:vAlign w:val="center"/>
                </w:tcPr>
                <w:p w14:paraId="4377AF8C">
                  <w:pPr>
                    <w:keepNext w:val="0"/>
                    <w:keepLines w:val="0"/>
                    <w:pageBreakBefore w:val="0"/>
                    <w:kinsoku/>
                    <w:wordWrap/>
                    <w:overflowPunct/>
                    <w:topLinePunct w:val="0"/>
                    <w:autoSpaceDE/>
                    <w:autoSpaceDN/>
                    <w:bidi w:val="0"/>
                    <w:snapToGrid w:val="0"/>
                    <w:jc w:val="center"/>
                    <w:textAlignment w:val="auto"/>
                    <w:rPr>
                      <w:rFonts w:hint="default" w:ascii="Times New Roman" w:hAnsi="Times New Roman" w:eastAsia="宋体"/>
                      <w:color w:val="auto"/>
                      <w:spacing w:val="0"/>
                      <w:kern w:val="2"/>
                      <w:sz w:val="21"/>
                      <w:szCs w:val="24"/>
                      <w:lang w:val="en-US" w:eastAsia="zh-CN" w:bidi="ar-SA"/>
                    </w:rPr>
                  </w:pPr>
                  <w:r>
                    <w:rPr>
                      <w:rFonts w:hint="eastAsia" w:ascii="Times New Roman" w:hAnsi="Times New Roman" w:eastAsia="宋体"/>
                      <w:color w:val="auto"/>
                      <w:spacing w:val="0"/>
                      <w:sz w:val="21"/>
                    </w:rPr>
                    <w:t>第八条 新建石化、煤化工、燃煤发电（含热电）、钢铁、有色金属冶炼、制浆造纸行业依据区域环境质量改善目标，制定配套区域污染物削减方案，采取有效的污染物区域削减措施，腾出足够的环境容量。严格按照国家及我市有关规定，对钢铁、水泥熟料、平板玻璃、电解铝等行业新建、扩建项目实行产能等量或减量置换。国家或地方已出台超低排放要求的“两高”行业建设项目应满足超低排放要求。加强水泥和平板玻璃行业差别化管理，新改扩建项目严格落实相关产业政策要求，满足能效标杆水平、环保绩效A级指标要求。</w:t>
                  </w:r>
                </w:p>
              </w:tc>
              <w:tc>
                <w:tcPr>
                  <w:tcW w:w="1595" w:type="dxa"/>
                  <w:noWrap w:val="0"/>
                  <w:tcMar>
                    <w:top w:w="0" w:type="dxa"/>
                    <w:left w:w="0" w:type="dxa"/>
                    <w:bottom w:w="0" w:type="dxa"/>
                    <w:right w:w="0" w:type="dxa"/>
                  </w:tcMar>
                  <w:vAlign w:val="center"/>
                </w:tcPr>
                <w:p w14:paraId="336C9BD7">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eastAsia" w:ascii="Times New Roman" w:hAnsi="Times New Roman" w:eastAsia="宋体" w:cs="Times New Roman"/>
                      <w:color w:val="auto"/>
                      <w:spacing w:val="0"/>
                      <w:sz w:val="21"/>
                      <w:lang w:val="en-US" w:eastAsia="zh-CN"/>
                    </w:rPr>
                    <w:t>本项目为动物医院扩建项目</w:t>
                  </w:r>
                  <w:r>
                    <w:rPr>
                      <w:rFonts w:hint="default" w:ascii="Times New Roman" w:hAnsi="Times New Roman" w:eastAsia="宋体" w:cs="Times New Roman"/>
                      <w:color w:val="auto"/>
                      <w:spacing w:val="0"/>
                      <w:sz w:val="21"/>
                      <w:highlight w:val="none"/>
                    </w:rPr>
                    <w:t>，不属于</w:t>
                  </w:r>
                  <w:r>
                    <w:rPr>
                      <w:rFonts w:hint="eastAsia" w:ascii="Times New Roman" w:hAnsi="Times New Roman" w:eastAsia="宋体" w:cs="Times New Roman"/>
                      <w:color w:val="auto"/>
                      <w:spacing w:val="0"/>
                      <w:sz w:val="21"/>
                      <w:highlight w:val="none"/>
                      <w:lang w:val="en-US" w:eastAsia="zh-CN"/>
                    </w:rPr>
                    <w:t>前述行业</w:t>
                  </w:r>
                  <w:r>
                    <w:rPr>
                      <w:rFonts w:hint="default" w:ascii="Times New Roman" w:hAnsi="Times New Roman" w:eastAsia="宋体" w:cs="Times New Roman"/>
                      <w:color w:val="auto"/>
                      <w:spacing w:val="0"/>
                      <w:sz w:val="21"/>
                      <w:highlight w:val="none"/>
                    </w:rPr>
                    <w:t>。</w:t>
                  </w:r>
                </w:p>
              </w:tc>
              <w:tc>
                <w:tcPr>
                  <w:tcW w:w="414" w:type="dxa"/>
                  <w:noWrap w:val="0"/>
                  <w:tcMar>
                    <w:top w:w="0" w:type="dxa"/>
                    <w:left w:w="0" w:type="dxa"/>
                    <w:bottom w:w="0" w:type="dxa"/>
                    <w:right w:w="0" w:type="dxa"/>
                  </w:tcMar>
                  <w:vAlign w:val="center"/>
                </w:tcPr>
                <w:p w14:paraId="6D6FCFA6">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default" w:ascii="Times New Roman" w:hAnsi="Times New Roman" w:eastAsia="宋体" w:cs="Times New Roman"/>
                      <w:color w:val="auto"/>
                      <w:spacing w:val="0"/>
                      <w:sz w:val="21"/>
                      <w:highlight w:val="none"/>
                    </w:rPr>
                    <w:t>符合</w:t>
                  </w:r>
                </w:p>
              </w:tc>
            </w:tr>
            <w:tr w14:paraId="27B58F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61" w:type="dxa"/>
                  <w:vMerge w:val="continue"/>
                  <w:noWrap w:val="0"/>
                  <w:tcMar>
                    <w:top w:w="0" w:type="dxa"/>
                    <w:left w:w="0" w:type="dxa"/>
                    <w:bottom w:w="0" w:type="dxa"/>
                    <w:right w:w="0" w:type="dxa"/>
                  </w:tcMar>
                  <w:vAlign w:val="center"/>
                </w:tcPr>
                <w:p w14:paraId="4B69E055">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594" w:type="dxa"/>
                  <w:vMerge w:val="continue"/>
                  <w:noWrap w:val="0"/>
                  <w:tcMar>
                    <w:top w:w="0" w:type="dxa"/>
                    <w:left w:w="0" w:type="dxa"/>
                    <w:bottom w:w="0" w:type="dxa"/>
                    <w:right w:w="0" w:type="dxa"/>
                  </w:tcMar>
                  <w:vAlign w:val="center"/>
                </w:tcPr>
                <w:p w14:paraId="266BC164">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3663" w:type="dxa"/>
                  <w:noWrap w:val="0"/>
                  <w:tcMar>
                    <w:top w:w="0" w:type="dxa"/>
                    <w:left w:w="0" w:type="dxa"/>
                    <w:bottom w:w="0" w:type="dxa"/>
                    <w:right w:w="0" w:type="dxa"/>
                  </w:tcMar>
                  <w:vAlign w:val="center"/>
                </w:tcPr>
                <w:p w14:paraId="7F6F6BF9">
                  <w:pPr>
                    <w:keepNext w:val="0"/>
                    <w:keepLines w:val="0"/>
                    <w:pageBreakBefore w:val="0"/>
                    <w:kinsoku/>
                    <w:wordWrap/>
                    <w:overflowPunct/>
                    <w:topLinePunct w:val="0"/>
                    <w:autoSpaceDE/>
                    <w:autoSpaceDN/>
                    <w:bidi w:val="0"/>
                    <w:snapToGrid w:val="0"/>
                    <w:jc w:val="center"/>
                    <w:textAlignment w:val="auto"/>
                    <w:rPr>
                      <w:rFonts w:hint="default" w:ascii="Times New Roman" w:hAnsi="Times New Roman" w:eastAsia="宋体"/>
                      <w:color w:val="auto"/>
                      <w:spacing w:val="0"/>
                      <w:kern w:val="2"/>
                      <w:sz w:val="21"/>
                      <w:szCs w:val="24"/>
                      <w:lang w:val="en-US" w:eastAsia="zh-CN" w:bidi="ar-SA"/>
                    </w:rPr>
                  </w:pPr>
                  <w:r>
                    <w:rPr>
                      <w:rFonts w:hint="eastAsia" w:ascii="Times New Roman" w:hAnsi="Times New Roman" w:eastAsia="宋体"/>
                      <w:color w:val="auto"/>
                      <w:spacing w:val="0"/>
                      <w:sz w:val="21"/>
                    </w:rPr>
                    <w:t>第九条 严格落实国家及我市大气污染防控相关要求，对大气环境质量未达标地区，新建、改扩建项目实施更严格的污染物排放总量控制要求。严格落实区域削减要求，所在区域、流域控制单元环境质量未达到国家或者地方环境质量标准的，建设项目需提出有效的区域削减方案，主要污染物实行区域倍量削减。</w:t>
                  </w:r>
                </w:p>
              </w:tc>
              <w:tc>
                <w:tcPr>
                  <w:tcW w:w="1595" w:type="dxa"/>
                  <w:noWrap w:val="0"/>
                  <w:tcMar>
                    <w:top w:w="0" w:type="dxa"/>
                    <w:left w:w="0" w:type="dxa"/>
                    <w:bottom w:w="0" w:type="dxa"/>
                    <w:right w:w="0" w:type="dxa"/>
                  </w:tcMar>
                  <w:vAlign w:val="center"/>
                </w:tcPr>
                <w:p w14:paraId="2D29DC44">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eastAsia" w:ascii="Times New Roman" w:hAnsi="Times New Roman" w:eastAsia="宋体" w:cs="Times New Roman"/>
                      <w:color w:val="auto"/>
                      <w:spacing w:val="0"/>
                      <w:sz w:val="21"/>
                      <w:lang w:val="en-US" w:eastAsia="zh-CN"/>
                    </w:rPr>
                    <w:t>本项目</w:t>
                  </w:r>
                  <w:r>
                    <w:rPr>
                      <w:rFonts w:hint="eastAsia" w:eastAsia="宋体" w:cs="Times New Roman"/>
                      <w:color w:val="auto"/>
                      <w:spacing w:val="0"/>
                      <w:sz w:val="21"/>
                      <w:highlight w:val="none"/>
                      <w:lang w:val="en-US" w:eastAsia="zh-CN"/>
                    </w:rPr>
                    <w:t>属于</w:t>
                  </w:r>
                  <w:r>
                    <w:rPr>
                      <w:rFonts w:hint="eastAsia" w:ascii="Times New Roman" w:hAnsi="Times New Roman" w:eastAsia="宋体"/>
                      <w:color w:val="auto"/>
                      <w:spacing w:val="0"/>
                      <w:sz w:val="21"/>
                    </w:rPr>
                    <w:t>大气环境质量</w:t>
                  </w:r>
                  <w:r>
                    <w:rPr>
                      <w:rFonts w:hint="eastAsia" w:eastAsia="宋体"/>
                      <w:color w:val="auto"/>
                      <w:spacing w:val="0"/>
                      <w:sz w:val="21"/>
                      <w:lang w:val="en-US" w:eastAsia="zh-CN"/>
                    </w:rPr>
                    <w:t>达标区。</w:t>
                  </w:r>
                </w:p>
              </w:tc>
              <w:tc>
                <w:tcPr>
                  <w:tcW w:w="414" w:type="dxa"/>
                  <w:noWrap w:val="0"/>
                  <w:tcMar>
                    <w:top w:w="0" w:type="dxa"/>
                    <w:left w:w="0" w:type="dxa"/>
                    <w:bottom w:w="0" w:type="dxa"/>
                    <w:right w:w="0" w:type="dxa"/>
                  </w:tcMar>
                  <w:vAlign w:val="center"/>
                </w:tcPr>
                <w:p w14:paraId="19F8D0DA">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default" w:ascii="Times New Roman" w:hAnsi="Times New Roman" w:eastAsia="宋体" w:cs="Times New Roman"/>
                      <w:color w:val="auto"/>
                      <w:spacing w:val="0"/>
                      <w:sz w:val="21"/>
                      <w:highlight w:val="none"/>
                    </w:rPr>
                    <w:t>符合</w:t>
                  </w:r>
                </w:p>
              </w:tc>
            </w:tr>
            <w:tr w14:paraId="40D1EB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61" w:type="dxa"/>
                  <w:vMerge w:val="continue"/>
                  <w:noWrap w:val="0"/>
                  <w:tcMar>
                    <w:top w:w="0" w:type="dxa"/>
                    <w:left w:w="0" w:type="dxa"/>
                    <w:bottom w:w="0" w:type="dxa"/>
                    <w:right w:w="0" w:type="dxa"/>
                  </w:tcMar>
                  <w:vAlign w:val="center"/>
                </w:tcPr>
                <w:p w14:paraId="66DBA4F3">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594" w:type="dxa"/>
                  <w:vMerge w:val="continue"/>
                  <w:noWrap w:val="0"/>
                  <w:tcMar>
                    <w:top w:w="0" w:type="dxa"/>
                    <w:left w:w="0" w:type="dxa"/>
                    <w:bottom w:w="0" w:type="dxa"/>
                    <w:right w:w="0" w:type="dxa"/>
                  </w:tcMar>
                  <w:vAlign w:val="center"/>
                </w:tcPr>
                <w:p w14:paraId="2C8DD06E">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3663" w:type="dxa"/>
                  <w:noWrap w:val="0"/>
                  <w:tcMar>
                    <w:top w:w="0" w:type="dxa"/>
                    <w:left w:w="0" w:type="dxa"/>
                    <w:bottom w:w="0" w:type="dxa"/>
                    <w:right w:w="0" w:type="dxa"/>
                  </w:tcMar>
                  <w:vAlign w:val="center"/>
                </w:tcPr>
                <w:p w14:paraId="35FE3254">
                  <w:pPr>
                    <w:keepNext w:val="0"/>
                    <w:keepLines w:val="0"/>
                    <w:pageBreakBefore w:val="0"/>
                    <w:kinsoku/>
                    <w:wordWrap/>
                    <w:overflowPunct/>
                    <w:topLinePunct w:val="0"/>
                    <w:autoSpaceDE/>
                    <w:autoSpaceDN/>
                    <w:bidi w:val="0"/>
                    <w:snapToGrid w:val="0"/>
                    <w:jc w:val="center"/>
                    <w:textAlignment w:val="auto"/>
                    <w:rPr>
                      <w:rFonts w:hint="default" w:ascii="Times New Roman" w:hAnsi="Times New Roman" w:eastAsia="宋体"/>
                      <w:color w:val="auto"/>
                      <w:spacing w:val="0"/>
                      <w:kern w:val="2"/>
                      <w:sz w:val="21"/>
                      <w:szCs w:val="24"/>
                      <w:lang w:val="en-US" w:eastAsia="zh-CN" w:bidi="ar-SA"/>
                    </w:rPr>
                  </w:pPr>
                  <w:r>
                    <w:rPr>
                      <w:rFonts w:hint="eastAsia" w:ascii="Times New Roman" w:hAnsi="Times New Roman" w:eastAsia="宋体"/>
                      <w:color w:val="auto"/>
                      <w:spacing w:val="0"/>
                      <w:sz w:val="21"/>
                    </w:rPr>
                    <w:t>第十条 在重点行业（石化、化工、工业涂装、包装印刷、油品储运销等）推进挥发性有机物综合治理，推动低挥发性有机物原辅材料和产品源头替代，推广使用低挥发性有机物含量产品，推动纳入政府绿色采购名录。有条件的工业集聚区建设集中喷涂工程中心，配备高效治污设施，替代企业独立喷涂工序，对涉及喷漆、喷粉、印刷等废气进行集中处理。</w:t>
                  </w:r>
                </w:p>
              </w:tc>
              <w:tc>
                <w:tcPr>
                  <w:tcW w:w="1595" w:type="dxa"/>
                  <w:noWrap w:val="0"/>
                  <w:tcMar>
                    <w:top w:w="0" w:type="dxa"/>
                    <w:left w:w="0" w:type="dxa"/>
                    <w:bottom w:w="0" w:type="dxa"/>
                    <w:right w:w="0" w:type="dxa"/>
                  </w:tcMar>
                  <w:vAlign w:val="center"/>
                </w:tcPr>
                <w:p w14:paraId="36950D6E">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lang w:eastAsia="zh-CN"/>
                    </w:rPr>
                  </w:pPr>
                  <w:r>
                    <w:rPr>
                      <w:rFonts w:hint="eastAsia" w:ascii="Times New Roman" w:hAnsi="Times New Roman" w:eastAsia="宋体" w:cs="Times New Roman"/>
                      <w:color w:val="auto"/>
                      <w:spacing w:val="0"/>
                      <w:sz w:val="21"/>
                      <w:lang w:val="en-US" w:eastAsia="zh-CN"/>
                    </w:rPr>
                    <w:t>本项目为动物医院扩建项目</w:t>
                  </w:r>
                  <w:r>
                    <w:rPr>
                      <w:rFonts w:hint="default" w:ascii="Times New Roman" w:hAnsi="Times New Roman" w:eastAsia="宋体" w:cs="Times New Roman"/>
                      <w:color w:val="auto"/>
                      <w:spacing w:val="0"/>
                      <w:sz w:val="21"/>
                      <w:highlight w:val="none"/>
                    </w:rPr>
                    <w:t>，不属于重点行业（石化、化工、工业涂装、包装印刷、油品储运销等）</w:t>
                  </w:r>
                  <w:r>
                    <w:rPr>
                      <w:rFonts w:hint="default" w:ascii="Times New Roman" w:hAnsi="Times New Roman" w:eastAsia="宋体" w:cs="Times New Roman"/>
                      <w:color w:val="auto"/>
                      <w:spacing w:val="0"/>
                      <w:sz w:val="21"/>
                      <w:highlight w:val="none"/>
                      <w:lang w:eastAsia="zh-CN"/>
                    </w:rPr>
                    <w:t>，</w:t>
                  </w:r>
                  <w:r>
                    <w:rPr>
                      <w:rFonts w:hint="default" w:ascii="Times New Roman" w:hAnsi="Times New Roman" w:eastAsia="宋体" w:cs="Times New Roman"/>
                      <w:color w:val="auto"/>
                      <w:spacing w:val="0"/>
                      <w:sz w:val="21"/>
                      <w:highlight w:val="none"/>
                      <w:lang w:val="en-US" w:eastAsia="zh-CN"/>
                    </w:rPr>
                    <w:t>不涉及喷涂工序</w:t>
                  </w:r>
                  <w:r>
                    <w:rPr>
                      <w:rFonts w:hint="default" w:ascii="Times New Roman" w:hAnsi="Times New Roman" w:eastAsia="宋体" w:cs="Times New Roman"/>
                      <w:color w:val="auto"/>
                      <w:spacing w:val="0"/>
                      <w:sz w:val="21"/>
                      <w:highlight w:val="none"/>
                      <w:lang w:eastAsia="zh-CN"/>
                    </w:rPr>
                    <w:t>。</w:t>
                  </w:r>
                </w:p>
              </w:tc>
              <w:tc>
                <w:tcPr>
                  <w:tcW w:w="414" w:type="dxa"/>
                  <w:noWrap w:val="0"/>
                  <w:tcMar>
                    <w:top w:w="0" w:type="dxa"/>
                    <w:left w:w="0" w:type="dxa"/>
                    <w:bottom w:w="0" w:type="dxa"/>
                    <w:right w:w="0" w:type="dxa"/>
                  </w:tcMar>
                  <w:vAlign w:val="center"/>
                </w:tcPr>
                <w:p w14:paraId="07905907">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default" w:ascii="Times New Roman" w:hAnsi="Times New Roman" w:eastAsia="宋体" w:cs="Times New Roman"/>
                      <w:color w:val="auto"/>
                      <w:spacing w:val="0"/>
                      <w:sz w:val="21"/>
                      <w:highlight w:val="none"/>
                    </w:rPr>
                    <w:t>符合</w:t>
                  </w:r>
                </w:p>
              </w:tc>
            </w:tr>
            <w:tr w14:paraId="132258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61" w:type="dxa"/>
                  <w:vMerge w:val="continue"/>
                  <w:noWrap w:val="0"/>
                  <w:tcMar>
                    <w:top w:w="0" w:type="dxa"/>
                    <w:left w:w="0" w:type="dxa"/>
                    <w:bottom w:w="0" w:type="dxa"/>
                    <w:right w:w="0" w:type="dxa"/>
                  </w:tcMar>
                  <w:vAlign w:val="center"/>
                </w:tcPr>
                <w:p w14:paraId="791A58D5">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594" w:type="dxa"/>
                  <w:vMerge w:val="continue"/>
                  <w:noWrap w:val="0"/>
                  <w:tcMar>
                    <w:top w:w="0" w:type="dxa"/>
                    <w:left w:w="0" w:type="dxa"/>
                    <w:bottom w:w="0" w:type="dxa"/>
                    <w:right w:w="0" w:type="dxa"/>
                  </w:tcMar>
                  <w:vAlign w:val="center"/>
                </w:tcPr>
                <w:p w14:paraId="1AFAF5CA">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3663" w:type="dxa"/>
                  <w:noWrap w:val="0"/>
                  <w:tcMar>
                    <w:top w:w="0" w:type="dxa"/>
                    <w:left w:w="0" w:type="dxa"/>
                    <w:bottom w:w="0" w:type="dxa"/>
                    <w:right w:w="0" w:type="dxa"/>
                  </w:tcMar>
                  <w:vAlign w:val="center"/>
                </w:tcPr>
                <w:p w14:paraId="1F42FC63">
                  <w:pPr>
                    <w:keepNext w:val="0"/>
                    <w:keepLines w:val="0"/>
                    <w:pageBreakBefore w:val="0"/>
                    <w:kinsoku/>
                    <w:wordWrap/>
                    <w:overflowPunct/>
                    <w:topLinePunct w:val="0"/>
                    <w:autoSpaceDE/>
                    <w:autoSpaceDN/>
                    <w:bidi w:val="0"/>
                    <w:snapToGrid w:val="0"/>
                    <w:jc w:val="center"/>
                    <w:textAlignment w:val="auto"/>
                    <w:rPr>
                      <w:rFonts w:hint="default" w:ascii="Times New Roman" w:hAnsi="Times New Roman" w:eastAsia="宋体"/>
                      <w:color w:val="auto"/>
                      <w:spacing w:val="0"/>
                      <w:kern w:val="2"/>
                      <w:sz w:val="21"/>
                      <w:szCs w:val="24"/>
                      <w:lang w:val="en-US" w:eastAsia="zh-CN" w:bidi="ar-SA"/>
                    </w:rPr>
                  </w:pPr>
                  <w:r>
                    <w:rPr>
                      <w:rFonts w:hint="eastAsia" w:ascii="Times New Roman" w:hAnsi="Times New Roman" w:eastAsia="宋体"/>
                      <w:color w:val="auto"/>
                      <w:spacing w:val="0"/>
                      <w:sz w:val="21"/>
                    </w:rPr>
                    <w:t>第十一条 工业集聚区应当按照有关规定配套建设相应的污水集中处理设施，安装自动监测设备，工业集聚区内的企业向污水集中处理设施排放工业废水的，应当按照国家有关规定进行预处理，达到集中处理设施处理工艺要求后方可排放。</w:t>
                  </w:r>
                </w:p>
              </w:tc>
              <w:tc>
                <w:tcPr>
                  <w:tcW w:w="1595" w:type="dxa"/>
                  <w:noWrap w:val="0"/>
                  <w:tcMar>
                    <w:top w:w="0" w:type="dxa"/>
                    <w:left w:w="0" w:type="dxa"/>
                    <w:bottom w:w="0" w:type="dxa"/>
                    <w:right w:w="0" w:type="dxa"/>
                  </w:tcMar>
                  <w:vAlign w:val="center"/>
                </w:tcPr>
                <w:p w14:paraId="33D01CC6">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eastAsia" w:ascii="Times New Roman" w:hAnsi="Times New Roman" w:eastAsia="宋体" w:cs="Times New Roman"/>
                      <w:color w:val="auto"/>
                      <w:spacing w:val="0"/>
                      <w:sz w:val="21"/>
                      <w:lang w:val="en-US" w:eastAsia="zh-CN"/>
                    </w:rPr>
                    <w:t>本项目位于</w:t>
                  </w:r>
                  <w:r>
                    <w:rPr>
                      <w:rFonts w:hint="eastAsia" w:cs="Times New Roman"/>
                      <w:color w:val="auto"/>
                      <w:spacing w:val="0"/>
                      <w:sz w:val="21"/>
                      <w:lang w:val="en-US" w:eastAsia="zh-CN"/>
                    </w:rPr>
                    <w:t>重庆市</w:t>
                  </w:r>
                  <w:r>
                    <w:rPr>
                      <w:rFonts w:hint="eastAsia" w:ascii="Times New Roman" w:hAnsi="Times New Roman" w:eastAsia="宋体" w:cs="Times New Roman"/>
                      <w:color w:val="auto"/>
                      <w:spacing w:val="0"/>
                      <w:sz w:val="21"/>
                      <w:highlight w:val="none"/>
                      <w:lang w:val="en-US" w:eastAsia="zh-CN"/>
                    </w:rPr>
                    <w:t>九龙坡区二郎街道火炬大道100号附24号及附23-2号</w:t>
                  </w:r>
                  <w:r>
                    <w:rPr>
                      <w:rFonts w:hint="eastAsia" w:ascii="Times New Roman" w:hAnsi="Times New Roman" w:eastAsia="宋体" w:cs="Times New Roman"/>
                      <w:color w:val="auto"/>
                      <w:spacing w:val="0"/>
                      <w:sz w:val="21"/>
                      <w:lang w:val="en-US" w:eastAsia="zh-CN"/>
                    </w:rPr>
                    <w:t>，不属于工业集聚区</w:t>
                  </w:r>
                  <w:r>
                    <w:rPr>
                      <w:rFonts w:hint="default" w:ascii="Times New Roman" w:hAnsi="Times New Roman" w:eastAsia="宋体" w:cs="Times New Roman"/>
                      <w:color w:val="auto"/>
                      <w:spacing w:val="0"/>
                      <w:sz w:val="21"/>
                      <w:highlight w:val="none"/>
                    </w:rPr>
                    <w:t>。</w:t>
                  </w:r>
                </w:p>
              </w:tc>
              <w:tc>
                <w:tcPr>
                  <w:tcW w:w="414" w:type="dxa"/>
                  <w:noWrap w:val="0"/>
                  <w:tcMar>
                    <w:top w:w="0" w:type="dxa"/>
                    <w:left w:w="0" w:type="dxa"/>
                    <w:bottom w:w="0" w:type="dxa"/>
                    <w:right w:w="0" w:type="dxa"/>
                  </w:tcMar>
                  <w:vAlign w:val="center"/>
                </w:tcPr>
                <w:p w14:paraId="2BF5A997">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default" w:ascii="Times New Roman" w:hAnsi="Times New Roman" w:eastAsia="宋体" w:cs="Times New Roman"/>
                      <w:color w:val="auto"/>
                      <w:spacing w:val="0"/>
                      <w:sz w:val="21"/>
                      <w:highlight w:val="none"/>
                    </w:rPr>
                    <w:t>符合</w:t>
                  </w:r>
                </w:p>
              </w:tc>
            </w:tr>
            <w:tr w14:paraId="5D90EE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61" w:type="dxa"/>
                  <w:vMerge w:val="continue"/>
                  <w:noWrap w:val="0"/>
                  <w:tcMar>
                    <w:top w:w="0" w:type="dxa"/>
                    <w:left w:w="0" w:type="dxa"/>
                    <w:bottom w:w="0" w:type="dxa"/>
                    <w:right w:w="0" w:type="dxa"/>
                  </w:tcMar>
                  <w:vAlign w:val="center"/>
                </w:tcPr>
                <w:p w14:paraId="0B789192">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594" w:type="dxa"/>
                  <w:vMerge w:val="continue"/>
                  <w:noWrap w:val="0"/>
                  <w:tcMar>
                    <w:top w:w="0" w:type="dxa"/>
                    <w:left w:w="0" w:type="dxa"/>
                    <w:bottom w:w="0" w:type="dxa"/>
                    <w:right w:w="0" w:type="dxa"/>
                  </w:tcMar>
                  <w:vAlign w:val="center"/>
                </w:tcPr>
                <w:p w14:paraId="18CC5433">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3663" w:type="dxa"/>
                  <w:noWrap w:val="0"/>
                  <w:tcMar>
                    <w:top w:w="0" w:type="dxa"/>
                    <w:left w:w="0" w:type="dxa"/>
                    <w:bottom w:w="0" w:type="dxa"/>
                    <w:right w:w="0" w:type="dxa"/>
                  </w:tcMar>
                  <w:vAlign w:val="center"/>
                </w:tcPr>
                <w:p w14:paraId="348C92B6">
                  <w:pPr>
                    <w:keepNext w:val="0"/>
                    <w:keepLines w:val="0"/>
                    <w:pageBreakBefore w:val="0"/>
                    <w:kinsoku/>
                    <w:wordWrap/>
                    <w:overflowPunct/>
                    <w:topLinePunct w:val="0"/>
                    <w:autoSpaceDE/>
                    <w:autoSpaceDN/>
                    <w:bidi w:val="0"/>
                    <w:snapToGrid w:val="0"/>
                    <w:jc w:val="center"/>
                    <w:textAlignment w:val="auto"/>
                    <w:rPr>
                      <w:rFonts w:hint="default" w:ascii="Times New Roman" w:hAnsi="Times New Roman" w:eastAsia="宋体"/>
                      <w:color w:val="auto"/>
                      <w:spacing w:val="0"/>
                      <w:kern w:val="2"/>
                      <w:sz w:val="21"/>
                      <w:szCs w:val="24"/>
                      <w:lang w:val="en-US" w:eastAsia="zh-CN" w:bidi="ar-SA"/>
                    </w:rPr>
                  </w:pPr>
                  <w:r>
                    <w:rPr>
                      <w:rFonts w:hint="eastAsia" w:ascii="Times New Roman" w:hAnsi="Times New Roman" w:eastAsia="宋体"/>
                      <w:color w:val="auto"/>
                      <w:spacing w:val="0"/>
                      <w:sz w:val="21"/>
                    </w:rPr>
                    <w:t>第十二条 推进乡镇生活污水处理设施达标改造。新建城市生活污水处理厂全部按照一级A标及以上排放标准设计、施工、验收，建制乡镇生活污水处理设施出水水质不得低于一级B标排放标准；对现有截留制排水管网实施雨污分流改造，针对无法彻底雨污分流的老城区，尊重现实合理保留截留制区域，合理提高截留倍数；对新建的排水管网，全部按照雨污分流模式实施建设。</w:t>
                  </w:r>
                </w:p>
              </w:tc>
              <w:tc>
                <w:tcPr>
                  <w:tcW w:w="1595" w:type="dxa"/>
                  <w:noWrap w:val="0"/>
                  <w:tcMar>
                    <w:top w:w="0" w:type="dxa"/>
                    <w:left w:w="0" w:type="dxa"/>
                    <w:bottom w:w="0" w:type="dxa"/>
                    <w:right w:w="0" w:type="dxa"/>
                  </w:tcMar>
                  <w:vAlign w:val="center"/>
                </w:tcPr>
                <w:p w14:paraId="7CF4E1A0">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eastAsia" w:ascii="Times New Roman" w:hAnsi="Times New Roman" w:eastAsia="宋体" w:cs="Times New Roman"/>
                      <w:color w:val="auto"/>
                      <w:spacing w:val="0"/>
                      <w:sz w:val="21"/>
                      <w:highlight w:val="none"/>
                      <w:lang w:val="en-US" w:eastAsia="zh-CN"/>
                    </w:rPr>
                    <w:t>本</w:t>
                  </w:r>
                  <w:r>
                    <w:rPr>
                      <w:rFonts w:hint="default" w:ascii="Times New Roman" w:hAnsi="Times New Roman" w:eastAsia="宋体" w:cs="Times New Roman"/>
                      <w:color w:val="auto"/>
                      <w:spacing w:val="0"/>
                      <w:sz w:val="21"/>
                      <w:highlight w:val="none"/>
                    </w:rPr>
                    <w:t>项目不涉及。</w:t>
                  </w:r>
                </w:p>
              </w:tc>
              <w:tc>
                <w:tcPr>
                  <w:tcW w:w="414" w:type="dxa"/>
                  <w:noWrap w:val="0"/>
                  <w:tcMar>
                    <w:top w:w="0" w:type="dxa"/>
                    <w:left w:w="0" w:type="dxa"/>
                    <w:bottom w:w="0" w:type="dxa"/>
                    <w:right w:w="0" w:type="dxa"/>
                  </w:tcMar>
                  <w:vAlign w:val="center"/>
                </w:tcPr>
                <w:p w14:paraId="36EF3050">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default" w:ascii="Times New Roman" w:hAnsi="Times New Roman" w:eastAsia="宋体" w:cs="Times New Roman"/>
                      <w:color w:val="auto"/>
                      <w:spacing w:val="0"/>
                      <w:sz w:val="21"/>
                      <w:highlight w:val="none"/>
                    </w:rPr>
                    <w:t>符合</w:t>
                  </w:r>
                </w:p>
              </w:tc>
            </w:tr>
            <w:tr w14:paraId="516712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61" w:type="dxa"/>
                  <w:vMerge w:val="continue"/>
                  <w:noWrap w:val="0"/>
                  <w:tcMar>
                    <w:top w:w="0" w:type="dxa"/>
                    <w:left w:w="0" w:type="dxa"/>
                    <w:bottom w:w="0" w:type="dxa"/>
                    <w:right w:w="0" w:type="dxa"/>
                  </w:tcMar>
                  <w:vAlign w:val="center"/>
                </w:tcPr>
                <w:p w14:paraId="4BAB2406">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594" w:type="dxa"/>
                  <w:vMerge w:val="continue"/>
                  <w:noWrap w:val="0"/>
                  <w:tcMar>
                    <w:top w:w="0" w:type="dxa"/>
                    <w:left w:w="0" w:type="dxa"/>
                    <w:bottom w:w="0" w:type="dxa"/>
                    <w:right w:w="0" w:type="dxa"/>
                  </w:tcMar>
                  <w:vAlign w:val="center"/>
                </w:tcPr>
                <w:p w14:paraId="1754EA6A">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3663" w:type="dxa"/>
                  <w:noWrap w:val="0"/>
                  <w:tcMar>
                    <w:top w:w="0" w:type="dxa"/>
                    <w:left w:w="0" w:type="dxa"/>
                    <w:bottom w:w="0" w:type="dxa"/>
                    <w:right w:w="0" w:type="dxa"/>
                  </w:tcMar>
                  <w:vAlign w:val="center"/>
                </w:tcPr>
                <w:p w14:paraId="635C241D">
                  <w:pPr>
                    <w:keepNext w:val="0"/>
                    <w:keepLines w:val="0"/>
                    <w:pageBreakBefore w:val="0"/>
                    <w:kinsoku/>
                    <w:wordWrap/>
                    <w:overflowPunct/>
                    <w:topLinePunct w:val="0"/>
                    <w:autoSpaceDE/>
                    <w:autoSpaceDN/>
                    <w:bidi w:val="0"/>
                    <w:snapToGrid w:val="0"/>
                    <w:jc w:val="center"/>
                    <w:textAlignment w:val="auto"/>
                    <w:rPr>
                      <w:rFonts w:hint="default" w:ascii="Times New Roman" w:hAnsi="Times New Roman" w:eastAsia="宋体"/>
                      <w:color w:val="auto"/>
                      <w:spacing w:val="0"/>
                      <w:kern w:val="2"/>
                      <w:sz w:val="21"/>
                      <w:szCs w:val="24"/>
                      <w:lang w:val="en-US" w:eastAsia="zh-CN" w:bidi="ar-SA"/>
                    </w:rPr>
                  </w:pPr>
                  <w:r>
                    <w:rPr>
                      <w:rFonts w:hint="eastAsia" w:ascii="Times New Roman" w:hAnsi="Times New Roman" w:eastAsia="宋体"/>
                      <w:color w:val="auto"/>
                      <w:spacing w:val="0"/>
                      <w:sz w:val="21"/>
                    </w:rPr>
                    <w:t>第十三条 新、改、扩建重点行业〔重有色金属矿采选业（铜、铅锌、镍钴、锡、锑和汞矿采选）、重有色金属冶炼业（铜、铅锌、镍钴、锡、锑和汞冶炼）、铅蓄电池制造业、皮革鞣制加工业、化学原料及化学制品制造业（电石法聚氯乙烯制造、铬盐制造、以工业固废为原料的锌无机化合物工业等）、电镀行业〕重点重金属污染物排放执行“等量替代”原则。</w:t>
                  </w:r>
                </w:p>
              </w:tc>
              <w:tc>
                <w:tcPr>
                  <w:tcW w:w="1595" w:type="dxa"/>
                  <w:noWrap w:val="0"/>
                  <w:tcMar>
                    <w:top w:w="0" w:type="dxa"/>
                    <w:left w:w="0" w:type="dxa"/>
                    <w:bottom w:w="0" w:type="dxa"/>
                    <w:right w:w="0" w:type="dxa"/>
                  </w:tcMar>
                  <w:vAlign w:val="center"/>
                </w:tcPr>
                <w:p w14:paraId="7C0056AF">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eastAsia" w:ascii="Times New Roman" w:hAnsi="Times New Roman" w:eastAsia="宋体" w:cs="Times New Roman"/>
                      <w:color w:val="auto"/>
                      <w:spacing w:val="0"/>
                      <w:sz w:val="21"/>
                      <w:highlight w:val="none"/>
                      <w:lang w:val="en-US" w:eastAsia="zh-CN"/>
                    </w:rPr>
                    <w:t>本</w:t>
                  </w:r>
                  <w:r>
                    <w:rPr>
                      <w:rFonts w:hint="default" w:ascii="Times New Roman" w:hAnsi="Times New Roman" w:eastAsia="宋体" w:cs="Times New Roman"/>
                      <w:color w:val="auto"/>
                      <w:spacing w:val="0"/>
                      <w:sz w:val="21"/>
                      <w:highlight w:val="none"/>
                    </w:rPr>
                    <w:t>项目不属于重点行业，且不涉及重点重金属污染物排放。</w:t>
                  </w:r>
                </w:p>
              </w:tc>
              <w:tc>
                <w:tcPr>
                  <w:tcW w:w="414" w:type="dxa"/>
                  <w:noWrap w:val="0"/>
                  <w:tcMar>
                    <w:top w:w="0" w:type="dxa"/>
                    <w:left w:w="0" w:type="dxa"/>
                    <w:bottom w:w="0" w:type="dxa"/>
                    <w:right w:w="0" w:type="dxa"/>
                  </w:tcMar>
                  <w:vAlign w:val="center"/>
                </w:tcPr>
                <w:p w14:paraId="35E5A6B1">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default" w:ascii="Times New Roman" w:hAnsi="Times New Roman" w:eastAsia="宋体" w:cs="Times New Roman"/>
                      <w:color w:val="auto"/>
                      <w:spacing w:val="0"/>
                      <w:sz w:val="21"/>
                      <w:highlight w:val="none"/>
                    </w:rPr>
                    <w:t>符合</w:t>
                  </w:r>
                </w:p>
              </w:tc>
            </w:tr>
            <w:tr w14:paraId="4225B6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61" w:type="dxa"/>
                  <w:vMerge w:val="continue"/>
                  <w:noWrap w:val="0"/>
                  <w:tcMar>
                    <w:top w:w="0" w:type="dxa"/>
                    <w:left w:w="0" w:type="dxa"/>
                    <w:bottom w:w="0" w:type="dxa"/>
                    <w:right w:w="0" w:type="dxa"/>
                  </w:tcMar>
                  <w:vAlign w:val="center"/>
                </w:tcPr>
                <w:p w14:paraId="17F4C0F2">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594" w:type="dxa"/>
                  <w:vMerge w:val="continue"/>
                  <w:noWrap w:val="0"/>
                  <w:tcMar>
                    <w:top w:w="0" w:type="dxa"/>
                    <w:left w:w="0" w:type="dxa"/>
                    <w:bottom w:w="0" w:type="dxa"/>
                    <w:right w:w="0" w:type="dxa"/>
                  </w:tcMar>
                  <w:vAlign w:val="center"/>
                </w:tcPr>
                <w:p w14:paraId="5DFE4FB3">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3663" w:type="dxa"/>
                  <w:noWrap w:val="0"/>
                  <w:tcMar>
                    <w:top w:w="0" w:type="dxa"/>
                    <w:left w:w="0" w:type="dxa"/>
                    <w:bottom w:w="0" w:type="dxa"/>
                    <w:right w:w="0" w:type="dxa"/>
                  </w:tcMar>
                  <w:vAlign w:val="center"/>
                </w:tcPr>
                <w:p w14:paraId="3C3057BC">
                  <w:pPr>
                    <w:keepNext w:val="0"/>
                    <w:keepLines w:val="0"/>
                    <w:pageBreakBefore w:val="0"/>
                    <w:kinsoku/>
                    <w:wordWrap/>
                    <w:overflowPunct/>
                    <w:topLinePunct w:val="0"/>
                    <w:autoSpaceDE/>
                    <w:autoSpaceDN/>
                    <w:bidi w:val="0"/>
                    <w:snapToGrid w:val="0"/>
                    <w:jc w:val="center"/>
                    <w:textAlignment w:val="auto"/>
                    <w:rPr>
                      <w:rFonts w:hint="default" w:ascii="Times New Roman" w:hAnsi="Times New Roman" w:eastAsia="宋体"/>
                      <w:color w:val="auto"/>
                      <w:spacing w:val="0"/>
                      <w:kern w:val="2"/>
                      <w:sz w:val="21"/>
                      <w:szCs w:val="24"/>
                      <w:lang w:val="en-US" w:eastAsia="zh-CN" w:bidi="ar-SA"/>
                    </w:rPr>
                  </w:pPr>
                  <w:r>
                    <w:rPr>
                      <w:rFonts w:hint="eastAsia" w:ascii="Times New Roman" w:hAnsi="Times New Roman" w:eastAsia="宋体"/>
                      <w:color w:val="auto"/>
                      <w:spacing w:val="0"/>
                      <w:sz w:val="21"/>
                    </w:rPr>
                    <w:t>第十四条 固体废物污染环境防治坚持减量化、资源化和无害化的原则。产生工业固体废物的单位应当建立健全工业固体废物产生、收集、贮存、运输、利用、处置全过程的污染环境防治责任制度，建立工业固体废物管理台账。</w:t>
                  </w:r>
                </w:p>
              </w:tc>
              <w:tc>
                <w:tcPr>
                  <w:tcW w:w="1595" w:type="dxa"/>
                  <w:noWrap w:val="0"/>
                  <w:tcMar>
                    <w:top w:w="0" w:type="dxa"/>
                    <w:left w:w="0" w:type="dxa"/>
                    <w:bottom w:w="0" w:type="dxa"/>
                    <w:right w:w="0" w:type="dxa"/>
                  </w:tcMar>
                  <w:vAlign w:val="center"/>
                </w:tcPr>
                <w:p w14:paraId="07EF4FD8">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eastAsia" w:ascii="Times New Roman" w:hAnsi="Times New Roman" w:eastAsia="宋体" w:cs="Times New Roman"/>
                      <w:color w:val="auto"/>
                      <w:spacing w:val="0"/>
                      <w:sz w:val="21"/>
                      <w:highlight w:val="none"/>
                      <w:lang w:eastAsia="zh-CN"/>
                    </w:rPr>
                  </w:pPr>
                  <w:r>
                    <w:rPr>
                      <w:rFonts w:hint="eastAsia" w:ascii="Times New Roman" w:hAnsi="Times New Roman" w:eastAsia="宋体" w:cs="Times New Roman"/>
                      <w:color w:val="auto"/>
                      <w:spacing w:val="0"/>
                      <w:sz w:val="21"/>
                      <w:highlight w:val="none"/>
                      <w:lang w:val="en-US" w:eastAsia="zh-CN"/>
                    </w:rPr>
                    <w:t>本项目为动物医院扩建项目</w:t>
                  </w:r>
                  <w:r>
                    <w:rPr>
                      <w:rFonts w:hint="default" w:ascii="Times New Roman" w:hAnsi="Times New Roman" w:eastAsia="宋体" w:cs="Times New Roman"/>
                      <w:color w:val="auto"/>
                      <w:spacing w:val="0"/>
                      <w:sz w:val="21"/>
                      <w:highlight w:val="none"/>
                    </w:rPr>
                    <w:t>，</w:t>
                  </w:r>
                  <w:r>
                    <w:rPr>
                      <w:rFonts w:hint="default" w:ascii="Times New Roman" w:hAnsi="Times New Roman" w:eastAsia="宋体" w:cs="Times New Roman"/>
                      <w:color w:val="auto"/>
                      <w:spacing w:val="0"/>
                      <w:sz w:val="21"/>
                      <w:highlight w:val="none"/>
                      <w:lang w:val="en-US" w:eastAsia="zh-CN"/>
                    </w:rPr>
                    <w:t>设置医废</w:t>
                  </w:r>
                  <w:r>
                    <w:rPr>
                      <w:rFonts w:hint="eastAsia" w:ascii="Times New Roman" w:hAnsi="Times New Roman" w:eastAsia="宋体" w:cs="Times New Roman"/>
                      <w:color w:val="auto"/>
                      <w:spacing w:val="0"/>
                      <w:sz w:val="21"/>
                      <w:highlight w:val="none"/>
                      <w:lang w:val="en-US" w:eastAsia="zh-CN"/>
                    </w:rPr>
                    <w:t>暂存间</w:t>
                  </w:r>
                  <w:r>
                    <w:rPr>
                      <w:rFonts w:hint="default" w:ascii="Times New Roman" w:hAnsi="Times New Roman" w:eastAsia="宋体" w:cs="Times New Roman"/>
                      <w:color w:val="auto"/>
                      <w:spacing w:val="0"/>
                      <w:sz w:val="21"/>
                      <w:highlight w:val="none"/>
                    </w:rPr>
                    <w:t>并</w:t>
                  </w:r>
                  <w:r>
                    <w:rPr>
                      <w:rFonts w:hint="default" w:ascii="Times New Roman" w:hAnsi="Times New Roman" w:eastAsia="宋体" w:cs="Times New Roman"/>
                      <w:color w:val="auto"/>
                      <w:spacing w:val="0"/>
                      <w:sz w:val="21"/>
                      <w:highlight w:val="none"/>
                      <w:lang w:val="en-US" w:eastAsia="zh-CN"/>
                    </w:rPr>
                    <w:t>建立</w:t>
                  </w:r>
                  <w:r>
                    <w:rPr>
                      <w:rFonts w:hint="default" w:ascii="Times New Roman" w:hAnsi="Times New Roman" w:eastAsia="宋体" w:cs="Times New Roman"/>
                      <w:color w:val="auto"/>
                      <w:spacing w:val="0"/>
                      <w:sz w:val="21"/>
                      <w:highlight w:val="none"/>
                    </w:rPr>
                    <w:t>废物污染环境防治责任制度及管理台账</w:t>
                  </w:r>
                  <w:r>
                    <w:rPr>
                      <w:rFonts w:hint="eastAsia" w:ascii="Times New Roman" w:hAnsi="Times New Roman" w:eastAsia="宋体" w:cs="Times New Roman"/>
                      <w:color w:val="auto"/>
                      <w:spacing w:val="0"/>
                      <w:sz w:val="21"/>
                      <w:highlight w:val="none"/>
                      <w:lang w:eastAsia="zh-CN"/>
                    </w:rPr>
                    <w:t>。</w:t>
                  </w:r>
                </w:p>
              </w:tc>
              <w:tc>
                <w:tcPr>
                  <w:tcW w:w="414" w:type="dxa"/>
                  <w:noWrap w:val="0"/>
                  <w:tcMar>
                    <w:top w:w="0" w:type="dxa"/>
                    <w:left w:w="0" w:type="dxa"/>
                    <w:bottom w:w="0" w:type="dxa"/>
                    <w:right w:w="0" w:type="dxa"/>
                  </w:tcMar>
                  <w:vAlign w:val="center"/>
                </w:tcPr>
                <w:p w14:paraId="0DA3A9B4">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default" w:ascii="Times New Roman" w:hAnsi="Times New Roman" w:eastAsia="宋体" w:cs="Times New Roman"/>
                      <w:color w:val="auto"/>
                      <w:spacing w:val="0"/>
                      <w:sz w:val="21"/>
                      <w:highlight w:val="none"/>
                    </w:rPr>
                    <w:t>符合</w:t>
                  </w:r>
                </w:p>
              </w:tc>
            </w:tr>
            <w:tr w14:paraId="48760D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61" w:type="dxa"/>
                  <w:vMerge w:val="continue"/>
                  <w:noWrap w:val="0"/>
                  <w:tcMar>
                    <w:top w:w="0" w:type="dxa"/>
                    <w:left w:w="0" w:type="dxa"/>
                    <w:bottom w:w="0" w:type="dxa"/>
                    <w:right w:w="0" w:type="dxa"/>
                  </w:tcMar>
                  <w:vAlign w:val="center"/>
                </w:tcPr>
                <w:p w14:paraId="3372ADBF">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594" w:type="dxa"/>
                  <w:vMerge w:val="continue"/>
                  <w:noWrap w:val="0"/>
                  <w:tcMar>
                    <w:top w:w="0" w:type="dxa"/>
                    <w:left w:w="0" w:type="dxa"/>
                    <w:bottom w:w="0" w:type="dxa"/>
                    <w:right w:w="0" w:type="dxa"/>
                  </w:tcMar>
                  <w:vAlign w:val="center"/>
                </w:tcPr>
                <w:p w14:paraId="3BF67208">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3663" w:type="dxa"/>
                  <w:noWrap w:val="0"/>
                  <w:tcMar>
                    <w:top w:w="0" w:type="dxa"/>
                    <w:left w:w="0" w:type="dxa"/>
                    <w:bottom w:w="0" w:type="dxa"/>
                    <w:right w:w="0" w:type="dxa"/>
                  </w:tcMar>
                  <w:vAlign w:val="center"/>
                </w:tcPr>
                <w:p w14:paraId="56672149">
                  <w:pPr>
                    <w:keepNext w:val="0"/>
                    <w:keepLines w:val="0"/>
                    <w:pageBreakBefore w:val="0"/>
                    <w:kinsoku/>
                    <w:wordWrap/>
                    <w:overflowPunct/>
                    <w:topLinePunct w:val="0"/>
                    <w:autoSpaceDE/>
                    <w:autoSpaceDN/>
                    <w:bidi w:val="0"/>
                    <w:snapToGrid w:val="0"/>
                    <w:jc w:val="center"/>
                    <w:textAlignment w:val="auto"/>
                    <w:rPr>
                      <w:rFonts w:hint="default" w:ascii="Times New Roman" w:hAnsi="Times New Roman" w:eastAsia="宋体"/>
                      <w:color w:val="auto"/>
                      <w:spacing w:val="0"/>
                      <w:kern w:val="2"/>
                      <w:sz w:val="21"/>
                      <w:szCs w:val="24"/>
                      <w:lang w:val="en-US" w:eastAsia="zh-CN" w:bidi="ar-SA"/>
                    </w:rPr>
                  </w:pPr>
                  <w:r>
                    <w:rPr>
                      <w:rFonts w:hint="eastAsia" w:ascii="Times New Roman" w:hAnsi="Times New Roman" w:eastAsia="宋体"/>
                      <w:color w:val="auto"/>
                      <w:spacing w:val="0"/>
                      <w:sz w:val="21"/>
                    </w:rPr>
                    <w:t>第十五条 建设分类投放、分类收集、分类运输、分类处理的生活垃圾处理系统。合理布局生活垃圾分类收集站点，完善分类运输系统，加快补齐分类收集转运设施能力短板。强化“无废城市”制度、技术、市场、监管、全民行动“五大体系”建设，推进城市固体废物精细化管理。</w:t>
                  </w:r>
                </w:p>
              </w:tc>
              <w:tc>
                <w:tcPr>
                  <w:tcW w:w="1595" w:type="dxa"/>
                  <w:noWrap w:val="0"/>
                  <w:tcMar>
                    <w:top w:w="0" w:type="dxa"/>
                    <w:left w:w="0" w:type="dxa"/>
                    <w:bottom w:w="0" w:type="dxa"/>
                    <w:right w:w="0" w:type="dxa"/>
                  </w:tcMar>
                  <w:vAlign w:val="center"/>
                </w:tcPr>
                <w:p w14:paraId="230DEEF3">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eastAsia" w:ascii="Times New Roman" w:hAnsi="Times New Roman" w:eastAsia="宋体" w:cs="Times New Roman"/>
                      <w:color w:val="auto"/>
                      <w:spacing w:val="0"/>
                      <w:sz w:val="21"/>
                      <w:highlight w:val="none"/>
                      <w:lang w:val="en-US" w:eastAsia="zh-CN"/>
                    </w:rPr>
                  </w:pPr>
                  <w:r>
                    <w:rPr>
                      <w:rFonts w:hint="eastAsia" w:ascii="Times New Roman" w:hAnsi="Times New Roman" w:eastAsia="宋体" w:cs="Times New Roman"/>
                      <w:color w:val="auto"/>
                      <w:spacing w:val="0"/>
                      <w:sz w:val="21"/>
                      <w:lang w:val="en-US" w:eastAsia="zh-CN"/>
                    </w:rPr>
                    <w:t>本项目院内设置垃圾桶，生活垃圾袋装收集后定期交由当地环卫部门处置。</w:t>
                  </w:r>
                </w:p>
              </w:tc>
              <w:tc>
                <w:tcPr>
                  <w:tcW w:w="414" w:type="dxa"/>
                  <w:noWrap w:val="0"/>
                  <w:tcMar>
                    <w:top w:w="0" w:type="dxa"/>
                    <w:left w:w="0" w:type="dxa"/>
                    <w:bottom w:w="0" w:type="dxa"/>
                    <w:right w:w="0" w:type="dxa"/>
                  </w:tcMar>
                  <w:vAlign w:val="center"/>
                </w:tcPr>
                <w:p w14:paraId="2445CA68">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default" w:ascii="Times New Roman" w:hAnsi="Times New Roman" w:eastAsia="宋体" w:cs="Times New Roman"/>
                      <w:color w:val="auto"/>
                      <w:spacing w:val="0"/>
                      <w:sz w:val="21"/>
                      <w:highlight w:val="none"/>
                    </w:rPr>
                    <w:t>符合</w:t>
                  </w:r>
                </w:p>
              </w:tc>
            </w:tr>
            <w:tr w14:paraId="6F17DB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61" w:type="dxa"/>
                  <w:vMerge w:val="continue"/>
                  <w:noWrap w:val="0"/>
                  <w:tcMar>
                    <w:top w:w="0" w:type="dxa"/>
                    <w:left w:w="0" w:type="dxa"/>
                    <w:bottom w:w="0" w:type="dxa"/>
                    <w:right w:w="0" w:type="dxa"/>
                  </w:tcMar>
                  <w:vAlign w:val="center"/>
                </w:tcPr>
                <w:p w14:paraId="3A9B79CF">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594" w:type="dxa"/>
                  <w:vMerge w:val="restart"/>
                  <w:noWrap w:val="0"/>
                  <w:tcMar>
                    <w:top w:w="0" w:type="dxa"/>
                    <w:left w:w="0" w:type="dxa"/>
                    <w:bottom w:w="0" w:type="dxa"/>
                    <w:right w:w="0" w:type="dxa"/>
                  </w:tcMar>
                  <w:vAlign w:val="center"/>
                </w:tcPr>
                <w:p w14:paraId="43DCA27C">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default" w:ascii="Times New Roman" w:hAnsi="Times New Roman" w:eastAsia="宋体" w:cs="Times New Roman"/>
                      <w:color w:val="auto"/>
                      <w:spacing w:val="0"/>
                      <w:sz w:val="21"/>
                      <w:highlight w:val="none"/>
                    </w:rPr>
                    <w:t>环境风险防控</w:t>
                  </w:r>
                </w:p>
              </w:tc>
              <w:tc>
                <w:tcPr>
                  <w:tcW w:w="3663" w:type="dxa"/>
                  <w:noWrap w:val="0"/>
                  <w:tcMar>
                    <w:top w:w="0" w:type="dxa"/>
                    <w:left w:w="0" w:type="dxa"/>
                    <w:bottom w:w="0" w:type="dxa"/>
                    <w:right w:w="0" w:type="dxa"/>
                  </w:tcMar>
                  <w:vAlign w:val="center"/>
                </w:tcPr>
                <w:p w14:paraId="3D160CE1">
                  <w:pPr>
                    <w:keepNext w:val="0"/>
                    <w:keepLines w:val="0"/>
                    <w:pageBreakBefore w:val="0"/>
                    <w:kinsoku/>
                    <w:wordWrap/>
                    <w:overflowPunct/>
                    <w:topLinePunct w:val="0"/>
                    <w:autoSpaceDE/>
                    <w:autoSpaceDN/>
                    <w:bidi w:val="0"/>
                    <w:snapToGrid w:val="0"/>
                    <w:jc w:val="center"/>
                    <w:textAlignment w:val="auto"/>
                    <w:rPr>
                      <w:rFonts w:hint="default" w:ascii="Times New Roman" w:hAnsi="Times New Roman" w:eastAsia="宋体"/>
                      <w:color w:val="auto"/>
                      <w:spacing w:val="0"/>
                      <w:kern w:val="2"/>
                      <w:sz w:val="21"/>
                      <w:szCs w:val="24"/>
                      <w:lang w:val="en-US" w:eastAsia="zh-CN" w:bidi="ar-SA"/>
                    </w:rPr>
                  </w:pPr>
                  <w:r>
                    <w:rPr>
                      <w:rFonts w:hint="eastAsia" w:ascii="Times New Roman" w:hAnsi="Times New Roman" w:eastAsia="宋体"/>
                      <w:color w:val="auto"/>
                      <w:spacing w:val="0"/>
                      <w:sz w:val="21"/>
                    </w:rPr>
                    <w:t>第十六条 深入开展行政区域、重点流域、重点饮用水源、化工园区等突发环境事件风险评估，建立区域突发环境事件风险评估数据信息获取与动态更新机制。落实企业突发环境事件风险评估制度，推进突发环境事件风险分类分级管理，严格监管重大突发环境事件风险企业。</w:t>
                  </w:r>
                </w:p>
              </w:tc>
              <w:tc>
                <w:tcPr>
                  <w:tcW w:w="1595" w:type="dxa"/>
                  <w:noWrap w:val="0"/>
                  <w:tcMar>
                    <w:top w:w="0" w:type="dxa"/>
                    <w:left w:w="0" w:type="dxa"/>
                    <w:bottom w:w="0" w:type="dxa"/>
                    <w:right w:w="0" w:type="dxa"/>
                  </w:tcMar>
                  <w:vAlign w:val="center"/>
                </w:tcPr>
                <w:p w14:paraId="576F0372">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lang w:val="en-US" w:eastAsia="zh-CN"/>
                    </w:rPr>
                  </w:pPr>
                  <w:r>
                    <w:rPr>
                      <w:rFonts w:hint="eastAsia" w:ascii="Times New Roman" w:hAnsi="Times New Roman" w:eastAsia="宋体" w:cs="Times New Roman"/>
                      <w:color w:val="auto"/>
                      <w:spacing w:val="0"/>
                      <w:sz w:val="21"/>
                      <w:highlight w:val="none"/>
                      <w:lang w:val="en-US" w:eastAsia="zh-CN"/>
                    </w:rPr>
                    <w:t>本</w:t>
                  </w:r>
                  <w:r>
                    <w:rPr>
                      <w:rFonts w:hint="default" w:ascii="Times New Roman" w:hAnsi="Times New Roman" w:eastAsia="宋体" w:cs="Times New Roman"/>
                      <w:color w:val="auto"/>
                      <w:spacing w:val="0"/>
                      <w:sz w:val="21"/>
                      <w:highlight w:val="none"/>
                      <w:lang w:val="en-US" w:eastAsia="zh-CN"/>
                    </w:rPr>
                    <w:t>项目不涉及。</w:t>
                  </w:r>
                </w:p>
              </w:tc>
              <w:tc>
                <w:tcPr>
                  <w:tcW w:w="414" w:type="dxa"/>
                  <w:noWrap w:val="0"/>
                  <w:tcMar>
                    <w:top w:w="0" w:type="dxa"/>
                    <w:left w:w="0" w:type="dxa"/>
                    <w:bottom w:w="0" w:type="dxa"/>
                    <w:right w:w="0" w:type="dxa"/>
                  </w:tcMar>
                  <w:vAlign w:val="center"/>
                </w:tcPr>
                <w:p w14:paraId="6BE6D667">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default" w:ascii="Times New Roman" w:hAnsi="Times New Roman" w:eastAsia="宋体" w:cs="Times New Roman"/>
                      <w:color w:val="auto"/>
                      <w:spacing w:val="0"/>
                      <w:sz w:val="21"/>
                      <w:highlight w:val="none"/>
                    </w:rPr>
                    <w:t>符合</w:t>
                  </w:r>
                </w:p>
              </w:tc>
            </w:tr>
            <w:tr w14:paraId="3D005D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61" w:type="dxa"/>
                  <w:vMerge w:val="continue"/>
                  <w:noWrap w:val="0"/>
                  <w:tcMar>
                    <w:top w:w="0" w:type="dxa"/>
                    <w:left w:w="0" w:type="dxa"/>
                    <w:bottom w:w="0" w:type="dxa"/>
                    <w:right w:w="0" w:type="dxa"/>
                  </w:tcMar>
                  <w:vAlign w:val="center"/>
                </w:tcPr>
                <w:p w14:paraId="5B8F36A3">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594" w:type="dxa"/>
                  <w:vMerge w:val="continue"/>
                  <w:noWrap w:val="0"/>
                  <w:tcMar>
                    <w:top w:w="0" w:type="dxa"/>
                    <w:left w:w="0" w:type="dxa"/>
                    <w:bottom w:w="0" w:type="dxa"/>
                    <w:right w:w="0" w:type="dxa"/>
                  </w:tcMar>
                  <w:vAlign w:val="center"/>
                </w:tcPr>
                <w:p w14:paraId="58ECE76B">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3663" w:type="dxa"/>
                  <w:noWrap w:val="0"/>
                  <w:tcMar>
                    <w:top w:w="0" w:type="dxa"/>
                    <w:left w:w="0" w:type="dxa"/>
                    <w:bottom w:w="0" w:type="dxa"/>
                    <w:right w:w="0" w:type="dxa"/>
                  </w:tcMar>
                  <w:vAlign w:val="center"/>
                </w:tcPr>
                <w:p w14:paraId="3CAEF9A9">
                  <w:pPr>
                    <w:keepNext w:val="0"/>
                    <w:keepLines w:val="0"/>
                    <w:pageBreakBefore w:val="0"/>
                    <w:kinsoku/>
                    <w:wordWrap/>
                    <w:overflowPunct/>
                    <w:topLinePunct w:val="0"/>
                    <w:autoSpaceDE/>
                    <w:autoSpaceDN/>
                    <w:bidi w:val="0"/>
                    <w:snapToGrid w:val="0"/>
                    <w:jc w:val="center"/>
                    <w:textAlignment w:val="auto"/>
                    <w:rPr>
                      <w:rFonts w:hint="default" w:ascii="Times New Roman" w:hAnsi="Times New Roman" w:eastAsia="宋体"/>
                      <w:color w:val="auto"/>
                      <w:spacing w:val="0"/>
                      <w:kern w:val="2"/>
                      <w:sz w:val="21"/>
                      <w:szCs w:val="24"/>
                      <w:lang w:val="en-US" w:eastAsia="zh-CN" w:bidi="ar-SA"/>
                    </w:rPr>
                  </w:pPr>
                  <w:r>
                    <w:rPr>
                      <w:rFonts w:hint="eastAsia" w:ascii="Times New Roman" w:hAnsi="Times New Roman" w:eastAsia="宋体"/>
                      <w:color w:val="auto"/>
                      <w:spacing w:val="0"/>
                      <w:sz w:val="21"/>
                    </w:rPr>
                    <w:t>第十七条 强化化工园区涉水突发环境事件四级环境风险防范体系建设。持续推进重点化工园区（化工集中区）建设有毒有害气体监测预警体系和水质生物毒性预警体系。</w:t>
                  </w:r>
                </w:p>
              </w:tc>
              <w:tc>
                <w:tcPr>
                  <w:tcW w:w="1595" w:type="dxa"/>
                  <w:noWrap w:val="0"/>
                  <w:tcMar>
                    <w:top w:w="0" w:type="dxa"/>
                    <w:left w:w="0" w:type="dxa"/>
                    <w:bottom w:w="0" w:type="dxa"/>
                    <w:right w:w="0" w:type="dxa"/>
                  </w:tcMar>
                  <w:vAlign w:val="center"/>
                </w:tcPr>
                <w:p w14:paraId="4813915E">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eastAsia" w:ascii="Times New Roman" w:hAnsi="Times New Roman" w:eastAsia="宋体" w:cs="Times New Roman"/>
                      <w:snapToGrid w:val="0"/>
                      <w:color w:val="auto"/>
                      <w:spacing w:val="0"/>
                      <w:kern w:val="2"/>
                      <w:sz w:val="21"/>
                      <w:szCs w:val="21"/>
                      <w:highlight w:val="none"/>
                      <w:lang w:val="en-US" w:eastAsia="zh-CN" w:bidi="ar-SA"/>
                    </w:rPr>
                    <w:t>本项目不涉及。</w:t>
                  </w:r>
                </w:p>
              </w:tc>
              <w:tc>
                <w:tcPr>
                  <w:tcW w:w="414" w:type="dxa"/>
                  <w:noWrap w:val="0"/>
                  <w:tcMar>
                    <w:top w:w="0" w:type="dxa"/>
                    <w:left w:w="0" w:type="dxa"/>
                    <w:bottom w:w="0" w:type="dxa"/>
                    <w:right w:w="0" w:type="dxa"/>
                  </w:tcMar>
                  <w:vAlign w:val="center"/>
                </w:tcPr>
                <w:p w14:paraId="4888101D">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default" w:ascii="Times New Roman" w:hAnsi="Times New Roman" w:eastAsia="宋体" w:cs="Times New Roman"/>
                      <w:color w:val="auto"/>
                      <w:spacing w:val="0"/>
                      <w:sz w:val="21"/>
                      <w:highlight w:val="none"/>
                    </w:rPr>
                    <w:t>符合</w:t>
                  </w:r>
                </w:p>
              </w:tc>
            </w:tr>
            <w:tr w14:paraId="3A7A8B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61" w:type="dxa"/>
                  <w:vMerge w:val="continue"/>
                  <w:noWrap w:val="0"/>
                  <w:tcMar>
                    <w:top w:w="0" w:type="dxa"/>
                    <w:left w:w="0" w:type="dxa"/>
                    <w:bottom w:w="0" w:type="dxa"/>
                    <w:right w:w="0" w:type="dxa"/>
                  </w:tcMar>
                  <w:vAlign w:val="center"/>
                </w:tcPr>
                <w:p w14:paraId="15E6DD6B">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594" w:type="dxa"/>
                  <w:vMerge w:val="restart"/>
                  <w:noWrap w:val="0"/>
                  <w:tcMar>
                    <w:top w:w="0" w:type="dxa"/>
                    <w:left w:w="0" w:type="dxa"/>
                    <w:bottom w:w="0" w:type="dxa"/>
                    <w:right w:w="0" w:type="dxa"/>
                  </w:tcMar>
                  <w:vAlign w:val="center"/>
                </w:tcPr>
                <w:p w14:paraId="597189B0">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default" w:ascii="Times New Roman" w:hAnsi="Times New Roman" w:eastAsia="宋体" w:cs="Times New Roman"/>
                      <w:color w:val="auto"/>
                      <w:spacing w:val="0"/>
                      <w:sz w:val="21"/>
                      <w:highlight w:val="none"/>
                    </w:rPr>
                    <w:t>资源开发利用效率</w:t>
                  </w:r>
                </w:p>
              </w:tc>
              <w:tc>
                <w:tcPr>
                  <w:tcW w:w="3663" w:type="dxa"/>
                  <w:noWrap w:val="0"/>
                  <w:tcMar>
                    <w:top w:w="0" w:type="dxa"/>
                    <w:left w:w="0" w:type="dxa"/>
                    <w:bottom w:w="0" w:type="dxa"/>
                    <w:right w:w="0" w:type="dxa"/>
                  </w:tcMar>
                  <w:vAlign w:val="center"/>
                </w:tcPr>
                <w:p w14:paraId="6FAF4F1D">
                  <w:pPr>
                    <w:keepNext w:val="0"/>
                    <w:keepLines w:val="0"/>
                    <w:pageBreakBefore w:val="0"/>
                    <w:kinsoku/>
                    <w:wordWrap/>
                    <w:overflowPunct/>
                    <w:topLinePunct w:val="0"/>
                    <w:autoSpaceDE/>
                    <w:autoSpaceDN/>
                    <w:bidi w:val="0"/>
                    <w:snapToGrid w:val="0"/>
                    <w:jc w:val="center"/>
                    <w:textAlignment w:val="auto"/>
                    <w:rPr>
                      <w:rFonts w:hint="default" w:ascii="Times New Roman" w:hAnsi="Times New Roman" w:eastAsia="宋体"/>
                      <w:color w:val="auto"/>
                      <w:spacing w:val="0"/>
                      <w:kern w:val="2"/>
                      <w:sz w:val="21"/>
                      <w:szCs w:val="24"/>
                      <w:lang w:val="en-US" w:eastAsia="zh-CN" w:bidi="ar-SA"/>
                    </w:rPr>
                  </w:pPr>
                  <w:r>
                    <w:rPr>
                      <w:rFonts w:hint="eastAsia" w:ascii="Times New Roman" w:hAnsi="Times New Roman" w:eastAsia="宋体"/>
                      <w:color w:val="auto"/>
                      <w:spacing w:val="0"/>
                      <w:sz w:val="21"/>
                    </w:rPr>
                    <w:t>第十八条 实施能源领域碳达峰碳中和行动，科学有序推动能源生产消费方式绿色低碳变革。实施可再生能源替代，减少化石能源消费。加强产业布局和能耗“双控”政策衔接，促进重点用能领域用能结构优化和能效提升。</w:t>
                  </w:r>
                </w:p>
              </w:tc>
              <w:tc>
                <w:tcPr>
                  <w:tcW w:w="1595" w:type="dxa"/>
                  <w:noWrap w:val="0"/>
                  <w:tcMar>
                    <w:top w:w="0" w:type="dxa"/>
                    <w:left w:w="0" w:type="dxa"/>
                    <w:bottom w:w="0" w:type="dxa"/>
                    <w:right w:w="0" w:type="dxa"/>
                  </w:tcMar>
                  <w:vAlign w:val="center"/>
                </w:tcPr>
                <w:p w14:paraId="66EC02CA">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eastAsia" w:ascii="Times New Roman" w:hAnsi="Times New Roman" w:eastAsia="宋体" w:cs="Times New Roman"/>
                      <w:snapToGrid/>
                      <w:color w:val="auto"/>
                      <w:spacing w:val="0"/>
                      <w:kern w:val="2"/>
                      <w:sz w:val="21"/>
                      <w:szCs w:val="21"/>
                      <w:highlight w:val="none"/>
                      <w:lang w:val="en-US" w:eastAsia="zh-CN" w:bidi="ar-SA"/>
                    </w:rPr>
                    <w:t>本项目不属于碳排放管控行业。</w:t>
                  </w:r>
                </w:p>
              </w:tc>
              <w:tc>
                <w:tcPr>
                  <w:tcW w:w="414" w:type="dxa"/>
                  <w:noWrap w:val="0"/>
                  <w:tcMar>
                    <w:top w:w="0" w:type="dxa"/>
                    <w:left w:w="0" w:type="dxa"/>
                    <w:bottom w:w="0" w:type="dxa"/>
                    <w:right w:w="0" w:type="dxa"/>
                  </w:tcMar>
                  <w:vAlign w:val="center"/>
                </w:tcPr>
                <w:p w14:paraId="131B63F3">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default" w:ascii="Times New Roman" w:hAnsi="Times New Roman" w:eastAsia="宋体" w:cs="Times New Roman"/>
                      <w:color w:val="auto"/>
                      <w:spacing w:val="0"/>
                      <w:sz w:val="21"/>
                      <w:highlight w:val="none"/>
                    </w:rPr>
                    <w:t>符合</w:t>
                  </w:r>
                </w:p>
              </w:tc>
            </w:tr>
            <w:tr w14:paraId="53C7CC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61" w:type="dxa"/>
                  <w:vMerge w:val="continue"/>
                  <w:noWrap w:val="0"/>
                  <w:tcMar>
                    <w:top w:w="0" w:type="dxa"/>
                    <w:left w:w="0" w:type="dxa"/>
                    <w:bottom w:w="0" w:type="dxa"/>
                    <w:right w:w="0" w:type="dxa"/>
                  </w:tcMar>
                  <w:vAlign w:val="center"/>
                </w:tcPr>
                <w:p w14:paraId="25F8F552">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594" w:type="dxa"/>
                  <w:vMerge w:val="continue"/>
                  <w:noWrap w:val="0"/>
                  <w:tcMar>
                    <w:top w:w="0" w:type="dxa"/>
                    <w:left w:w="0" w:type="dxa"/>
                    <w:bottom w:w="0" w:type="dxa"/>
                    <w:right w:w="0" w:type="dxa"/>
                  </w:tcMar>
                  <w:vAlign w:val="center"/>
                </w:tcPr>
                <w:p w14:paraId="22EE5399">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3663" w:type="dxa"/>
                  <w:noWrap w:val="0"/>
                  <w:tcMar>
                    <w:top w:w="0" w:type="dxa"/>
                    <w:left w:w="0" w:type="dxa"/>
                    <w:bottom w:w="0" w:type="dxa"/>
                    <w:right w:w="0" w:type="dxa"/>
                  </w:tcMar>
                  <w:vAlign w:val="center"/>
                </w:tcPr>
                <w:p w14:paraId="6B174EFC">
                  <w:pPr>
                    <w:keepNext w:val="0"/>
                    <w:keepLines w:val="0"/>
                    <w:pageBreakBefore w:val="0"/>
                    <w:kinsoku/>
                    <w:wordWrap/>
                    <w:overflowPunct/>
                    <w:topLinePunct w:val="0"/>
                    <w:autoSpaceDE/>
                    <w:autoSpaceDN/>
                    <w:bidi w:val="0"/>
                    <w:snapToGrid w:val="0"/>
                    <w:jc w:val="center"/>
                    <w:textAlignment w:val="auto"/>
                    <w:rPr>
                      <w:rFonts w:hint="default" w:ascii="Times New Roman" w:hAnsi="Times New Roman" w:eastAsia="宋体"/>
                      <w:color w:val="auto"/>
                      <w:spacing w:val="0"/>
                      <w:kern w:val="2"/>
                      <w:sz w:val="21"/>
                      <w:szCs w:val="24"/>
                      <w:lang w:val="en-US" w:eastAsia="zh-CN" w:bidi="ar-SA"/>
                    </w:rPr>
                  </w:pPr>
                  <w:r>
                    <w:rPr>
                      <w:rFonts w:hint="eastAsia" w:ascii="Times New Roman" w:hAnsi="Times New Roman" w:eastAsia="宋体"/>
                      <w:color w:val="auto"/>
                      <w:spacing w:val="0"/>
                      <w:sz w:val="21"/>
                    </w:rPr>
                    <w:t>第十九条 鼓励企业对标能耗限额标准先进值或国际先进水平，加快主要产品工艺升级与绿色化改造，推动工业窑炉、锅炉、电机、压缩机、泵、变压器等重点用能设备系统节能改造。推动现有企业、园区生产过程清洁化转型，精准提升市场主体绿色低碳水平，引导绿色园区低碳发展。</w:t>
                  </w:r>
                </w:p>
              </w:tc>
              <w:tc>
                <w:tcPr>
                  <w:tcW w:w="1595" w:type="dxa"/>
                  <w:noWrap w:val="0"/>
                  <w:tcMar>
                    <w:top w:w="0" w:type="dxa"/>
                    <w:left w:w="0" w:type="dxa"/>
                    <w:bottom w:w="0" w:type="dxa"/>
                    <w:right w:w="0" w:type="dxa"/>
                  </w:tcMar>
                  <w:vAlign w:val="center"/>
                </w:tcPr>
                <w:p w14:paraId="762A9F29">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eastAsia" w:ascii="Times New Roman" w:hAnsi="Times New Roman" w:eastAsia="宋体" w:cs="Times New Roman"/>
                      <w:color w:val="auto"/>
                      <w:spacing w:val="0"/>
                      <w:sz w:val="21"/>
                      <w:lang w:val="en-US" w:eastAsia="zh-CN"/>
                    </w:rPr>
                    <w:t>本项目不涉及高能耗设备，所用设备无国家淘汰落后设备。</w:t>
                  </w:r>
                </w:p>
              </w:tc>
              <w:tc>
                <w:tcPr>
                  <w:tcW w:w="414" w:type="dxa"/>
                  <w:noWrap w:val="0"/>
                  <w:tcMar>
                    <w:top w:w="0" w:type="dxa"/>
                    <w:left w:w="0" w:type="dxa"/>
                    <w:bottom w:w="0" w:type="dxa"/>
                    <w:right w:w="0" w:type="dxa"/>
                  </w:tcMar>
                  <w:vAlign w:val="center"/>
                </w:tcPr>
                <w:p w14:paraId="507706D3">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default" w:ascii="Times New Roman" w:hAnsi="Times New Roman" w:eastAsia="宋体" w:cs="Times New Roman"/>
                      <w:color w:val="auto"/>
                      <w:spacing w:val="0"/>
                      <w:sz w:val="21"/>
                      <w:highlight w:val="none"/>
                    </w:rPr>
                    <w:t>符合</w:t>
                  </w:r>
                </w:p>
              </w:tc>
            </w:tr>
            <w:tr w14:paraId="5D8684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61" w:type="dxa"/>
                  <w:vMerge w:val="continue"/>
                  <w:noWrap w:val="0"/>
                  <w:tcMar>
                    <w:top w:w="0" w:type="dxa"/>
                    <w:left w:w="0" w:type="dxa"/>
                    <w:bottom w:w="0" w:type="dxa"/>
                    <w:right w:w="0" w:type="dxa"/>
                  </w:tcMar>
                  <w:vAlign w:val="center"/>
                </w:tcPr>
                <w:p w14:paraId="790CD0B7">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594" w:type="dxa"/>
                  <w:vMerge w:val="continue"/>
                  <w:noWrap w:val="0"/>
                  <w:tcMar>
                    <w:top w:w="0" w:type="dxa"/>
                    <w:left w:w="0" w:type="dxa"/>
                    <w:bottom w:w="0" w:type="dxa"/>
                    <w:right w:w="0" w:type="dxa"/>
                  </w:tcMar>
                  <w:vAlign w:val="center"/>
                </w:tcPr>
                <w:p w14:paraId="4BADE259">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3663" w:type="dxa"/>
                  <w:noWrap w:val="0"/>
                  <w:tcMar>
                    <w:top w:w="0" w:type="dxa"/>
                    <w:left w:w="0" w:type="dxa"/>
                    <w:bottom w:w="0" w:type="dxa"/>
                    <w:right w:w="0" w:type="dxa"/>
                  </w:tcMar>
                  <w:vAlign w:val="center"/>
                </w:tcPr>
                <w:p w14:paraId="3DEF2D76">
                  <w:pPr>
                    <w:keepNext w:val="0"/>
                    <w:keepLines w:val="0"/>
                    <w:pageBreakBefore w:val="0"/>
                    <w:kinsoku/>
                    <w:wordWrap/>
                    <w:overflowPunct/>
                    <w:topLinePunct w:val="0"/>
                    <w:autoSpaceDE/>
                    <w:autoSpaceDN/>
                    <w:bidi w:val="0"/>
                    <w:snapToGrid w:val="0"/>
                    <w:jc w:val="center"/>
                    <w:textAlignment w:val="auto"/>
                    <w:rPr>
                      <w:rFonts w:hint="default" w:ascii="Times New Roman" w:hAnsi="Times New Roman" w:eastAsia="宋体"/>
                      <w:color w:val="auto"/>
                      <w:spacing w:val="0"/>
                      <w:kern w:val="2"/>
                      <w:sz w:val="21"/>
                      <w:szCs w:val="24"/>
                      <w:lang w:val="en-US" w:eastAsia="zh-CN" w:bidi="ar-SA"/>
                    </w:rPr>
                  </w:pPr>
                  <w:r>
                    <w:rPr>
                      <w:rFonts w:hint="eastAsia" w:ascii="Times New Roman" w:hAnsi="Times New Roman" w:eastAsia="宋体"/>
                      <w:color w:val="auto"/>
                      <w:spacing w:val="0"/>
                      <w:sz w:val="21"/>
                    </w:rPr>
                    <w:t>第二十条 新建、扩建“两高”项目应采用先进适用的工艺技术和装备，单位产品物耗、能耗、水耗等达到清洁生产先进水平。</w:t>
                  </w:r>
                </w:p>
              </w:tc>
              <w:tc>
                <w:tcPr>
                  <w:tcW w:w="1595" w:type="dxa"/>
                  <w:noWrap w:val="0"/>
                  <w:tcMar>
                    <w:top w:w="0" w:type="dxa"/>
                    <w:left w:w="0" w:type="dxa"/>
                    <w:bottom w:w="0" w:type="dxa"/>
                    <w:right w:w="0" w:type="dxa"/>
                  </w:tcMar>
                  <w:vAlign w:val="center"/>
                </w:tcPr>
                <w:p w14:paraId="0072BDC7">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lang w:eastAsia="zh-CN"/>
                    </w:rPr>
                  </w:pPr>
                  <w:r>
                    <w:rPr>
                      <w:rFonts w:hint="eastAsia" w:ascii="Times New Roman" w:hAnsi="Times New Roman" w:eastAsia="宋体"/>
                      <w:color w:val="auto"/>
                      <w:spacing w:val="0"/>
                      <w:sz w:val="21"/>
                      <w:lang w:eastAsia="zh-CN"/>
                    </w:rPr>
                    <w:t>本项目</w:t>
                  </w:r>
                  <w:r>
                    <w:rPr>
                      <w:rFonts w:hint="default" w:ascii="Times New Roman" w:hAnsi="Times New Roman" w:eastAsia="宋体" w:cs="Times New Roman"/>
                      <w:color w:val="auto"/>
                      <w:spacing w:val="0"/>
                      <w:sz w:val="21"/>
                      <w:lang w:val="en-US" w:eastAsia="zh-CN"/>
                    </w:rPr>
                    <w:t>不属于“两高”项目。</w:t>
                  </w:r>
                </w:p>
              </w:tc>
              <w:tc>
                <w:tcPr>
                  <w:tcW w:w="414" w:type="dxa"/>
                  <w:noWrap w:val="0"/>
                  <w:tcMar>
                    <w:top w:w="0" w:type="dxa"/>
                    <w:left w:w="0" w:type="dxa"/>
                    <w:bottom w:w="0" w:type="dxa"/>
                    <w:right w:w="0" w:type="dxa"/>
                  </w:tcMar>
                  <w:vAlign w:val="center"/>
                </w:tcPr>
                <w:p w14:paraId="0151B8C0">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default" w:ascii="Times New Roman" w:hAnsi="Times New Roman" w:eastAsia="宋体" w:cs="Times New Roman"/>
                      <w:color w:val="auto"/>
                      <w:spacing w:val="0"/>
                      <w:sz w:val="21"/>
                      <w:highlight w:val="none"/>
                    </w:rPr>
                    <w:t>符合</w:t>
                  </w:r>
                </w:p>
              </w:tc>
            </w:tr>
            <w:tr w14:paraId="7FCE2D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61" w:type="dxa"/>
                  <w:vMerge w:val="continue"/>
                  <w:noWrap w:val="0"/>
                  <w:tcMar>
                    <w:top w:w="0" w:type="dxa"/>
                    <w:left w:w="0" w:type="dxa"/>
                    <w:bottom w:w="0" w:type="dxa"/>
                    <w:right w:w="0" w:type="dxa"/>
                  </w:tcMar>
                  <w:vAlign w:val="center"/>
                </w:tcPr>
                <w:p w14:paraId="049625AB">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594" w:type="dxa"/>
                  <w:vMerge w:val="continue"/>
                  <w:noWrap w:val="0"/>
                  <w:tcMar>
                    <w:top w:w="0" w:type="dxa"/>
                    <w:left w:w="0" w:type="dxa"/>
                    <w:bottom w:w="0" w:type="dxa"/>
                    <w:right w:w="0" w:type="dxa"/>
                  </w:tcMar>
                  <w:vAlign w:val="center"/>
                </w:tcPr>
                <w:p w14:paraId="7951BA7A">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3663" w:type="dxa"/>
                  <w:noWrap w:val="0"/>
                  <w:tcMar>
                    <w:top w:w="0" w:type="dxa"/>
                    <w:left w:w="0" w:type="dxa"/>
                    <w:bottom w:w="0" w:type="dxa"/>
                    <w:right w:w="0" w:type="dxa"/>
                  </w:tcMar>
                  <w:vAlign w:val="center"/>
                </w:tcPr>
                <w:p w14:paraId="7D239916">
                  <w:pPr>
                    <w:keepNext w:val="0"/>
                    <w:keepLines w:val="0"/>
                    <w:pageBreakBefore w:val="0"/>
                    <w:kinsoku/>
                    <w:wordWrap/>
                    <w:overflowPunct/>
                    <w:topLinePunct w:val="0"/>
                    <w:autoSpaceDE/>
                    <w:autoSpaceDN/>
                    <w:bidi w:val="0"/>
                    <w:snapToGrid w:val="0"/>
                    <w:jc w:val="center"/>
                    <w:textAlignment w:val="auto"/>
                    <w:rPr>
                      <w:rFonts w:hint="default" w:ascii="Times New Roman" w:hAnsi="Times New Roman" w:eastAsia="宋体"/>
                      <w:color w:val="auto"/>
                      <w:spacing w:val="0"/>
                      <w:kern w:val="2"/>
                      <w:sz w:val="21"/>
                      <w:szCs w:val="24"/>
                      <w:lang w:val="en-US" w:eastAsia="zh-CN" w:bidi="ar-SA"/>
                    </w:rPr>
                  </w:pPr>
                  <w:r>
                    <w:rPr>
                      <w:rFonts w:hint="eastAsia" w:ascii="Times New Roman" w:hAnsi="Times New Roman" w:eastAsia="宋体"/>
                      <w:color w:val="auto"/>
                      <w:spacing w:val="0"/>
                      <w:sz w:val="21"/>
                    </w:rPr>
                    <w:t>第二十一条 推进企业内部工业用水循环利用、园区内企业间用水系统集成优化。开展火电、石化、有色金属、造纸、印染等高耗水行业工业废水循环利用示范。根据区域水资源禀赋和行业特点，结合用水总量控制措施，引导区域工业布局和产业结构调整，大力推广工业水循环利用，加快淘汰落后用水工艺和技术。</w:t>
                  </w:r>
                </w:p>
              </w:tc>
              <w:tc>
                <w:tcPr>
                  <w:tcW w:w="1595" w:type="dxa"/>
                  <w:noWrap w:val="0"/>
                  <w:tcMar>
                    <w:top w:w="0" w:type="dxa"/>
                    <w:left w:w="0" w:type="dxa"/>
                    <w:bottom w:w="0" w:type="dxa"/>
                    <w:right w:w="0" w:type="dxa"/>
                  </w:tcMar>
                  <w:vAlign w:val="center"/>
                </w:tcPr>
                <w:p w14:paraId="4D10CFB1">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lang w:val="en-US" w:eastAsia="zh-CN"/>
                    </w:rPr>
                  </w:pPr>
                  <w:r>
                    <w:rPr>
                      <w:rFonts w:hint="eastAsia" w:ascii="Times New Roman" w:hAnsi="Times New Roman" w:eastAsia="宋体" w:cs="Times New Roman"/>
                      <w:color w:val="auto"/>
                      <w:spacing w:val="0"/>
                      <w:sz w:val="21"/>
                      <w:highlight w:val="none"/>
                      <w:lang w:val="en-US" w:eastAsia="zh-CN"/>
                    </w:rPr>
                    <w:t>本项目不属于前述行业。</w:t>
                  </w:r>
                </w:p>
              </w:tc>
              <w:tc>
                <w:tcPr>
                  <w:tcW w:w="414" w:type="dxa"/>
                  <w:noWrap w:val="0"/>
                  <w:tcMar>
                    <w:top w:w="0" w:type="dxa"/>
                    <w:left w:w="0" w:type="dxa"/>
                    <w:bottom w:w="0" w:type="dxa"/>
                    <w:right w:w="0" w:type="dxa"/>
                  </w:tcMar>
                  <w:vAlign w:val="center"/>
                </w:tcPr>
                <w:p w14:paraId="37707781">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default" w:ascii="Times New Roman" w:hAnsi="Times New Roman" w:eastAsia="宋体" w:cs="Times New Roman"/>
                      <w:color w:val="auto"/>
                      <w:spacing w:val="0"/>
                      <w:sz w:val="21"/>
                      <w:highlight w:val="none"/>
                    </w:rPr>
                    <w:t>符合</w:t>
                  </w:r>
                </w:p>
              </w:tc>
            </w:tr>
            <w:tr w14:paraId="1653AB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61" w:type="dxa"/>
                  <w:vMerge w:val="continue"/>
                  <w:noWrap w:val="0"/>
                  <w:tcMar>
                    <w:top w:w="0" w:type="dxa"/>
                    <w:left w:w="0" w:type="dxa"/>
                    <w:bottom w:w="0" w:type="dxa"/>
                    <w:right w:w="0" w:type="dxa"/>
                  </w:tcMar>
                  <w:vAlign w:val="center"/>
                </w:tcPr>
                <w:p w14:paraId="4248BDDC">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594" w:type="dxa"/>
                  <w:vMerge w:val="continue"/>
                  <w:noWrap w:val="0"/>
                  <w:tcMar>
                    <w:top w:w="0" w:type="dxa"/>
                    <w:left w:w="0" w:type="dxa"/>
                    <w:bottom w:w="0" w:type="dxa"/>
                    <w:right w:w="0" w:type="dxa"/>
                  </w:tcMar>
                  <w:vAlign w:val="center"/>
                </w:tcPr>
                <w:p w14:paraId="22B9BA04">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3663" w:type="dxa"/>
                  <w:noWrap w:val="0"/>
                  <w:tcMar>
                    <w:top w:w="0" w:type="dxa"/>
                    <w:left w:w="0" w:type="dxa"/>
                    <w:bottom w:w="0" w:type="dxa"/>
                    <w:right w:w="0" w:type="dxa"/>
                  </w:tcMar>
                  <w:vAlign w:val="center"/>
                </w:tcPr>
                <w:p w14:paraId="4B74C1CF">
                  <w:pPr>
                    <w:keepNext w:val="0"/>
                    <w:keepLines w:val="0"/>
                    <w:pageBreakBefore w:val="0"/>
                    <w:kinsoku/>
                    <w:wordWrap/>
                    <w:overflowPunct/>
                    <w:topLinePunct w:val="0"/>
                    <w:autoSpaceDE/>
                    <w:autoSpaceDN/>
                    <w:bidi w:val="0"/>
                    <w:snapToGrid w:val="0"/>
                    <w:jc w:val="center"/>
                    <w:textAlignment w:val="auto"/>
                    <w:rPr>
                      <w:rFonts w:hint="eastAsia" w:ascii="Times New Roman" w:hAnsi="Times New Roman" w:eastAsia="宋体"/>
                      <w:color w:val="auto"/>
                      <w:spacing w:val="0"/>
                      <w:sz w:val="21"/>
                    </w:rPr>
                  </w:pPr>
                  <w:r>
                    <w:rPr>
                      <w:rFonts w:hint="eastAsia" w:ascii="Times New Roman" w:hAnsi="Times New Roman" w:eastAsia="宋体"/>
                      <w:color w:val="auto"/>
                      <w:spacing w:val="0"/>
                      <w:sz w:val="21"/>
                    </w:rPr>
                    <w:t>第二十二条 加快推进节水配套设施建设，加强再生水、雨水等非常规水多元、梯级和安全利用，逐年提高非常规水利用比例。结合现有污水处理设施提标升级扩能改造，系统规划城镇污水再生利用设施。</w:t>
                  </w:r>
                </w:p>
              </w:tc>
              <w:tc>
                <w:tcPr>
                  <w:tcW w:w="1595" w:type="dxa"/>
                  <w:noWrap w:val="0"/>
                  <w:tcMar>
                    <w:top w:w="0" w:type="dxa"/>
                    <w:left w:w="0" w:type="dxa"/>
                    <w:bottom w:w="0" w:type="dxa"/>
                    <w:right w:w="0" w:type="dxa"/>
                  </w:tcMar>
                  <w:vAlign w:val="center"/>
                </w:tcPr>
                <w:p w14:paraId="24C5C3AA">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eastAsia" w:ascii="Times New Roman" w:hAnsi="Times New Roman" w:eastAsia="宋体" w:cs="Times New Roman"/>
                      <w:snapToGrid w:val="0"/>
                      <w:color w:val="auto"/>
                      <w:spacing w:val="0"/>
                      <w:kern w:val="2"/>
                      <w:sz w:val="21"/>
                      <w:szCs w:val="21"/>
                      <w:highlight w:val="none"/>
                      <w:lang w:val="en-US" w:eastAsia="zh-CN" w:bidi="ar-SA"/>
                    </w:rPr>
                    <w:t>本项目不涉及。</w:t>
                  </w:r>
                </w:p>
              </w:tc>
              <w:tc>
                <w:tcPr>
                  <w:tcW w:w="414" w:type="dxa"/>
                  <w:noWrap w:val="0"/>
                  <w:tcMar>
                    <w:top w:w="0" w:type="dxa"/>
                    <w:left w:w="0" w:type="dxa"/>
                    <w:bottom w:w="0" w:type="dxa"/>
                    <w:right w:w="0" w:type="dxa"/>
                  </w:tcMar>
                  <w:vAlign w:val="center"/>
                </w:tcPr>
                <w:p w14:paraId="0FDD0A49">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eastAsia" w:ascii="Times New Roman" w:hAnsi="Times New Roman" w:eastAsia="宋体" w:cs="Times New Roman"/>
                      <w:color w:val="auto"/>
                      <w:spacing w:val="0"/>
                      <w:sz w:val="21"/>
                      <w:highlight w:val="none"/>
                      <w:lang w:val="en-US" w:eastAsia="zh-CN"/>
                    </w:rPr>
                  </w:pPr>
                  <w:r>
                    <w:rPr>
                      <w:rFonts w:hint="eastAsia" w:ascii="Times New Roman" w:hAnsi="Times New Roman" w:eastAsia="宋体" w:cs="Times New Roman"/>
                      <w:color w:val="auto"/>
                      <w:spacing w:val="0"/>
                      <w:sz w:val="21"/>
                      <w:highlight w:val="none"/>
                      <w:lang w:val="en-US" w:eastAsia="zh-CN"/>
                    </w:rPr>
                    <w:t>符合</w:t>
                  </w:r>
                </w:p>
              </w:tc>
            </w:tr>
            <w:tr w14:paraId="5B509F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61" w:type="dxa"/>
                  <w:vMerge w:val="restart"/>
                  <w:noWrap w:val="0"/>
                  <w:tcMar>
                    <w:top w:w="0" w:type="dxa"/>
                    <w:left w:w="0" w:type="dxa"/>
                    <w:bottom w:w="0" w:type="dxa"/>
                    <w:right w:w="0" w:type="dxa"/>
                  </w:tcMar>
                  <w:vAlign w:val="center"/>
                </w:tcPr>
                <w:p w14:paraId="26F4061C">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default" w:ascii="Times New Roman" w:hAnsi="Times New Roman" w:eastAsia="宋体" w:cs="Times New Roman"/>
                      <w:color w:val="auto"/>
                      <w:spacing w:val="0"/>
                      <w:sz w:val="21"/>
                      <w:highlight w:val="none"/>
                    </w:rPr>
                    <w:t>区县总体管控要求</w:t>
                  </w:r>
                </w:p>
              </w:tc>
              <w:tc>
                <w:tcPr>
                  <w:tcW w:w="594" w:type="dxa"/>
                  <w:vMerge w:val="restart"/>
                  <w:noWrap w:val="0"/>
                  <w:tcMar>
                    <w:top w:w="0" w:type="dxa"/>
                    <w:left w:w="0" w:type="dxa"/>
                    <w:bottom w:w="0" w:type="dxa"/>
                    <w:right w:w="0" w:type="dxa"/>
                  </w:tcMar>
                  <w:vAlign w:val="center"/>
                </w:tcPr>
                <w:p w14:paraId="651F891C">
                  <w:pPr>
                    <w:pStyle w:val="51"/>
                    <w:keepNext w:val="0"/>
                    <w:keepLines w:val="0"/>
                    <w:pageBreakBefore w:val="0"/>
                    <w:tabs>
                      <w:tab w:val="left" w:pos="540"/>
                      <w:tab w:val="left" w:pos="1080"/>
                      <w:tab w:val="left" w:pos="1800"/>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空间布局约束</w:t>
                  </w:r>
                </w:p>
              </w:tc>
              <w:tc>
                <w:tcPr>
                  <w:tcW w:w="3663" w:type="dxa"/>
                  <w:noWrap w:val="0"/>
                  <w:tcMar>
                    <w:top w:w="0" w:type="dxa"/>
                    <w:left w:w="0" w:type="dxa"/>
                    <w:bottom w:w="0" w:type="dxa"/>
                    <w:right w:w="0" w:type="dxa"/>
                  </w:tcMar>
                  <w:vAlign w:val="center"/>
                </w:tcPr>
                <w:p w14:paraId="04CFB6F7">
                  <w:pPr>
                    <w:keepNext w:val="0"/>
                    <w:keepLines w:val="0"/>
                    <w:pageBreakBefore w:val="0"/>
                    <w:kinsoku/>
                    <w:wordWrap/>
                    <w:overflowPunct/>
                    <w:topLinePunct w:val="0"/>
                    <w:autoSpaceDE/>
                    <w:autoSpaceDN/>
                    <w:bidi w:val="0"/>
                    <w:snapToGrid w:val="0"/>
                    <w:jc w:val="center"/>
                    <w:textAlignment w:val="auto"/>
                    <w:rPr>
                      <w:rFonts w:hint="default" w:ascii="Times New Roman" w:hAnsi="Times New Roman" w:eastAsia="宋体"/>
                      <w:color w:val="auto"/>
                      <w:spacing w:val="0"/>
                      <w:kern w:val="2"/>
                      <w:sz w:val="21"/>
                      <w:szCs w:val="24"/>
                      <w:lang w:val="en-US" w:eastAsia="zh-CN" w:bidi="ar-SA"/>
                    </w:rPr>
                  </w:pPr>
                  <w:r>
                    <w:rPr>
                      <w:rFonts w:hint="default" w:ascii="Times New Roman" w:hAnsi="Times New Roman" w:eastAsia="宋体" w:cs="Times New Roman"/>
                      <w:color w:val="auto"/>
                      <w:spacing w:val="0"/>
                      <w:sz w:val="21"/>
                      <w:szCs w:val="21"/>
                      <w:highlight w:val="none"/>
                    </w:rPr>
                    <w:t>第一条 执行重点管控单元市级总体要求第一条、第二条、第三条、第四条、第五条和第七条。</w:t>
                  </w:r>
                </w:p>
              </w:tc>
              <w:tc>
                <w:tcPr>
                  <w:tcW w:w="1595" w:type="dxa"/>
                  <w:noWrap w:val="0"/>
                  <w:tcMar>
                    <w:top w:w="0" w:type="dxa"/>
                    <w:left w:w="0" w:type="dxa"/>
                    <w:bottom w:w="0" w:type="dxa"/>
                    <w:right w:w="0" w:type="dxa"/>
                  </w:tcMar>
                  <w:vAlign w:val="center"/>
                </w:tcPr>
                <w:p w14:paraId="28C0DF8D">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eastAsia" w:ascii="Times New Roman" w:hAnsi="Times New Roman" w:eastAsia="宋体" w:cs="Times New Roman"/>
                      <w:color w:val="auto"/>
                      <w:spacing w:val="0"/>
                      <w:sz w:val="21"/>
                      <w:highlight w:val="none"/>
                      <w:lang w:val="en-US" w:eastAsia="zh-CN"/>
                    </w:rPr>
                  </w:pPr>
                  <w:r>
                    <w:rPr>
                      <w:rFonts w:hint="eastAsia" w:ascii="Times New Roman" w:hAnsi="Times New Roman" w:eastAsia="宋体" w:cs="Times New Roman"/>
                      <w:color w:val="auto"/>
                      <w:spacing w:val="0"/>
                      <w:sz w:val="21"/>
                      <w:highlight w:val="none"/>
                      <w:lang w:val="en-US" w:eastAsia="zh-CN"/>
                    </w:rPr>
                    <w:t>本项目满足</w:t>
                  </w:r>
                  <w:r>
                    <w:rPr>
                      <w:rFonts w:hint="default" w:ascii="Times New Roman" w:hAnsi="Times New Roman" w:eastAsia="宋体" w:cs="Times New Roman"/>
                      <w:color w:val="auto"/>
                      <w:spacing w:val="0"/>
                      <w:sz w:val="21"/>
                      <w:szCs w:val="21"/>
                      <w:highlight w:val="none"/>
                    </w:rPr>
                    <w:t>重点管控单元市级总体要求第一条、第二条、第三条、第四条、第五条和第七条</w:t>
                  </w:r>
                  <w:r>
                    <w:rPr>
                      <w:rFonts w:hint="eastAsia" w:ascii="Times New Roman" w:hAnsi="Times New Roman" w:eastAsia="宋体" w:cs="Times New Roman"/>
                      <w:color w:val="auto"/>
                      <w:spacing w:val="0"/>
                      <w:sz w:val="21"/>
                      <w:szCs w:val="21"/>
                      <w:highlight w:val="none"/>
                      <w:lang w:eastAsia="zh-CN"/>
                    </w:rPr>
                    <w:t>。</w:t>
                  </w:r>
                </w:p>
              </w:tc>
              <w:tc>
                <w:tcPr>
                  <w:tcW w:w="414" w:type="dxa"/>
                  <w:noWrap w:val="0"/>
                  <w:tcMar>
                    <w:top w:w="0" w:type="dxa"/>
                    <w:left w:w="0" w:type="dxa"/>
                    <w:bottom w:w="0" w:type="dxa"/>
                    <w:right w:w="0" w:type="dxa"/>
                  </w:tcMar>
                  <w:vAlign w:val="center"/>
                </w:tcPr>
                <w:p w14:paraId="02A6EE48">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default" w:ascii="Times New Roman" w:hAnsi="Times New Roman" w:eastAsia="宋体" w:cs="Times New Roman"/>
                      <w:color w:val="auto"/>
                      <w:spacing w:val="0"/>
                      <w:sz w:val="21"/>
                      <w:highlight w:val="none"/>
                    </w:rPr>
                    <w:t>符合</w:t>
                  </w:r>
                </w:p>
              </w:tc>
            </w:tr>
            <w:tr w14:paraId="288377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61" w:type="dxa"/>
                  <w:vMerge w:val="continue"/>
                  <w:noWrap w:val="0"/>
                  <w:tcMar>
                    <w:top w:w="0" w:type="dxa"/>
                    <w:left w:w="0" w:type="dxa"/>
                    <w:bottom w:w="0" w:type="dxa"/>
                    <w:right w:w="0" w:type="dxa"/>
                  </w:tcMar>
                  <w:vAlign w:val="center"/>
                </w:tcPr>
                <w:p w14:paraId="32951B88">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594" w:type="dxa"/>
                  <w:vMerge w:val="continue"/>
                  <w:noWrap w:val="0"/>
                  <w:tcMar>
                    <w:top w:w="0" w:type="dxa"/>
                    <w:left w:w="0" w:type="dxa"/>
                    <w:bottom w:w="0" w:type="dxa"/>
                    <w:right w:w="0" w:type="dxa"/>
                  </w:tcMar>
                  <w:vAlign w:val="center"/>
                </w:tcPr>
                <w:p w14:paraId="638B003B">
                  <w:pPr>
                    <w:pStyle w:val="51"/>
                    <w:keepNext w:val="0"/>
                    <w:keepLines w:val="0"/>
                    <w:pageBreakBefore w:val="0"/>
                    <w:tabs>
                      <w:tab w:val="left" w:pos="540"/>
                      <w:tab w:val="left" w:pos="1080"/>
                      <w:tab w:val="left" w:pos="1800"/>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sz w:val="21"/>
                      <w:szCs w:val="21"/>
                      <w:highlight w:val="none"/>
                    </w:rPr>
                  </w:pPr>
                </w:p>
              </w:tc>
              <w:tc>
                <w:tcPr>
                  <w:tcW w:w="3663" w:type="dxa"/>
                  <w:noWrap w:val="0"/>
                  <w:tcMar>
                    <w:top w:w="0" w:type="dxa"/>
                    <w:left w:w="0" w:type="dxa"/>
                    <w:bottom w:w="0" w:type="dxa"/>
                    <w:right w:w="0" w:type="dxa"/>
                  </w:tcMar>
                  <w:vAlign w:val="center"/>
                </w:tcPr>
                <w:p w14:paraId="7E76FA51">
                  <w:pPr>
                    <w:pStyle w:val="51"/>
                    <w:keepNext w:val="0"/>
                    <w:keepLines w:val="0"/>
                    <w:pageBreakBefore w:val="0"/>
                    <w:tabs>
                      <w:tab w:val="left" w:pos="540"/>
                      <w:tab w:val="left" w:pos="1080"/>
                      <w:tab w:val="left" w:pos="1800"/>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第二条 以完善优势产业链发展作为方向，科学合理优化工业用地空间布局，推进产城融合高质量发展。有序推动九龙工业园区“东三街”和九龙街道工业用地转型升级，重点发展制造服务业；推动九龙西城新能源、装备制造、新材料等产业往下游延伸。西彭工业园区内紧邻居住用地、中小学用地等的工业用地后续应严格控制高噪声、异味明显的项目入驻，并根据实际情况设置一定防护距离。</w:t>
                  </w:r>
                </w:p>
              </w:tc>
              <w:tc>
                <w:tcPr>
                  <w:tcW w:w="1595" w:type="dxa"/>
                  <w:noWrap w:val="0"/>
                  <w:tcMar>
                    <w:top w:w="0" w:type="dxa"/>
                    <w:left w:w="0" w:type="dxa"/>
                    <w:bottom w:w="0" w:type="dxa"/>
                    <w:right w:w="0" w:type="dxa"/>
                  </w:tcMar>
                  <w:vAlign w:val="center"/>
                </w:tcPr>
                <w:p w14:paraId="603490E5">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lang w:val="en-US" w:eastAsia="zh-CN"/>
                    </w:rPr>
                  </w:pPr>
                  <w:r>
                    <w:rPr>
                      <w:rFonts w:hint="eastAsia" w:ascii="Times New Roman" w:hAnsi="Times New Roman" w:eastAsia="宋体" w:cs="Times New Roman"/>
                      <w:color w:val="auto"/>
                      <w:spacing w:val="0"/>
                      <w:sz w:val="21"/>
                      <w:highlight w:val="none"/>
                      <w:lang w:val="en-US" w:eastAsia="zh-CN"/>
                    </w:rPr>
                    <w:t>本项目位于重庆市九龙坡区二郎街道火炬大道100号附24号及附23-2号，不位于工业园区内。</w:t>
                  </w:r>
                </w:p>
              </w:tc>
              <w:tc>
                <w:tcPr>
                  <w:tcW w:w="414" w:type="dxa"/>
                  <w:noWrap w:val="0"/>
                  <w:tcMar>
                    <w:top w:w="0" w:type="dxa"/>
                    <w:left w:w="0" w:type="dxa"/>
                    <w:bottom w:w="0" w:type="dxa"/>
                    <w:right w:w="0" w:type="dxa"/>
                  </w:tcMar>
                  <w:vAlign w:val="center"/>
                </w:tcPr>
                <w:p w14:paraId="4EDA2782">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default" w:ascii="Times New Roman" w:hAnsi="Times New Roman" w:eastAsia="宋体" w:cs="Times New Roman"/>
                      <w:color w:val="auto"/>
                      <w:spacing w:val="0"/>
                      <w:sz w:val="21"/>
                      <w:highlight w:val="none"/>
                    </w:rPr>
                    <w:t>符合</w:t>
                  </w:r>
                </w:p>
              </w:tc>
            </w:tr>
            <w:tr w14:paraId="4BAD9F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61" w:type="dxa"/>
                  <w:vMerge w:val="continue"/>
                  <w:noWrap w:val="0"/>
                  <w:tcMar>
                    <w:top w:w="0" w:type="dxa"/>
                    <w:left w:w="0" w:type="dxa"/>
                    <w:bottom w:w="0" w:type="dxa"/>
                    <w:right w:w="0" w:type="dxa"/>
                  </w:tcMar>
                  <w:vAlign w:val="center"/>
                </w:tcPr>
                <w:p w14:paraId="181B3D06">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594" w:type="dxa"/>
                  <w:vMerge w:val="restart"/>
                  <w:noWrap w:val="0"/>
                  <w:tcMar>
                    <w:top w:w="0" w:type="dxa"/>
                    <w:left w:w="0" w:type="dxa"/>
                    <w:bottom w:w="0" w:type="dxa"/>
                    <w:right w:w="0" w:type="dxa"/>
                  </w:tcMar>
                  <w:vAlign w:val="center"/>
                </w:tcPr>
                <w:p w14:paraId="12EC0B7A">
                  <w:pPr>
                    <w:pStyle w:val="51"/>
                    <w:keepNext w:val="0"/>
                    <w:keepLines w:val="0"/>
                    <w:pageBreakBefore w:val="0"/>
                    <w:tabs>
                      <w:tab w:val="left" w:pos="540"/>
                      <w:tab w:val="left" w:pos="1080"/>
                      <w:tab w:val="left" w:pos="1800"/>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污染物排放管控</w:t>
                  </w:r>
                </w:p>
              </w:tc>
              <w:tc>
                <w:tcPr>
                  <w:tcW w:w="3663" w:type="dxa"/>
                  <w:noWrap w:val="0"/>
                  <w:tcMar>
                    <w:top w:w="0" w:type="dxa"/>
                    <w:left w:w="0" w:type="dxa"/>
                    <w:bottom w:w="0" w:type="dxa"/>
                    <w:right w:w="0" w:type="dxa"/>
                  </w:tcMar>
                  <w:vAlign w:val="center"/>
                </w:tcPr>
                <w:p w14:paraId="1430BC89">
                  <w:pPr>
                    <w:pStyle w:val="51"/>
                    <w:keepNext w:val="0"/>
                    <w:keepLines w:val="0"/>
                    <w:pageBreakBefore w:val="0"/>
                    <w:tabs>
                      <w:tab w:val="left" w:pos="540"/>
                      <w:tab w:val="left" w:pos="1080"/>
                      <w:tab w:val="left" w:pos="1800"/>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第三条 执行重点管控单元市级总体要求第八条、第九条、第十一条、第十二条、第十四条和第十五条。</w:t>
                  </w:r>
                </w:p>
              </w:tc>
              <w:tc>
                <w:tcPr>
                  <w:tcW w:w="1595" w:type="dxa"/>
                  <w:noWrap w:val="0"/>
                  <w:tcMar>
                    <w:top w:w="0" w:type="dxa"/>
                    <w:left w:w="0" w:type="dxa"/>
                    <w:bottom w:w="0" w:type="dxa"/>
                    <w:right w:w="0" w:type="dxa"/>
                  </w:tcMar>
                  <w:vAlign w:val="center"/>
                </w:tcPr>
                <w:p w14:paraId="26A08494">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lang w:val="en-US" w:eastAsia="zh-CN"/>
                    </w:rPr>
                  </w:pPr>
                  <w:r>
                    <w:rPr>
                      <w:rFonts w:hint="eastAsia" w:ascii="Times New Roman" w:hAnsi="Times New Roman" w:eastAsia="宋体" w:cs="Times New Roman"/>
                      <w:color w:val="auto"/>
                      <w:spacing w:val="0"/>
                      <w:sz w:val="21"/>
                      <w:highlight w:val="none"/>
                      <w:lang w:val="en-US" w:eastAsia="zh-CN"/>
                    </w:rPr>
                    <w:t>本项目满足</w:t>
                  </w:r>
                  <w:r>
                    <w:rPr>
                      <w:rFonts w:hint="default" w:ascii="Times New Roman" w:hAnsi="Times New Roman" w:eastAsia="宋体" w:cs="Times New Roman"/>
                      <w:color w:val="auto"/>
                      <w:spacing w:val="0"/>
                      <w:sz w:val="21"/>
                      <w:szCs w:val="21"/>
                      <w:highlight w:val="none"/>
                    </w:rPr>
                    <w:t>重点管控单元市级总体要求第八条、第九条、第十一条、第十二条、第十四条和第十五条。</w:t>
                  </w:r>
                </w:p>
              </w:tc>
              <w:tc>
                <w:tcPr>
                  <w:tcW w:w="414" w:type="dxa"/>
                  <w:noWrap w:val="0"/>
                  <w:tcMar>
                    <w:top w:w="0" w:type="dxa"/>
                    <w:left w:w="0" w:type="dxa"/>
                    <w:bottom w:w="0" w:type="dxa"/>
                    <w:right w:w="0" w:type="dxa"/>
                  </w:tcMar>
                  <w:vAlign w:val="center"/>
                </w:tcPr>
                <w:p w14:paraId="0B8022E3">
                  <w:pPr>
                    <w:pStyle w:val="51"/>
                    <w:keepNext w:val="0"/>
                    <w:keepLines w:val="0"/>
                    <w:pageBreakBefore w:val="0"/>
                    <w:tabs>
                      <w:tab w:val="left" w:pos="540"/>
                      <w:tab w:val="left" w:pos="1080"/>
                      <w:tab w:val="left" w:pos="1800"/>
                    </w:tabs>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 w:val="21"/>
                      <w:highlight w:val="none"/>
                    </w:rPr>
                    <w:t>符合</w:t>
                  </w:r>
                </w:p>
              </w:tc>
            </w:tr>
            <w:tr w14:paraId="1D5026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61" w:type="dxa"/>
                  <w:vMerge w:val="continue"/>
                  <w:noWrap w:val="0"/>
                  <w:tcMar>
                    <w:top w:w="0" w:type="dxa"/>
                    <w:left w:w="0" w:type="dxa"/>
                    <w:bottom w:w="0" w:type="dxa"/>
                    <w:right w:w="0" w:type="dxa"/>
                  </w:tcMar>
                  <w:vAlign w:val="center"/>
                </w:tcPr>
                <w:p w14:paraId="0585E2A0">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594" w:type="dxa"/>
                  <w:vMerge w:val="continue"/>
                  <w:noWrap w:val="0"/>
                  <w:tcMar>
                    <w:top w:w="0" w:type="dxa"/>
                    <w:left w:w="0" w:type="dxa"/>
                    <w:bottom w:w="0" w:type="dxa"/>
                    <w:right w:w="0" w:type="dxa"/>
                  </w:tcMar>
                  <w:vAlign w:val="center"/>
                </w:tcPr>
                <w:p w14:paraId="0D325830">
                  <w:pPr>
                    <w:pStyle w:val="51"/>
                    <w:keepNext w:val="0"/>
                    <w:keepLines w:val="0"/>
                    <w:pageBreakBefore w:val="0"/>
                    <w:tabs>
                      <w:tab w:val="left" w:pos="540"/>
                      <w:tab w:val="left" w:pos="1080"/>
                      <w:tab w:val="left" w:pos="1800"/>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sz w:val="21"/>
                      <w:szCs w:val="21"/>
                      <w:highlight w:val="none"/>
                    </w:rPr>
                  </w:pPr>
                </w:p>
              </w:tc>
              <w:tc>
                <w:tcPr>
                  <w:tcW w:w="3663" w:type="dxa"/>
                  <w:noWrap w:val="0"/>
                  <w:tcMar>
                    <w:top w:w="0" w:type="dxa"/>
                    <w:left w:w="0" w:type="dxa"/>
                    <w:bottom w:w="0" w:type="dxa"/>
                    <w:right w:w="0" w:type="dxa"/>
                  </w:tcMar>
                  <w:vAlign w:val="center"/>
                </w:tcPr>
                <w:p w14:paraId="339E44B5">
                  <w:pPr>
                    <w:pStyle w:val="51"/>
                    <w:keepNext w:val="0"/>
                    <w:keepLines w:val="0"/>
                    <w:pageBreakBefore w:val="0"/>
                    <w:tabs>
                      <w:tab w:val="left" w:pos="540"/>
                      <w:tab w:val="left" w:pos="1080"/>
                      <w:tab w:val="left" w:pos="1800"/>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第四条 以重点行业为抓手，深化挥发性有机物治理，减缓工居混杂矛盾。以工业涂装、汽车维修、油品储运销等行业为重点，推动重点行业持续提升低（无）VOCs含量、低反应活性的原辅材料替代比例，推进重点监管企业VOCs综合整治。加强投诉较为集中的重点区域废气排放企业监督检查，加强重点排污企业污染治理设施和在线监控建设和运维。</w:t>
                  </w:r>
                </w:p>
              </w:tc>
              <w:tc>
                <w:tcPr>
                  <w:tcW w:w="1595" w:type="dxa"/>
                  <w:noWrap w:val="0"/>
                  <w:tcMar>
                    <w:top w:w="0" w:type="dxa"/>
                    <w:left w:w="0" w:type="dxa"/>
                    <w:bottom w:w="0" w:type="dxa"/>
                    <w:right w:w="0" w:type="dxa"/>
                  </w:tcMar>
                  <w:vAlign w:val="center"/>
                </w:tcPr>
                <w:p w14:paraId="348A7D82">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eastAsia" w:ascii="Times New Roman" w:hAnsi="Times New Roman" w:eastAsia="宋体" w:cs="Times New Roman"/>
                      <w:color w:val="auto"/>
                      <w:spacing w:val="0"/>
                      <w:sz w:val="21"/>
                      <w:highlight w:val="none"/>
                      <w:lang w:val="en-US" w:eastAsia="zh-CN"/>
                    </w:rPr>
                  </w:pPr>
                  <w:r>
                    <w:rPr>
                      <w:rFonts w:hint="eastAsia" w:ascii="Times New Roman" w:hAnsi="Times New Roman" w:eastAsia="宋体" w:cs="Times New Roman"/>
                      <w:color w:val="auto"/>
                      <w:spacing w:val="0"/>
                      <w:sz w:val="21"/>
                      <w:highlight w:val="none"/>
                      <w:lang w:val="en-US" w:eastAsia="zh-CN"/>
                    </w:rPr>
                    <w:t>本项目为动物医院扩建项目，不属于重点行业，不涉及</w:t>
                  </w:r>
                  <w:r>
                    <w:rPr>
                      <w:rFonts w:hint="default" w:ascii="Times New Roman" w:hAnsi="Times New Roman" w:eastAsia="宋体" w:cs="Times New Roman"/>
                      <w:color w:val="auto"/>
                      <w:spacing w:val="0"/>
                      <w:sz w:val="21"/>
                      <w:szCs w:val="21"/>
                      <w:highlight w:val="none"/>
                    </w:rPr>
                    <w:t>工业涂装、汽车维修、油品储运</w:t>
                  </w:r>
                  <w:r>
                    <w:rPr>
                      <w:rFonts w:hint="eastAsia" w:ascii="Times New Roman" w:hAnsi="Times New Roman" w:eastAsia="宋体" w:cs="Times New Roman"/>
                      <w:color w:val="auto"/>
                      <w:spacing w:val="0"/>
                      <w:sz w:val="21"/>
                      <w:szCs w:val="21"/>
                      <w:highlight w:val="none"/>
                      <w:lang w:eastAsia="zh-CN"/>
                    </w:rPr>
                    <w:t>。</w:t>
                  </w:r>
                </w:p>
              </w:tc>
              <w:tc>
                <w:tcPr>
                  <w:tcW w:w="414" w:type="dxa"/>
                  <w:noWrap w:val="0"/>
                  <w:tcMar>
                    <w:top w:w="0" w:type="dxa"/>
                    <w:left w:w="0" w:type="dxa"/>
                    <w:bottom w:w="0" w:type="dxa"/>
                    <w:right w:w="0" w:type="dxa"/>
                  </w:tcMar>
                  <w:vAlign w:val="center"/>
                </w:tcPr>
                <w:p w14:paraId="20939667">
                  <w:pPr>
                    <w:pStyle w:val="51"/>
                    <w:keepNext w:val="0"/>
                    <w:keepLines w:val="0"/>
                    <w:pageBreakBefore w:val="0"/>
                    <w:tabs>
                      <w:tab w:val="left" w:pos="540"/>
                      <w:tab w:val="left" w:pos="1080"/>
                      <w:tab w:val="left" w:pos="1800"/>
                    </w:tabs>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 w:val="21"/>
                      <w:highlight w:val="none"/>
                    </w:rPr>
                    <w:t>符合</w:t>
                  </w:r>
                </w:p>
              </w:tc>
            </w:tr>
            <w:tr w14:paraId="6E98B1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61" w:type="dxa"/>
                  <w:vMerge w:val="continue"/>
                  <w:noWrap w:val="0"/>
                  <w:tcMar>
                    <w:top w:w="0" w:type="dxa"/>
                    <w:left w:w="0" w:type="dxa"/>
                    <w:bottom w:w="0" w:type="dxa"/>
                    <w:right w:w="0" w:type="dxa"/>
                  </w:tcMar>
                  <w:vAlign w:val="center"/>
                </w:tcPr>
                <w:p w14:paraId="1698605F">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594" w:type="dxa"/>
                  <w:vMerge w:val="continue"/>
                  <w:noWrap w:val="0"/>
                  <w:tcMar>
                    <w:top w:w="0" w:type="dxa"/>
                    <w:left w:w="0" w:type="dxa"/>
                    <w:bottom w:w="0" w:type="dxa"/>
                    <w:right w:w="0" w:type="dxa"/>
                  </w:tcMar>
                  <w:vAlign w:val="center"/>
                </w:tcPr>
                <w:p w14:paraId="2CEA87B3">
                  <w:pPr>
                    <w:pStyle w:val="51"/>
                    <w:keepNext w:val="0"/>
                    <w:keepLines w:val="0"/>
                    <w:pageBreakBefore w:val="0"/>
                    <w:tabs>
                      <w:tab w:val="left" w:pos="540"/>
                      <w:tab w:val="left" w:pos="1080"/>
                      <w:tab w:val="left" w:pos="1800"/>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sz w:val="21"/>
                      <w:szCs w:val="21"/>
                      <w:highlight w:val="none"/>
                    </w:rPr>
                  </w:pPr>
                </w:p>
              </w:tc>
              <w:tc>
                <w:tcPr>
                  <w:tcW w:w="3663" w:type="dxa"/>
                  <w:noWrap w:val="0"/>
                  <w:tcMar>
                    <w:top w:w="0" w:type="dxa"/>
                    <w:left w:w="0" w:type="dxa"/>
                    <w:bottom w:w="0" w:type="dxa"/>
                    <w:right w:w="0" w:type="dxa"/>
                  </w:tcMar>
                  <w:vAlign w:val="center"/>
                </w:tcPr>
                <w:p w14:paraId="0FF23FEA">
                  <w:pPr>
                    <w:pStyle w:val="51"/>
                    <w:keepNext w:val="0"/>
                    <w:keepLines w:val="0"/>
                    <w:pageBreakBefore w:val="0"/>
                    <w:tabs>
                      <w:tab w:val="left" w:pos="540"/>
                      <w:tab w:val="left" w:pos="1080"/>
                      <w:tab w:val="left" w:pos="1800"/>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第五条 以餐饮油烟为重点，强化生活污染防治。加大居民生活油烟排放治理，推动具备条件的餐饮单位安装餐饮油烟在线监控设施，加强对重点区域无油烟净化设施露天摊位的管理。</w:t>
                  </w:r>
                </w:p>
              </w:tc>
              <w:tc>
                <w:tcPr>
                  <w:tcW w:w="1595" w:type="dxa"/>
                  <w:noWrap w:val="0"/>
                  <w:tcMar>
                    <w:top w:w="0" w:type="dxa"/>
                    <w:left w:w="0" w:type="dxa"/>
                    <w:bottom w:w="0" w:type="dxa"/>
                    <w:right w:w="0" w:type="dxa"/>
                  </w:tcMar>
                  <w:vAlign w:val="center"/>
                </w:tcPr>
                <w:p w14:paraId="6DB91620">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lang w:val="en-US"/>
                    </w:rPr>
                  </w:pPr>
                  <w:r>
                    <w:rPr>
                      <w:rFonts w:hint="eastAsia" w:ascii="Times New Roman" w:hAnsi="Times New Roman" w:eastAsia="宋体" w:cs="Times New Roman"/>
                      <w:color w:val="auto"/>
                      <w:spacing w:val="0"/>
                      <w:sz w:val="21"/>
                      <w:highlight w:val="none"/>
                      <w:lang w:val="en-US" w:eastAsia="zh-CN"/>
                    </w:rPr>
                    <w:t>本项目为动物医院扩建项目，不设置食堂。</w:t>
                  </w:r>
                </w:p>
              </w:tc>
              <w:tc>
                <w:tcPr>
                  <w:tcW w:w="414" w:type="dxa"/>
                  <w:noWrap w:val="0"/>
                  <w:tcMar>
                    <w:top w:w="0" w:type="dxa"/>
                    <w:left w:w="0" w:type="dxa"/>
                    <w:bottom w:w="0" w:type="dxa"/>
                    <w:right w:w="0" w:type="dxa"/>
                  </w:tcMar>
                  <w:vAlign w:val="center"/>
                </w:tcPr>
                <w:p w14:paraId="73A8DC80">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default" w:ascii="Times New Roman" w:hAnsi="Times New Roman" w:eastAsia="宋体" w:cs="Times New Roman"/>
                      <w:color w:val="auto"/>
                      <w:spacing w:val="0"/>
                      <w:sz w:val="21"/>
                      <w:highlight w:val="none"/>
                    </w:rPr>
                    <w:t>符合</w:t>
                  </w:r>
                </w:p>
              </w:tc>
            </w:tr>
            <w:tr w14:paraId="63C630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61" w:type="dxa"/>
                  <w:vMerge w:val="continue"/>
                  <w:noWrap w:val="0"/>
                  <w:tcMar>
                    <w:top w:w="0" w:type="dxa"/>
                    <w:left w:w="0" w:type="dxa"/>
                    <w:bottom w:w="0" w:type="dxa"/>
                    <w:right w:w="0" w:type="dxa"/>
                  </w:tcMar>
                  <w:vAlign w:val="center"/>
                </w:tcPr>
                <w:p w14:paraId="6567122D">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594" w:type="dxa"/>
                  <w:vMerge w:val="continue"/>
                  <w:noWrap w:val="0"/>
                  <w:tcMar>
                    <w:top w:w="0" w:type="dxa"/>
                    <w:left w:w="0" w:type="dxa"/>
                    <w:bottom w:w="0" w:type="dxa"/>
                    <w:right w:w="0" w:type="dxa"/>
                  </w:tcMar>
                  <w:vAlign w:val="center"/>
                </w:tcPr>
                <w:p w14:paraId="0316F309">
                  <w:pPr>
                    <w:pStyle w:val="51"/>
                    <w:keepNext w:val="0"/>
                    <w:keepLines w:val="0"/>
                    <w:pageBreakBefore w:val="0"/>
                    <w:tabs>
                      <w:tab w:val="left" w:pos="540"/>
                      <w:tab w:val="left" w:pos="1080"/>
                      <w:tab w:val="left" w:pos="1800"/>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sz w:val="21"/>
                      <w:szCs w:val="21"/>
                      <w:highlight w:val="none"/>
                    </w:rPr>
                  </w:pPr>
                </w:p>
              </w:tc>
              <w:tc>
                <w:tcPr>
                  <w:tcW w:w="3663" w:type="dxa"/>
                  <w:noWrap w:val="0"/>
                  <w:tcMar>
                    <w:top w:w="0" w:type="dxa"/>
                    <w:left w:w="0" w:type="dxa"/>
                    <w:bottom w:w="0" w:type="dxa"/>
                    <w:right w:w="0" w:type="dxa"/>
                  </w:tcMar>
                  <w:vAlign w:val="center"/>
                </w:tcPr>
                <w:p w14:paraId="11D4D9FB">
                  <w:pPr>
                    <w:pStyle w:val="51"/>
                    <w:keepNext w:val="0"/>
                    <w:keepLines w:val="0"/>
                    <w:pageBreakBefore w:val="0"/>
                    <w:tabs>
                      <w:tab w:val="left" w:pos="540"/>
                      <w:tab w:val="left" w:pos="1080"/>
                      <w:tab w:val="left" w:pos="1800"/>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第六条 以交通和扬尘污染治理为关键，提升环境空气质量。加快淘汰国三及以下排放标准柴油车、汽油车，以运输企业和用车大户为重点，建立车辆档案并制定淘汰计划；严格落实中心城区高排放车辆限行措施；大力推广新能源车；加快发展城市轨道交通、智能交通和慢行交通，加快建设滨江步道，鼓励绿色出行；以九龙半岛、西部片区等区域为重点，加强施工扬尘监管，逐步推进建筑面积2万平方米以上的工地安装在线监控系统。</w:t>
                  </w:r>
                </w:p>
              </w:tc>
              <w:tc>
                <w:tcPr>
                  <w:tcW w:w="1595" w:type="dxa"/>
                  <w:noWrap w:val="0"/>
                  <w:tcMar>
                    <w:top w:w="0" w:type="dxa"/>
                    <w:left w:w="0" w:type="dxa"/>
                    <w:bottom w:w="0" w:type="dxa"/>
                    <w:right w:w="0" w:type="dxa"/>
                  </w:tcMar>
                  <w:vAlign w:val="center"/>
                </w:tcPr>
                <w:p w14:paraId="5178BA18">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lang w:val="en-US"/>
                    </w:rPr>
                  </w:pPr>
                  <w:r>
                    <w:rPr>
                      <w:rFonts w:hint="eastAsia" w:ascii="Times New Roman" w:hAnsi="Times New Roman" w:eastAsia="宋体" w:cs="Times New Roman"/>
                      <w:color w:val="auto"/>
                      <w:spacing w:val="0"/>
                      <w:sz w:val="21"/>
                      <w:highlight w:val="none"/>
                      <w:lang w:val="en-US" w:eastAsia="zh-CN"/>
                    </w:rPr>
                    <w:t>本项目为动物医院扩建项目，不涉及</w:t>
                  </w:r>
                  <w:r>
                    <w:rPr>
                      <w:rFonts w:hint="default" w:ascii="Times New Roman" w:hAnsi="Times New Roman" w:eastAsia="宋体" w:cs="Times New Roman"/>
                      <w:color w:val="auto"/>
                      <w:spacing w:val="0"/>
                      <w:sz w:val="21"/>
                      <w:szCs w:val="21"/>
                      <w:highlight w:val="none"/>
                    </w:rPr>
                    <w:t>交通和扬尘污染</w:t>
                  </w:r>
                  <w:r>
                    <w:rPr>
                      <w:rFonts w:hint="eastAsia" w:ascii="Times New Roman" w:hAnsi="Times New Roman" w:eastAsia="宋体" w:cs="Times New Roman"/>
                      <w:color w:val="auto"/>
                      <w:spacing w:val="0"/>
                      <w:sz w:val="21"/>
                      <w:highlight w:val="none"/>
                      <w:lang w:val="en-US" w:eastAsia="zh-CN"/>
                    </w:rPr>
                    <w:t>。</w:t>
                  </w:r>
                </w:p>
              </w:tc>
              <w:tc>
                <w:tcPr>
                  <w:tcW w:w="414" w:type="dxa"/>
                  <w:noWrap w:val="0"/>
                  <w:tcMar>
                    <w:top w:w="0" w:type="dxa"/>
                    <w:left w:w="0" w:type="dxa"/>
                    <w:bottom w:w="0" w:type="dxa"/>
                    <w:right w:w="0" w:type="dxa"/>
                  </w:tcMar>
                  <w:vAlign w:val="center"/>
                </w:tcPr>
                <w:p w14:paraId="28FB6127">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default" w:ascii="Times New Roman" w:hAnsi="Times New Roman" w:eastAsia="宋体" w:cs="Times New Roman"/>
                      <w:color w:val="auto"/>
                      <w:spacing w:val="0"/>
                      <w:sz w:val="21"/>
                      <w:highlight w:val="none"/>
                    </w:rPr>
                    <w:t>符合</w:t>
                  </w:r>
                </w:p>
              </w:tc>
            </w:tr>
            <w:tr w14:paraId="74FF37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61" w:type="dxa"/>
                  <w:vMerge w:val="continue"/>
                  <w:noWrap w:val="0"/>
                  <w:tcMar>
                    <w:top w:w="0" w:type="dxa"/>
                    <w:left w:w="0" w:type="dxa"/>
                    <w:bottom w:w="0" w:type="dxa"/>
                    <w:right w:w="0" w:type="dxa"/>
                  </w:tcMar>
                  <w:vAlign w:val="center"/>
                </w:tcPr>
                <w:p w14:paraId="392EFD83">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594" w:type="dxa"/>
                  <w:vMerge w:val="continue"/>
                  <w:noWrap w:val="0"/>
                  <w:tcMar>
                    <w:top w:w="0" w:type="dxa"/>
                    <w:left w:w="0" w:type="dxa"/>
                    <w:bottom w:w="0" w:type="dxa"/>
                    <w:right w:w="0" w:type="dxa"/>
                  </w:tcMar>
                  <w:vAlign w:val="center"/>
                </w:tcPr>
                <w:p w14:paraId="66DE560B">
                  <w:pPr>
                    <w:pStyle w:val="51"/>
                    <w:keepNext w:val="0"/>
                    <w:keepLines w:val="0"/>
                    <w:pageBreakBefore w:val="0"/>
                    <w:tabs>
                      <w:tab w:val="left" w:pos="540"/>
                      <w:tab w:val="left" w:pos="1080"/>
                      <w:tab w:val="left" w:pos="1800"/>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sz w:val="21"/>
                      <w:szCs w:val="21"/>
                      <w:highlight w:val="none"/>
                    </w:rPr>
                  </w:pPr>
                </w:p>
              </w:tc>
              <w:tc>
                <w:tcPr>
                  <w:tcW w:w="3663" w:type="dxa"/>
                  <w:noWrap w:val="0"/>
                  <w:tcMar>
                    <w:top w:w="0" w:type="dxa"/>
                    <w:left w:w="0" w:type="dxa"/>
                    <w:bottom w:w="0" w:type="dxa"/>
                    <w:right w:w="0" w:type="dxa"/>
                  </w:tcMar>
                  <w:vAlign w:val="center"/>
                </w:tcPr>
                <w:p w14:paraId="78089AD3">
                  <w:pPr>
                    <w:pStyle w:val="51"/>
                    <w:keepNext w:val="0"/>
                    <w:keepLines w:val="0"/>
                    <w:pageBreakBefore w:val="0"/>
                    <w:tabs>
                      <w:tab w:val="left" w:pos="540"/>
                      <w:tab w:val="left" w:pos="1080"/>
                      <w:tab w:val="left" w:pos="1800"/>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第七条 以“三河六溪”污染综合治理为核心，改善次级河流水质。持续推进“三河六溪”污染综合治理。实施跳磴河水质提升攻坚行动，整治突出水环境问题，完成重点流域雨污分流整治、河道清淤疏浚等措施；推进桃花溪流域雨污分流整治；实施大溪河流域整治，强化流域跨界协同治理机制；深化六条滨河污染治理，因地制宜开展水体内源污染治理和生态修复，增强河湖水体自净功能。</w:t>
                  </w:r>
                </w:p>
              </w:tc>
              <w:tc>
                <w:tcPr>
                  <w:tcW w:w="1595" w:type="dxa"/>
                  <w:noWrap w:val="0"/>
                  <w:tcMar>
                    <w:top w:w="0" w:type="dxa"/>
                    <w:left w:w="0" w:type="dxa"/>
                    <w:bottom w:w="0" w:type="dxa"/>
                    <w:right w:w="0" w:type="dxa"/>
                  </w:tcMar>
                  <w:vAlign w:val="center"/>
                </w:tcPr>
                <w:p w14:paraId="278EDBB8">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eastAsia" w:ascii="Times New Roman" w:hAnsi="Times New Roman" w:eastAsia="宋体" w:cs="Times New Roman"/>
                      <w:color w:val="auto"/>
                      <w:spacing w:val="0"/>
                      <w:sz w:val="21"/>
                      <w:highlight w:val="none"/>
                      <w:lang w:val="en-US" w:eastAsia="zh-CN"/>
                    </w:rPr>
                    <w:t>本项目为动物医院扩建项目，不涉及</w:t>
                  </w:r>
                  <w:r>
                    <w:rPr>
                      <w:rFonts w:hint="default" w:ascii="Times New Roman" w:hAnsi="Times New Roman" w:eastAsia="宋体" w:cs="Times New Roman"/>
                      <w:color w:val="auto"/>
                      <w:spacing w:val="0"/>
                      <w:sz w:val="21"/>
                      <w:szCs w:val="21"/>
                      <w:highlight w:val="none"/>
                    </w:rPr>
                    <w:t>改善次级河流水质</w:t>
                  </w:r>
                  <w:r>
                    <w:rPr>
                      <w:rFonts w:hint="eastAsia" w:ascii="Times New Roman" w:hAnsi="Times New Roman" w:eastAsia="宋体" w:cs="Times New Roman"/>
                      <w:color w:val="auto"/>
                      <w:spacing w:val="0"/>
                      <w:sz w:val="21"/>
                      <w:highlight w:val="none"/>
                      <w:lang w:val="en-US" w:eastAsia="zh-CN"/>
                    </w:rPr>
                    <w:t>。</w:t>
                  </w:r>
                </w:p>
              </w:tc>
              <w:tc>
                <w:tcPr>
                  <w:tcW w:w="414" w:type="dxa"/>
                  <w:noWrap w:val="0"/>
                  <w:tcMar>
                    <w:top w:w="0" w:type="dxa"/>
                    <w:left w:w="0" w:type="dxa"/>
                    <w:bottom w:w="0" w:type="dxa"/>
                    <w:right w:w="0" w:type="dxa"/>
                  </w:tcMar>
                  <w:vAlign w:val="center"/>
                </w:tcPr>
                <w:p w14:paraId="5C6B67F1">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default" w:ascii="Times New Roman" w:hAnsi="Times New Roman" w:eastAsia="宋体" w:cs="Times New Roman"/>
                      <w:color w:val="auto"/>
                      <w:spacing w:val="0"/>
                      <w:sz w:val="21"/>
                      <w:highlight w:val="none"/>
                    </w:rPr>
                    <w:t>符合</w:t>
                  </w:r>
                </w:p>
              </w:tc>
            </w:tr>
            <w:tr w14:paraId="4074CA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61" w:type="dxa"/>
                  <w:vMerge w:val="continue"/>
                  <w:noWrap w:val="0"/>
                  <w:tcMar>
                    <w:top w:w="0" w:type="dxa"/>
                    <w:left w:w="0" w:type="dxa"/>
                    <w:bottom w:w="0" w:type="dxa"/>
                    <w:right w:w="0" w:type="dxa"/>
                  </w:tcMar>
                  <w:vAlign w:val="center"/>
                </w:tcPr>
                <w:p w14:paraId="27BA2044">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594" w:type="dxa"/>
                  <w:vMerge w:val="continue"/>
                  <w:noWrap w:val="0"/>
                  <w:tcMar>
                    <w:top w:w="0" w:type="dxa"/>
                    <w:left w:w="0" w:type="dxa"/>
                    <w:bottom w:w="0" w:type="dxa"/>
                    <w:right w:w="0" w:type="dxa"/>
                  </w:tcMar>
                  <w:vAlign w:val="center"/>
                </w:tcPr>
                <w:p w14:paraId="63F2FBFE">
                  <w:pPr>
                    <w:pStyle w:val="51"/>
                    <w:keepNext w:val="0"/>
                    <w:keepLines w:val="0"/>
                    <w:pageBreakBefore w:val="0"/>
                    <w:tabs>
                      <w:tab w:val="left" w:pos="540"/>
                      <w:tab w:val="left" w:pos="1080"/>
                      <w:tab w:val="left" w:pos="1800"/>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sz w:val="21"/>
                      <w:szCs w:val="21"/>
                      <w:highlight w:val="none"/>
                    </w:rPr>
                  </w:pPr>
                </w:p>
              </w:tc>
              <w:tc>
                <w:tcPr>
                  <w:tcW w:w="3663" w:type="dxa"/>
                  <w:noWrap w:val="0"/>
                  <w:tcMar>
                    <w:top w:w="0" w:type="dxa"/>
                    <w:left w:w="0" w:type="dxa"/>
                    <w:bottom w:w="0" w:type="dxa"/>
                    <w:right w:w="0" w:type="dxa"/>
                  </w:tcMar>
                  <w:vAlign w:val="center"/>
                </w:tcPr>
                <w:p w14:paraId="390D9399">
                  <w:pPr>
                    <w:pStyle w:val="51"/>
                    <w:keepNext w:val="0"/>
                    <w:keepLines w:val="0"/>
                    <w:pageBreakBefore w:val="0"/>
                    <w:tabs>
                      <w:tab w:val="left" w:pos="540"/>
                      <w:tab w:val="left" w:pos="1080"/>
                      <w:tab w:val="left" w:pos="1800"/>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第八条 以农业种植和水产养殖为重点，强化面源污染防治。严格控制化肥农药使用量，推进化肥农药减量增效；加强九龙西城西彭镇高标准农田管护运营；以九龙西城水产养殖污染防治为重点，全面推进池塘水产养殖综合治理，提高养殖尾水治理设施覆盖率。</w:t>
                  </w:r>
                </w:p>
              </w:tc>
              <w:tc>
                <w:tcPr>
                  <w:tcW w:w="1595" w:type="dxa"/>
                  <w:noWrap w:val="0"/>
                  <w:tcMar>
                    <w:top w:w="0" w:type="dxa"/>
                    <w:left w:w="0" w:type="dxa"/>
                    <w:bottom w:w="0" w:type="dxa"/>
                    <w:right w:w="0" w:type="dxa"/>
                  </w:tcMar>
                  <w:vAlign w:val="center"/>
                </w:tcPr>
                <w:p w14:paraId="48D9A7EA">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eastAsia" w:ascii="Times New Roman" w:hAnsi="Times New Roman" w:eastAsia="宋体" w:cs="Times New Roman"/>
                      <w:color w:val="auto"/>
                      <w:spacing w:val="0"/>
                      <w:sz w:val="21"/>
                      <w:highlight w:val="none"/>
                      <w:lang w:val="en-US" w:eastAsia="zh-CN"/>
                    </w:rPr>
                    <w:t>本项目为动物医院扩建项目，不涉及</w:t>
                  </w:r>
                  <w:r>
                    <w:rPr>
                      <w:rFonts w:hint="default" w:ascii="Times New Roman" w:hAnsi="Times New Roman" w:eastAsia="宋体" w:cs="Times New Roman"/>
                      <w:color w:val="auto"/>
                      <w:spacing w:val="0"/>
                      <w:sz w:val="21"/>
                      <w:szCs w:val="21"/>
                      <w:highlight w:val="none"/>
                    </w:rPr>
                    <w:t>面源污染防治</w:t>
                  </w:r>
                  <w:r>
                    <w:rPr>
                      <w:rFonts w:hint="eastAsia" w:ascii="Times New Roman" w:hAnsi="Times New Roman" w:eastAsia="宋体" w:cs="Times New Roman"/>
                      <w:color w:val="auto"/>
                      <w:spacing w:val="0"/>
                      <w:sz w:val="21"/>
                      <w:highlight w:val="none"/>
                      <w:lang w:val="en-US" w:eastAsia="zh-CN"/>
                    </w:rPr>
                    <w:t>。</w:t>
                  </w:r>
                </w:p>
              </w:tc>
              <w:tc>
                <w:tcPr>
                  <w:tcW w:w="414" w:type="dxa"/>
                  <w:noWrap w:val="0"/>
                  <w:tcMar>
                    <w:top w:w="0" w:type="dxa"/>
                    <w:left w:w="0" w:type="dxa"/>
                    <w:bottom w:w="0" w:type="dxa"/>
                    <w:right w:w="0" w:type="dxa"/>
                  </w:tcMar>
                  <w:vAlign w:val="center"/>
                </w:tcPr>
                <w:p w14:paraId="78F49004">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default" w:ascii="Times New Roman" w:hAnsi="Times New Roman" w:eastAsia="宋体" w:cs="Times New Roman"/>
                      <w:color w:val="auto"/>
                      <w:spacing w:val="0"/>
                      <w:sz w:val="21"/>
                      <w:highlight w:val="none"/>
                    </w:rPr>
                    <w:t>符合</w:t>
                  </w:r>
                </w:p>
              </w:tc>
            </w:tr>
            <w:tr w14:paraId="60E6D7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61" w:type="dxa"/>
                  <w:vMerge w:val="continue"/>
                  <w:noWrap w:val="0"/>
                  <w:tcMar>
                    <w:top w:w="0" w:type="dxa"/>
                    <w:left w:w="0" w:type="dxa"/>
                    <w:bottom w:w="0" w:type="dxa"/>
                    <w:right w:w="0" w:type="dxa"/>
                  </w:tcMar>
                  <w:vAlign w:val="center"/>
                </w:tcPr>
                <w:p w14:paraId="778F0966">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594" w:type="dxa"/>
                  <w:vMerge w:val="restart"/>
                  <w:noWrap w:val="0"/>
                  <w:tcMar>
                    <w:top w:w="0" w:type="dxa"/>
                    <w:left w:w="0" w:type="dxa"/>
                    <w:bottom w:w="0" w:type="dxa"/>
                    <w:right w:w="0" w:type="dxa"/>
                  </w:tcMar>
                  <w:vAlign w:val="center"/>
                </w:tcPr>
                <w:p w14:paraId="0C3064BE">
                  <w:pPr>
                    <w:pStyle w:val="51"/>
                    <w:keepNext w:val="0"/>
                    <w:keepLines w:val="0"/>
                    <w:pageBreakBefore w:val="0"/>
                    <w:tabs>
                      <w:tab w:val="left" w:pos="540"/>
                      <w:tab w:val="left" w:pos="1080"/>
                      <w:tab w:val="left" w:pos="1800"/>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环境风险防控</w:t>
                  </w:r>
                </w:p>
              </w:tc>
              <w:tc>
                <w:tcPr>
                  <w:tcW w:w="3663" w:type="dxa"/>
                  <w:noWrap w:val="0"/>
                  <w:tcMar>
                    <w:top w:w="0" w:type="dxa"/>
                    <w:left w:w="0" w:type="dxa"/>
                    <w:bottom w:w="0" w:type="dxa"/>
                    <w:right w:w="0" w:type="dxa"/>
                  </w:tcMar>
                  <w:vAlign w:val="center"/>
                </w:tcPr>
                <w:p w14:paraId="12FD176A">
                  <w:pPr>
                    <w:pStyle w:val="51"/>
                    <w:keepNext w:val="0"/>
                    <w:keepLines w:val="0"/>
                    <w:pageBreakBefore w:val="0"/>
                    <w:tabs>
                      <w:tab w:val="left" w:pos="540"/>
                      <w:tab w:val="left" w:pos="1080"/>
                      <w:tab w:val="left" w:pos="1800"/>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第九条 执行重点管控单元市级总体要求第十六条。</w:t>
                  </w:r>
                </w:p>
              </w:tc>
              <w:tc>
                <w:tcPr>
                  <w:tcW w:w="1595" w:type="dxa"/>
                  <w:noWrap w:val="0"/>
                  <w:tcMar>
                    <w:top w:w="0" w:type="dxa"/>
                    <w:left w:w="0" w:type="dxa"/>
                    <w:bottom w:w="0" w:type="dxa"/>
                    <w:right w:w="0" w:type="dxa"/>
                  </w:tcMar>
                  <w:vAlign w:val="center"/>
                </w:tcPr>
                <w:p w14:paraId="5013FFC6">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lang w:val="en-US" w:eastAsia="zh-CN"/>
                    </w:rPr>
                  </w:pPr>
                  <w:r>
                    <w:rPr>
                      <w:rFonts w:hint="eastAsia" w:ascii="Times New Roman" w:hAnsi="Times New Roman" w:eastAsia="宋体" w:cs="Times New Roman"/>
                      <w:color w:val="auto"/>
                      <w:spacing w:val="0"/>
                      <w:sz w:val="21"/>
                      <w:highlight w:val="none"/>
                      <w:lang w:val="en-US" w:eastAsia="zh-CN"/>
                    </w:rPr>
                    <w:t>本项目满足</w:t>
                  </w:r>
                  <w:r>
                    <w:rPr>
                      <w:rFonts w:hint="default" w:ascii="Times New Roman" w:hAnsi="Times New Roman" w:eastAsia="宋体" w:cs="Times New Roman"/>
                      <w:color w:val="auto"/>
                      <w:spacing w:val="0"/>
                      <w:sz w:val="21"/>
                      <w:szCs w:val="21"/>
                      <w:highlight w:val="none"/>
                    </w:rPr>
                    <w:t>重点管控单元市级总体要求第十六条。</w:t>
                  </w:r>
                </w:p>
              </w:tc>
              <w:tc>
                <w:tcPr>
                  <w:tcW w:w="414" w:type="dxa"/>
                  <w:noWrap w:val="0"/>
                  <w:tcMar>
                    <w:top w:w="0" w:type="dxa"/>
                    <w:left w:w="0" w:type="dxa"/>
                    <w:bottom w:w="0" w:type="dxa"/>
                    <w:right w:w="0" w:type="dxa"/>
                  </w:tcMar>
                  <w:vAlign w:val="center"/>
                </w:tcPr>
                <w:p w14:paraId="376D6D80">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default" w:ascii="Times New Roman" w:hAnsi="Times New Roman" w:eastAsia="宋体" w:cs="Times New Roman"/>
                      <w:color w:val="auto"/>
                      <w:spacing w:val="0"/>
                      <w:sz w:val="21"/>
                      <w:highlight w:val="none"/>
                    </w:rPr>
                    <w:t>符合</w:t>
                  </w:r>
                </w:p>
              </w:tc>
            </w:tr>
            <w:tr w14:paraId="0ADF65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61" w:type="dxa"/>
                  <w:vMerge w:val="continue"/>
                  <w:noWrap w:val="0"/>
                  <w:tcMar>
                    <w:top w:w="0" w:type="dxa"/>
                    <w:left w:w="0" w:type="dxa"/>
                    <w:bottom w:w="0" w:type="dxa"/>
                    <w:right w:w="0" w:type="dxa"/>
                  </w:tcMar>
                  <w:vAlign w:val="center"/>
                </w:tcPr>
                <w:p w14:paraId="59A692FB">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594" w:type="dxa"/>
                  <w:vMerge w:val="continue"/>
                  <w:noWrap w:val="0"/>
                  <w:tcMar>
                    <w:top w:w="0" w:type="dxa"/>
                    <w:left w:w="0" w:type="dxa"/>
                    <w:bottom w:w="0" w:type="dxa"/>
                    <w:right w:w="0" w:type="dxa"/>
                  </w:tcMar>
                  <w:vAlign w:val="center"/>
                </w:tcPr>
                <w:p w14:paraId="4334F678">
                  <w:pPr>
                    <w:pStyle w:val="51"/>
                    <w:keepNext w:val="0"/>
                    <w:keepLines w:val="0"/>
                    <w:pageBreakBefore w:val="0"/>
                    <w:tabs>
                      <w:tab w:val="left" w:pos="540"/>
                      <w:tab w:val="left" w:pos="1080"/>
                      <w:tab w:val="left" w:pos="1800"/>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sz w:val="21"/>
                      <w:szCs w:val="21"/>
                      <w:highlight w:val="none"/>
                    </w:rPr>
                  </w:pPr>
                </w:p>
              </w:tc>
              <w:tc>
                <w:tcPr>
                  <w:tcW w:w="3663" w:type="dxa"/>
                  <w:noWrap w:val="0"/>
                  <w:tcMar>
                    <w:top w:w="0" w:type="dxa"/>
                    <w:left w:w="0" w:type="dxa"/>
                    <w:bottom w:w="0" w:type="dxa"/>
                    <w:right w:w="0" w:type="dxa"/>
                  </w:tcMar>
                  <w:vAlign w:val="center"/>
                </w:tcPr>
                <w:p w14:paraId="14B44B64">
                  <w:pPr>
                    <w:pStyle w:val="51"/>
                    <w:keepNext w:val="0"/>
                    <w:keepLines w:val="0"/>
                    <w:pageBreakBefore w:val="0"/>
                    <w:tabs>
                      <w:tab w:val="left" w:pos="540"/>
                      <w:tab w:val="left" w:pos="1080"/>
                      <w:tab w:val="left" w:pos="1800"/>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第十条 以保障饮用水源安全为目标，完善区域环境风险措施。加强长江沿江1km范围内化工企业及危化品仓库环境风险监管，进一步完善西彭工业园区铜罐驿组团流域级环境风险防范措施；西彭工业园区应与下游饮用水水源取水口运营单位建立水源地突发环境事件应急联动机制。</w:t>
                  </w:r>
                </w:p>
              </w:tc>
              <w:tc>
                <w:tcPr>
                  <w:tcW w:w="1595" w:type="dxa"/>
                  <w:noWrap w:val="0"/>
                  <w:tcMar>
                    <w:top w:w="0" w:type="dxa"/>
                    <w:left w:w="0" w:type="dxa"/>
                    <w:bottom w:w="0" w:type="dxa"/>
                    <w:right w:w="0" w:type="dxa"/>
                  </w:tcMar>
                  <w:vAlign w:val="center"/>
                </w:tcPr>
                <w:p w14:paraId="4FCB9535">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eastAsia" w:ascii="Times New Roman" w:hAnsi="Times New Roman" w:eastAsia="宋体" w:cs="Times New Roman"/>
                      <w:color w:val="auto"/>
                      <w:spacing w:val="0"/>
                      <w:sz w:val="21"/>
                      <w:highlight w:val="none"/>
                      <w:lang w:val="en-US" w:eastAsia="zh-CN"/>
                    </w:rPr>
                  </w:pPr>
                  <w:r>
                    <w:rPr>
                      <w:rFonts w:hint="eastAsia" w:ascii="Times New Roman" w:hAnsi="Times New Roman" w:eastAsia="宋体" w:cs="Times New Roman"/>
                      <w:color w:val="auto"/>
                      <w:spacing w:val="0"/>
                      <w:sz w:val="21"/>
                      <w:highlight w:val="none"/>
                      <w:lang w:val="en-US" w:eastAsia="zh-CN"/>
                    </w:rPr>
                    <w:t>本项目为动物医院扩建项目，</w:t>
                  </w:r>
                  <w:r>
                    <w:rPr>
                      <w:rFonts w:hint="default" w:ascii="Times New Roman" w:hAnsi="Times New Roman" w:eastAsia="宋体" w:cs="Times New Roman"/>
                      <w:color w:val="auto"/>
                      <w:spacing w:val="0"/>
                      <w:sz w:val="21"/>
                      <w:szCs w:val="21"/>
                      <w:highlight w:val="none"/>
                    </w:rPr>
                    <w:t>环境风险</w:t>
                  </w:r>
                  <w:r>
                    <w:rPr>
                      <w:rFonts w:hint="eastAsia" w:ascii="Times New Roman" w:hAnsi="Times New Roman" w:eastAsia="宋体" w:cs="Times New Roman"/>
                      <w:color w:val="auto"/>
                      <w:spacing w:val="0"/>
                      <w:sz w:val="21"/>
                      <w:szCs w:val="21"/>
                      <w:highlight w:val="none"/>
                      <w:lang w:val="en-US" w:eastAsia="zh-CN"/>
                    </w:rPr>
                    <w:t>较小，不属于</w:t>
                  </w:r>
                  <w:r>
                    <w:rPr>
                      <w:rFonts w:hint="default" w:ascii="Times New Roman" w:hAnsi="Times New Roman" w:eastAsia="宋体" w:cs="Times New Roman"/>
                      <w:color w:val="auto"/>
                      <w:spacing w:val="0"/>
                      <w:sz w:val="21"/>
                      <w:szCs w:val="21"/>
                      <w:highlight w:val="none"/>
                    </w:rPr>
                    <w:t>化工企业及危化品仓库</w:t>
                  </w:r>
                  <w:r>
                    <w:rPr>
                      <w:rFonts w:hint="eastAsia" w:ascii="Times New Roman" w:hAnsi="Times New Roman" w:eastAsia="宋体" w:cs="Times New Roman"/>
                      <w:color w:val="auto"/>
                      <w:spacing w:val="0"/>
                      <w:sz w:val="21"/>
                      <w:szCs w:val="21"/>
                      <w:highlight w:val="none"/>
                      <w:lang w:eastAsia="zh-CN"/>
                    </w:rPr>
                    <w:t>，</w:t>
                  </w:r>
                  <w:r>
                    <w:rPr>
                      <w:rFonts w:hint="eastAsia" w:ascii="Times New Roman" w:hAnsi="Times New Roman" w:eastAsia="宋体" w:cs="Times New Roman"/>
                      <w:color w:val="auto"/>
                      <w:spacing w:val="0"/>
                      <w:sz w:val="21"/>
                      <w:szCs w:val="21"/>
                      <w:highlight w:val="none"/>
                      <w:lang w:val="en-US" w:eastAsia="zh-CN"/>
                    </w:rPr>
                    <w:t>不属于</w:t>
                  </w:r>
                  <w:r>
                    <w:rPr>
                      <w:rFonts w:hint="default" w:ascii="Times New Roman" w:hAnsi="Times New Roman" w:eastAsia="宋体" w:cs="Times New Roman"/>
                      <w:color w:val="auto"/>
                      <w:spacing w:val="0"/>
                      <w:sz w:val="21"/>
                      <w:szCs w:val="21"/>
                      <w:highlight w:val="none"/>
                    </w:rPr>
                    <w:t>西彭工业园区</w:t>
                  </w:r>
                  <w:r>
                    <w:rPr>
                      <w:rFonts w:hint="eastAsia" w:ascii="Times New Roman" w:hAnsi="Times New Roman" w:eastAsia="宋体" w:cs="Times New Roman"/>
                      <w:color w:val="auto"/>
                      <w:spacing w:val="0"/>
                      <w:sz w:val="21"/>
                      <w:highlight w:val="none"/>
                      <w:lang w:val="en-US" w:eastAsia="zh-CN"/>
                    </w:rPr>
                    <w:t>。</w:t>
                  </w:r>
                </w:p>
              </w:tc>
              <w:tc>
                <w:tcPr>
                  <w:tcW w:w="414" w:type="dxa"/>
                  <w:noWrap w:val="0"/>
                  <w:tcMar>
                    <w:top w:w="0" w:type="dxa"/>
                    <w:left w:w="0" w:type="dxa"/>
                    <w:bottom w:w="0" w:type="dxa"/>
                    <w:right w:w="0" w:type="dxa"/>
                  </w:tcMar>
                  <w:vAlign w:val="center"/>
                </w:tcPr>
                <w:p w14:paraId="09410112">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default" w:ascii="Times New Roman" w:hAnsi="Times New Roman" w:eastAsia="宋体" w:cs="Times New Roman"/>
                      <w:color w:val="auto"/>
                      <w:spacing w:val="0"/>
                      <w:sz w:val="21"/>
                      <w:highlight w:val="none"/>
                    </w:rPr>
                    <w:t>符合</w:t>
                  </w:r>
                </w:p>
              </w:tc>
            </w:tr>
            <w:tr w14:paraId="4FE5E0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61" w:type="dxa"/>
                  <w:vMerge w:val="continue"/>
                  <w:noWrap w:val="0"/>
                  <w:tcMar>
                    <w:top w:w="0" w:type="dxa"/>
                    <w:left w:w="0" w:type="dxa"/>
                    <w:bottom w:w="0" w:type="dxa"/>
                    <w:right w:w="0" w:type="dxa"/>
                  </w:tcMar>
                  <w:vAlign w:val="center"/>
                </w:tcPr>
                <w:p w14:paraId="1A235F57">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594" w:type="dxa"/>
                  <w:vMerge w:val="continue"/>
                  <w:noWrap w:val="0"/>
                  <w:tcMar>
                    <w:top w:w="0" w:type="dxa"/>
                    <w:left w:w="0" w:type="dxa"/>
                    <w:bottom w:w="0" w:type="dxa"/>
                    <w:right w:w="0" w:type="dxa"/>
                  </w:tcMar>
                  <w:vAlign w:val="center"/>
                </w:tcPr>
                <w:p w14:paraId="00878B56">
                  <w:pPr>
                    <w:pStyle w:val="51"/>
                    <w:keepNext w:val="0"/>
                    <w:keepLines w:val="0"/>
                    <w:pageBreakBefore w:val="0"/>
                    <w:tabs>
                      <w:tab w:val="left" w:pos="540"/>
                      <w:tab w:val="left" w:pos="1080"/>
                      <w:tab w:val="left" w:pos="1800"/>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sz w:val="21"/>
                      <w:szCs w:val="21"/>
                      <w:highlight w:val="none"/>
                    </w:rPr>
                  </w:pPr>
                </w:p>
              </w:tc>
              <w:tc>
                <w:tcPr>
                  <w:tcW w:w="3663" w:type="dxa"/>
                  <w:noWrap w:val="0"/>
                  <w:tcMar>
                    <w:top w:w="0" w:type="dxa"/>
                    <w:left w:w="0" w:type="dxa"/>
                    <w:bottom w:w="0" w:type="dxa"/>
                    <w:right w:w="0" w:type="dxa"/>
                  </w:tcMar>
                  <w:vAlign w:val="center"/>
                </w:tcPr>
                <w:p w14:paraId="34C6830D">
                  <w:pPr>
                    <w:pStyle w:val="51"/>
                    <w:keepNext w:val="0"/>
                    <w:keepLines w:val="0"/>
                    <w:pageBreakBefore w:val="0"/>
                    <w:tabs>
                      <w:tab w:val="left" w:pos="540"/>
                      <w:tab w:val="left" w:pos="1080"/>
                      <w:tab w:val="left" w:pos="1800"/>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第十一条 以保障“一住两公”重点建设用地安全为目标，持续推进污染土壤治理，守牢土地安全利用底线。根据土壤污染状况合理确定土地用途，推进工业企业腾退地块土壤污染状况调查评估及治理修复。未依法完成土壤污染状况调查和风险评估的地块，不得开工建设与风险管控和修复无关的项目。</w:t>
                  </w:r>
                </w:p>
              </w:tc>
              <w:tc>
                <w:tcPr>
                  <w:tcW w:w="1595" w:type="dxa"/>
                  <w:noWrap w:val="0"/>
                  <w:tcMar>
                    <w:top w:w="0" w:type="dxa"/>
                    <w:left w:w="0" w:type="dxa"/>
                    <w:bottom w:w="0" w:type="dxa"/>
                    <w:right w:w="0" w:type="dxa"/>
                  </w:tcMar>
                  <w:vAlign w:val="center"/>
                </w:tcPr>
                <w:p w14:paraId="63B080DA">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eastAsia" w:ascii="Times New Roman" w:hAnsi="Times New Roman" w:eastAsia="宋体" w:cs="Times New Roman"/>
                      <w:color w:val="auto"/>
                      <w:spacing w:val="0"/>
                      <w:sz w:val="21"/>
                      <w:highlight w:val="none"/>
                      <w:lang w:val="en-US" w:eastAsia="zh-CN"/>
                    </w:rPr>
                    <w:t>本项目为动物医院扩建项目，不涉及土壤污染和防治。</w:t>
                  </w:r>
                </w:p>
              </w:tc>
              <w:tc>
                <w:tcPr>
                  <w:tcW w:w="414" w:type="dxa"/>
                  <w:noWrap w:val="0"/>
                  <w:tcMar>
                    <w:top w:w="0" w:type="dxa"/>
                    <w:left w:w="0" w:type="dxa"/>
                    <w:bottom w:w="0" w:type="dxa"/>
                    <w:right w:w="0" w:type="dxa"/>
                  </w:tcMar>
                  <w:vAlign w:val="center"/>
                </w:tcPr>
                <w:p w14:paraId="3DA43F4A">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default" w:ascii="Times New Roman" w:hAnsi="Times New Roman" w:eastAsia="宋体" w:cs="Times New Roman"/>
                      <w:color w:val="auto"/>
                      <w:spacing w:val="0"/>
                      <w:sz w:val="21"/>
                      <w:highlight w:val="none"/>
                    </w:rPr>
                    <w:t>符合</w:t>
                  </w:r>
                </w:p>
              </w:tc>
            </w:tr>
            <w:tr w14:paraId="1D1A2F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61" w:type="dxa"/>
                  <w:vMerge w:val="continue"/>
                  <w:noWrap w:val="0"/>
                  <w:tcMar>
                    <w:top w:w="0" w:type="dxa"/>
                    <w:left w:w="0" w:type="dxa"/>
                    <w:bottom w:w="0" w:type="dxa"/>
                    <w:right w:w="0" w:type="dxa"/>
                  </w:tcMar>
                  <w:vAlign w:val="center"/>
                </w:tcPr>
                <w:p w14:paraId="6A748042">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594" w:type="dxa"/>
                  <w:vMerge w:val="restart"/>
                  <w:noWrap w:val="0"/>
                  <w:tcMar>
                    <w:top w:w="0" w:type="dxa"/>
                    <w:left w:w="0" w:type="dxa"/>
                    <w:bottom w:w="0" w:type="dxa"/>
                    <w:right w:w="0" w:type="dxa"/>
                  </w:tcMar>
                  <w:vAlign w:val="center"/>
                </w:tcPr>
                <w:p w14:paraId="6DC6381D">
                  <w:pPr>
                    <w:pStyle w:val="51"/>
                    <w:keepNext w:val="0"/>
                    <w:keepLines w:val="0"/>
                    <w:pageBreakBefore w:val="0"/>
                    <w:tabs>
                      <w:tab w:val="left" w:pos="540"/>
                      <w:tab w:val="left" w:pos="1080"/>
                      <w:tab w:val="left" w:pos="1800"/>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资源利用效率</w:t>
                  </w:r>
                </w:p>
              </w:tc>
              <w:tc>
                <w:tcPr>
                  <w:tcW w:w="3663" w:type="dxa"/>
                  <w:noWrap w:val="0"/>
                  <w:tcMar>
                    <w:top w:w="0" w:type="dxa"/>
                    <w:left w:w="0" w:type="dxa"/>
                    <w:bottom w:w="0" w:type="dxa"/>
                    <w:right w:w="0" w:type="dxa"/>
                  </w:tcMar>
                  <w:vAlign w:val="center"/>
                </w:tcPr>
                <w:p w14:paraId="3F916CAB">
                  <w:pPr>
                    <w:pStyle w:val="51"/>
                    <w:keepNext w:val="0"/>
                    <w:keepLines w:val="0"/>
                    <w:pageBreakBefore w:val="0"/>
                    <w:tabs>
                      <w:tab w:val="left" w:pos="540"/>
                      <w:tab w:val="left" w:pos="1080"/>
                      <w:tab w:val="left" w:pos="1800"/>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第十二条 执行重点管控单元市级总体要求第十八条、第十九条、第二十条、第二十一条。</w:t>
                  </w:r>
                </w:p>
              </w:tc>
              <w:tc>
                <w:tcPr>
                  <w:tcW w:w="1595" w:type="dxa"/>
                  <w:noWrap w:val="0"/>
                  <w:tcMar>
                    <w:top w:w="0" w:type="dxa"/>
                    <w:left w:w="0" w:type="dxa"/>
                    <w:bottom w:w="0" w:type="dxa"/>
                    <w:right w:w="0" w:type="dxa"/>
                  </w:tcMar>
                  <w:vAlign w:val="center"/>
                </w:tcPr>
                <w:p w14:paraId="0B4AAD57">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lang w:val="en-US" w:eastAsia="zh-CN"/>
                    </w:rPr>
                  </w:pPr>
                  <w:r>
                    <w:rPr>
                      <w:rFonts w:hint="eastAsia" w:ascii="Times New Roman" w:hAnsi="Times New Roman" w:eastAsia="宋体" w:cs="Times New Roman"/>
                      <w:color w:val="auto"/>
                      <w:spacing w:val="0"/>
                      <w:sz w:val="21"/>
                      <w:highlight w:val="none"/>
                      <w:lang w:val="en-US" w:eastAsia="zh-CN"/>
                    </w:rPr>
                    <w:t>本项目满足</w:t>
                  </w:r>
                  <w:r>
                    <w:rPr>
                      <w:rFonts w:hint="default" w:ascii="Times New Roman" w:hAnsi="Times New Roman" w:eastAsia="宋体" w:cs="Times New Roman"/>
                      <w:color w:val="auto"/>
                      <w:spacing w:val="0"/>
                      <w:sz w:val="21"/>
                      <w:szCs w:val="21"/>
                      <w:highlight w:val="none"/>
                    </w:rPr>
                    <w:t>重点管控单元市级总体要求第十八条、第十九条、第二十条、第二十一条。</w:t>
                  </w:r>
                </w:p>
              </w:tc>
              <w:tc>
                <w:tcPr>
                  <w:tcW w:w="414" w:type="dxa"/>
                  <w:noWrap w:val="0"/>
                  <w:tcMar>
                    <w:top w:w="0" w:type="dxa"/>
                    <w:left w:w="0" w:type="dxa"/>
                    <w:bottom w:w="0" w:type="dxa"/>
                    <w:right w:w="0" w:type="dxa"/>
                  </w:tcMar>
                  <w:vAlign w:val="center"/>
                </w:tcPr>
                <w:p w14:paraId="60FDF530">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default" w:ascii="Times New Roman" w:hAnsi="Times New Roman" w:eastAsia="宋体" w:cs="Times New Roman"/>
                      <w:color w:val="auto"/>
                      <w:spacing w:val="0"/>
                      <w:sz w:val="21"/>
                      <w:highlight w:val="none"/>
                    </w:rPr>
                    <w:t>符合</w:t>
                  </w:r>
                </w:p>
              </w:tc>
            </w:tr>
            <w:tr w14:paraId="78D773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61" w:type="dxa"/>
                  <w:vMerge w:val="continue"/>
                  <w:noWrap w:val="0"/>
                  <w:tcMar>
                    <w:top w:w="0" w:type="dxa"/>
                    <w:left w:w="0" w:type="dxa"/>
                    <w:bottom w:w="0" w:type="dxa"/>
                    <w:right w:w="0" w:type="dxa"/>
                  </w:tcMar>
                  <w:vAlign w:val="center"/>
                </w:tcPr>
                <w:p w14:paraId="0EB427FE">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594" w:type="dxa"/>
                  <w:vMerge w:val="continue"/>
                  <w:noWrap w:val="0"/>
                  <w:tcMar>
                    <w:top w:w="0" w:type="dxa"/>
                    <w:left w:w="0" w:type="dxa"/>
                    <w:bottom w:w="0" w:type="dxa"/>
                    <w:right w:w="0" w:type="dxa"/>
                  </w:tcMar>
                  <w:vAlign w:val="center"/>
                </w:tcPr>
                <w:p w14:paraId="7F03FB58">
                  <w:pPr>
                    <w:pStyle w:val="51"/>
                    <w:keepNext w:val="0"/>
                    <w:keepLines w:val="0"/>
                    <w:pageBreakBefore w:val="0"/>
                    <w:tabs>
                      <w:tab w:val="left" w:pos="540"/>
                      <w:tab w:val="left" w:pos="1080"/>
                      <w:tab w:val="left" w:pos="1800"/>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sz w:val="21"/>
                      <w:szCs w:val="21"/>
                      <w:highlight w:val="none"/>
                    </w:rPr>
                  </w:pPr>
                </w:p>
              </w:tc>
              <w:tc>
                <w:tcPr>
                  <w:tcW w:w="3663" w:type="dxa"/>
                  <w:noWrap w:val="0"/>
                  <w:tcMar>
                    <w:top w:w="0" w:type="dxa"/>
                    <w:left w:w="0" w:type="dxa"/>
                    <w:bottom w:w="0" w:type="dxa"/>
                    <w:right w:w="0" w:type="dxa"/>
                  </w:tcMar>
                  <w:vAlign w:val="center"/>
                </w:tcPr>
                <w:p w14:paraId="071D0651">
                  <w:pPr>
                    <w:pStyle w:val="51"/>
                    <w:keepNext w:val="0"/>
                    <w:keepLines w:val="0"/>
                    <w:pageBreakBefore w:val="0"/>
                    <w:tabs>
                      <w:tab w:val="left" w:pos="540"/>
                      <w:tab w:val="left" w:pos="1080"/>
                      <w:tab w:val="left" w:pos="1800"/>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第十三条 以促进产业绿色低碳循环发展为导向，推动减污降碳协同共治。结合西彭工业园区近零碳园区建设，深化有色金属冶炼及压延加工业、化学原料及化学制品制造业和汽车制造业等行业减污降碳。</w:t>
                  </w:r>
                </w:p>
              </w:tc>
              <w:tc>
                <w:tcPr>
                  <w:tcW w:w="1595" w:type="dxa"/>
                  <w:noWrap w:val="0"/>
                  <w:tcMar>
                    <w:top w:w="0" w:type="dxa"/>
                    <w:left w:w="0" w:type="dxa"/>
                    <w:bottom w:w="0" w:type="dxa"/>
                    <w:right w:w="0" w:type="dxa"/>
                  </w:tcMar>
                  <w:vAlign w:val="center"/>
                </w:tcPr>
                <w:p w14:paraId="4D60FE87">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eastAsia" w:ascii="Times New Roman" w:hAnsi="Times New Roman" w:eastAsia="宋体" w:cs="Times New Roman"/>
                      <w:color w:val="auto"/>
                      <w:spacing w:val="0"/>
                      <w:sz w:val="21"/>
                      <w:highlight w:val="none"/>
                      <w:lang w:val="en-US" w:eastAsia="zh-CN"/>
                    </w:rPr>
                    <w:t>本项目为动物医院，不涉及碳排放。</w:t>
                  </w:r>
                </w:p>
              </w:tc>
              <w:tc>
                <w:tcPr>
                  <w:tcW w:w="414" w:type="dxa"/>
                  <w:noWrap w:val="0"/>
                  <w:tcMar>
                    <w:top w:w="0" w:type="dxa"/>
                    <w:left w:w="0" w:type="dxa"/>
                    <w:bottom w:w="0" w:type="dxa"/>
                    <w:right w:w="0" w:type="dxa"/>
                  </w:tcMar>
                  <w:vAlign w:val="center"/>
                </w:tcPr>
                <w:p w14:paraId="1DD98209">
                  <w:pPr>
                    <w:pStyle w:val="51"/>
                    <w:keepNext w:val="0"/>
                    <w:keepLines w:val="0"/>
                    <w:pageBreakBefore w:val="0"/>
                    <w:tabs>
                      <w:tab w:val="left" w:pos="540"/>
                      <w:tab w:val="left" w:pos="1080"/>
                      <w:tab w:val="left" w:pos="1800"/>
                    </w:tabs>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 w:val="21"/>
                      <w:highlight w:val="none"/>
                    </w:rPr>
                    <w:t>符合</w:t>
                  </w:r>
                </w:p>
              </w:tc>
            </w:tr>
            <w:tr w14:paraId="1D4E73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20" w:hRule="atLeast"/>
                <w:jc w:val="center"/>
              </w:trPr>
              <w:tc>
                <w:tcPr>
                  <w:tcW w:w="861" w:type="dxa"/>
                  <w:vMerge w:val="continue"/>
                  <w:noWrap w:val="0"/>
                  <w:tcMar>
                    <w:top w:w="0" w:type="dxa"/>
                    <w:left w:w="0" w:type="dxa"/>
                    <w:bottom w:w="0" w:type="dxa"/>
                    <w:right w:w="0" w:type="dxa"/>
                  </w:tcMar>
                  <w:vAlign w:val="center"/>
                </w:tcPr>
                <w:p w14:paraId="38B5AE6B">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594" w:type="dxa"/>
                  <w:vMerge w:val="continue"/>
                  <w:noWrap w:val="0"/>
                  <w:tcMar>
                    <w:top w:w="0" w:type="dxa"/>
                    <w:left w:w="0" w:type="dxa"/>
                    <w:bottom w:w="0" w:type="dxa"/>
                    <w:right w:w="0" w:type="dxa"/>
                  </w:tcMar>
                  <w:vAlign w:val="center"/>
                </w:tcPr>
                <w:p w14:paraId="47092B8A">
                  <w:pPr>
                    <w:pStyle w:val="51"/>
                    <w:keepNext w:val="0"/>
                    <w:keepLines w:val="0"/>
                    <w:pageBreakBefore w:val="0"/>
                    <w:tabs>
                      <w:tab w:val="left" w:pos="540"/>
                      <w:tab w:val="left" w:pos="1080"/>
                      <w:tab w:val="left" w:pos="1800"/>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sz w:val="21"/>
                      <w:szCs w:val="21"/>
                      <w:highlight w:val="none"/>
                    </w:rPr>
                  </w:pPr>
                </w:p>
              </w:tc>
              <w:tc>
                <w:tcPr>
                  <w:tcW w:w="3663" w:type="dxa"/>
                  <w:noWrap w:val="0"/>
                  <w:tcMar>
                    <w:top w:w="0" w:type="dxa"/>
                    <w:left w:w="0" w:type="dxa"/>
                    <w:bottom w:w="0" w:type="dxa"/>
                    <w:right w:w="0" w:type="dxa"/>
                  </w:tcMar>
                  <w:vAlign w:val="center"/>
                </w:tcPr>
                <w:p w14:paraId="32C6C408">
                  <w:pPr>
                    <w:pStyle w:val="51"/>
                    <w:keepNext w:val="0"/>
                    <w:keepLines w:val="0"/>
                    <w:pageBreakBefore w:val="0"/>
                    <w:tabs>
                      <w:tab w:val="left" w:pos="540"/>
                      <w:tab w:val="left" w:pos="1080"/>
                      <w:tab w:val="left" w:pos="1800"/>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第十四条 提升工业、城镇生活、农业节水能力，推进再生水循环利用，提高水资源利用效率。</w:t>
                  </w:r>
                </w:p>
                <w:p w14:paraId="086B5CA7">
                  <w:pPr>
                    <w:pStyle w:val="51"/>
                    <w:keepNext w:val="0"/>
                    <w:keepLines w:val="0"/>
                    <w:pageBreakBefore w:val="0"/>
                    <w:tabs>
                      <w:tab w:val="left" w:pos="540"/>
                      <w:tab w:val="left" w:pos="1080"/>
                      <w:tab w:val="left" w:pos="1800"/>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加强工业节水改造，限制高耗水行业发展，加强重点监控用水单位监管。加强城镇节水，开展公共建筑节水改造、城镇供水管网漏损治理工程。加强农业节水，推进九龙西城西彭镇5000亩农业节水设施建设。深入挖掘非常规水资源开发利用潜力，推进再生水、雨水等非常规水资源的开发利用。</w:t>
                  </w:r>
                </w:p>
              </w:tc>
              <w:tc>
                <w:tcPr>
                  <w:tcW w:w="1595" w:type="dxa"/>
                  <w:noWrap w:val="0"/>
                  <w:tcMar>
                    <w:top w:w="0" w:type="dxa"/>
                    <w:left w:w="0" w:type="dxa"/>
                    <w:bottom w:w="0" w:type="dxa"/>
                    <w:right w:w="0" w:type="dxa"/>
                  </w:tcMar>
                  <w:vAlign w:val="center"/>
                </w:tcPr>
                <w:p w14:paraId="1CFE81C6">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eastAsia" w:ascii="Times New Roman" w:hAnsi="Times New Roman" w:eastAsia="宋体" w:cs="Times New Roman"/>
                      <w:color w:val="auto"/>
                      <w:spacing w:val="0"/>
                      <w:sz w:val="21"/>
                      <w:highlight w:val="none"/>
                      <w:lang w:eastAsia="zh-CN"/>
                    </w:rPr>
                    <w:t>本项目为动物医院扩建项目</w:t>
                  </w:r>
                  <w:r>
                    <w:rPr>
                      <w:rFonts w:hint="default" w:ascii="Times New Roman" w:hAnsi="Times New Roman" w:eastAsia="宋体" w:cs="Times New Roman"/>
                      <w:color w:val="auto"/>
                      <w:spacing w:val="0"/>
                      <w:sz w:val="21"/>
                      <w:highlight w:val="none"/>
                    </w:rPr>
                    <w:t>，</w:t>
                  </w:r>
                  <w:r>
                    <w:rPr>
                      <w:rFonts w:hint="eastAsia" w:ascii="Times New Roman" w:hAnsi="Times New Roman" w:eastAsia="宋体" w:cs="Times New Roman"/>
                      <w:color w:val="auto"/>
                      <w:spacing w:val="0"/>
                      <w:sz w:val="21"/>
                      <w:highlight w:val="none"/>
                      <w:lang w:val="en-US" w:eastAsia="zh-CN"/>
                    </w:rPr>
                    <w:t>不属于工业项目，</w:t>
                  </w:r>
                  <w:r>
                    <w:rPr>
                      <w:rFonts w:hint="default" w:ascii="Times New Roman" w:hAnsi="Times New Roman" w:eastAsia="宋体" w:cs="Times New Roman"/>
                      <w:color w:val="auto"/>
                      <w:spacing w:val="0"/>
                      <w:sz w:val="21"/>
                      <w:highlight w:val="none"/>
                      <w:lang w:val="en-US" w:eastAsia="zh-CN"/>
                    </w:rPr>
                    <w:t>不涉及</w:t>
                  </w:r>
                  <w:r>
                    <w:rPr>
                      <w:rFonts w:hint="eastAsia" w:ascii="Times New Roman" w:hAnsi="Times New Roman" w:eastAsia="宋体" w:cs="Times New Roman"/>
                      <w:color w:val="auto"/>
                      <w:spacing w:val="0"/>
                      <w:sz w:val="21"/>
                      <w:highlight w:val="none"/>
                      <w:lang w:val="en-US" w:eastAsia="zh-CN"/>
                    </w:rPr>
                    <w:t>工业水循环利用，在满足运营的前提条件下优先选用节水设备。</w:t>
                  </w:r>
                </w:p>
              </w:tc>
              <w:tc>
                <w:tcPr>
                  <w:tcW w:w="414" w:type="dxa"/>
                  <w:noWrap w:val="0"/>
                  <w:tcMar>
                    <w:top w:w="0" w:type="dxa"/>
                    <w:left w:w="0" w:type="dxa"/>
                    <w:bottom w:w="0" w:type="dxa"/>
                    <w:right w:w="0" w:type="dxa"/>
                  </w:tcMar>
                  <w:vAlign w:val="center"/>
                </w:tcPr>
                <w:p w14:paraId="7198AAE0">
                  <w:pPr>
                    <w:pStyle w:val="51"/>
                    <w:keepNext w:val="0"/>
                    <w:keepLines w:val="0"/>
                    <w:pageBreakBefore w:val="0"/>
                    <w:tabs>
                      <w:tab w:val="left" w:pos="540"/>
                      <w:tab w:val="left" w:pos="1080"/>
                      <w:tab w:val="left" w:pos="1800"/>
                    </w:tabs>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 w:val="21"/>
                      <w:highlight w:val="none"/>
                    </w:rPr>
                    <w:t>符合</w:t>
                  </w:r>
                </w:p>
              </w:tc>
            </w:tr>
            <w:tr w14:paraId="025734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61" w:type="dxa"/>
                  <w:vMerge w:val="restart"/>
                  <w:noWrap w:val="0"/>
                  <w:tcMar>
                    <w:top w:w="0" w:type="dxa"/>
                    <w:left w:w="0" w:type="dxa"/>
                    <w:bottom w:w="0" w:type="dxa"/>
                    <w:right w:w="0" w:type="dxa"/>
                  </w:tcMar>
                  <w:vAlign w:val="center"/>
                </w:tcPr>
                <w:p w14:paraId="22EC2518">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default" w:ascii="Times New Roman" w:hAnsi="Times New Roman" w:eastAsia="宋体" w:cs="Times New Roman"/>
                      <w:color w:val="auto"/>
                      <w:spacing w:val="0"/>
                      <w:sz w:val="21"/>
                      <w:highlight w:val="none"/>
                    </w:rPr>
                    <w:t>单元管控要求</w:t>
                  </w:r>
                </w:p>
              </w:tc>
              <w:tc>
                <w:tcPr>
                  <w:tcW w:w="594" w:type="dxa"/>
                  <w:vMerge w:val="restart"/>
                  <w:noWrap w:val="0"/>
                  <w:tcMar>
                    <w:top w:w="0" w:type="dxa"/>
                    <w:left w:w="0" w:type="dxa"/>
                    <w:bottom w:w="0" w:type="dxa"/>
                    <w:right w:w="0" w:type="dxa"/>
                  </w:tcMar>
                  <w:vAlign w:val="center"/>
                </w:tcPr>
                <w:p w14:paraId="78A623CF">
                  <w:pPr>
                    <w:pStyle w:val="51"/>
                    <w:keepNext w:val="0"/>
                    <w:keepLines w:val="0"/>
                    <w:pageBreakBefore w:val="0"/>
                    <w:tabs>
                      <w:tab w:val="left" w:pos="540"/>
                      <w:tab w:val="left" w:pos="1080"/>
                      <w:tab w:val="left" w:pos="1800"/>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空间布局约束</w:t>
                  </w:r>
                </w:p>
              </w:tc>
              <w:tc>
                <w:tcPr>
                  <w:tcW w:w="3663" w:type="dxa"/>
                  <w:noWrap w:val="0"/>
                  <w:tcMar>
                    <w:top w:w="0" w:type="dxa"/>
                    <w:left w:w="0" w:type="dxa"/>
                    <w:bottom w:w="0" w:type="dxa"/>
                    <w:right w:w="0" w:type="dxa"/>
                  </w:tcMar>
                  <w:vAlign w:val="center"/>
                </w:tcPr>
                <w:p w14:paraId="54D64091">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kern w:val="0"/>
                      <w:sz w:val="21"/>
                      <w:szCs w:val="21"/>
                      <w:highlight w:val="none"/>
                      <w:lang w:val="en-US" w:eastAsia="zh-CN" w:bidi="ar"/>
                    </w:rPr>
                    <w:t>1.有序推动九龙工业园区“东三街”和九龙街道工业用地转型升级，重点发展制造服务业</w:t>
                  </w:r>
                  <w:r>
                    <w:rPr>
                      <w:rFonts w:hint="eastAsia" w:ascii="Times New Roman" w:hAnsi="Times New Roman" w:eastAsia="宋体" w:cs="Times New Roman"/>
                      <w:color w:val="auto"/>
                      <w:spacing w:val="0"/>
                      <w:kern w:val="0"/>
                      <w:sz w:val="21"/>
                      <w:szCs w:val="21"/>
                      <w:highlight w:val="none"/>
                      <w:lang w:val="en-US" w:eastAsia="zh-CN" w:bidi="ar"/>
                    </w:rPr>
                    <w:t>。</w:t>
                  </w:r>
                </w:p>
              </w:tc>
              <w:tc>
                <w:tcPr>
                  <w:tcW w:w="1595" w:type="dxa"/>
                  <w:vMerge w:val="restart"/>
                  <w:noWrap w:val="0"/>
                  <w:tcMar>
                    <w:top w:w="0" w:type="dxa"/>
                    <w:left w:w="0" w:type="dxa"/>
                    <w:bottom w:w="0" w:type="dxa"/>
                    <w:right w:w="0" w:type="dxa"/>
                  </w:tcMar>
                  <w:vAlign w:val="center"/>
                </w:tcPr>
                <w:p w14:paraId="62F8CAAD">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lang w:val="en-US" w:eastAsia="zh-CN"/>
                    </w:rPr>
                  </w:pPr>
                  <w:r>
                    <w:rPr>
                      <w:rFonts w:hint="eastAsia" w:ascii="Times New Roman" w:hAnsi="Times New Roman" w:eastAsia="宋体" w:cs="Times New Roman"/>
                      <w:color w:val="auto"/>
                      <w:spacing w:val="0"/>
                      <w:sz w:val="21"/>
                      <w:highlight w:val="none"/>
                      <w:lang w:eastAsia="zh-CN"/>
                    </w:rPr>
                    <w:t>本</w:t>
                  </w:r>
                  <w:r>
                    <w:rPr>
                      <w:rFonts w:hint="eastAsia" w:ascii="Times New Roman" w:hAnsi="Times New Roman" w:eastAsia="宋体" w:cs="Times New Roman"/>
                      <w:color w:val="auto"/>
                      <w:spacing w:val="0"/>
                      <w:sz w:val="21"/>
                      <w:highlight w:val="none"/>
                      <w:lang w:val="en-US" w:eastAsia="zh-CN"/>
                    </w:rPr>
                    <w:t>项目为动物医院</w:t>
                  </w:r>
                  <w:r>
                    <w:rPr>
                      <w:rFonts w:hint="eastAsia" w:ascii="Times New Roman" w:hAnsi="Times New Roman" w:eastAsia="宋体" w:cs="Times New Roman"/>
                      <w:color w:val="auto"/>
                      <w:spacing w:val="0"/>
                      <w:sz w:val="21"/>
                      <w:highlight w:val="none"/>
                      <w:lang w:eastAsia="zh-CN"/>
                    </w:rPr>
                    <w:t>扩建项目</w:t>
                  </w:r>
                  <w:r>
                    <w:rPr>
                      <w:rFonts w:hint="eastAsia" w:ascii="Times New Roman" w:hAnsi="Times New Roman" w:eastAsia="宋体" w:cs="Times New Roman"/>
                      <w:color w:val="auto"/>
                      <w:spacing w:val="0"/>
                      <w:sz w:val="21"/>
                      <w:highlight w:val="none"/>
                      <w:lang w:val="en-US" w:eastAsia="zh-CN"/>
                    </w:rPr>
                    <w:t>，位于重庆市九龙坡区二郎街道火炬大道100号附24号及附23-2号，不在</w:t>
                  </w:r>
                  <w:r>
                    <w:rPr>
                      <w:rFonts w:hint="default" w:ascii="Times New Roman" w:hAnsi="Times New Roman" w:eastAsia="宋体" w:cs="Times New Roman"/>
                      <w:color w:val="auto"/>
                      <w:spacing w:val="0"/>
                      <w:kern w:val="0"/>
                      <w:sz w:val="21"/>
                      <w:szCs w:val="21"/>
                      <w:highlight w:val="none"/>
                      <w:lang w:val="en-US" w:eastAsia="zh-CN" w:bidi="ar"/>
                    </w:rPr>
                    <w:t>九龙工业园区</w:t>
                  </w:r>
                  <w:r>
                    <w:rPr>
                      <w:rFonts w:hint="eastAsia" w:ascii="Times New Roman" w:hAnsi="Times New Roman" w:eastAsia="宋体" w:cs="Times New Roman"/>
                      <w:color w:val="auto"/>
                      <w:spacing w:val="0"/>
                      <w:kern w:val="0"/>
                      <w:sz w:val="21"/>
                      <w:szCs w:val="21"/>
                      <w:highlight w:val="none"/>
                      <w:lang w:val="en-US" w:eastAsia="zh-CN" w:bidi="ar"/>
                    </w:rPr>
                    <w:t>内</w:t>
                  </w:r>
                  <w:r>
                    <w:rPr>
                      <w:rFonts w:hint="eastAsia" w:ascii="Times New Roman" w:hAnsi="Times New Roman" w:eastAsia="宋体" w:cs="Times New Roman"/>
                      <w:color w:val="auto"/>
                      <w:spacing w:val="0"/>
                      <w:sz w:val="21"/>
                      <w:highlight w:val="none"/>
                      <w:lang w:val="en-US" w:eastAsia="zh-CN"/>
                    </w:rPr>
                    <w:t>。</w:t>
                  </w:r>
                </w:p>
              </w:tc>
              <w:tc>
                <w:tcPr>
                  <w:tcW w:w="414" w:type="dxa"/>
                  <w:noWrap w:val="0"/>
                  <w:tcMar>
                    <w:top w:w="0" w:type="dxa"/>
                    <w:left w:w="0" w:type="dxa"/>
                    <w:bottom w:w="0" w:type="dxa"/>
                    <w:right w:w="0" w:type="dxa"/>
                  </w:tcMar>
                  <w:vAlign w:val="center"/>
                </w:tcPr>
                <w:p w14:paraId="0B48EF6A">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default" w:ascii="Times New Roman" w:hAnsi="Times New Roman" w:eastAsia="宋体" w:cs="Times New Roman"/>
                      <w:color w:val="auto"/>
                      <w:spacing w:val="0"/>
                      <w:sz w:val="21"/>
                      <w:highlight w:val="none"/>
                    </w:rPr>
                    <w:t>符合</w:t>
                  </w:r>
                </w:p>
              </w:tc>
            </w:tr>
            <w:tr w14:paraId="006C17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61" w:type="dxa"/>
                  <w:vMerge w:val="continue"/>
                  <w:noWrap w:val="0"/>
                  <w:tcMar>
                    <w:top w:w="0" w:type="dxa"/>
                    <w:left w:w="0" w:type="dxa"/>
                    <w:bottom w:w="0" w:type="dxa"/>
                    <w:right w:w="0" w:type="dxa"/>
                  </w:tcMar>
                  <w:vAlign w:val="center"/>
                </w:tcPr>
                <w:p w14:paraId="4D9B1C9C">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594" w:type="dxa"/>
                  <w:vMerge w:val="continue"/>
                  <w:noWrap w:val="0"/>
                  <w:tcMar>
                    <w:top w:w="0" w:type="dxa"/>
                    <w:left w:w="0" w:type="dxa"/>
                    <w:bottom w:w="0" w:type="dxa"/>
                    <w:right w:w="0" w:type="dxa"/>
                  </w:tcMar>
                  <w:vAlign w:val="center"/>
                </w:tcPr>
                <w:p w14:paraId="2B748E51">
                  <w:pPr>
                    <w:pStyle w:val="51"/>
                    <w:keepNext w:val="0"/>
                    <w:keepLines w:val="0"/>
                    <w:pageBreakBefore w:val="0"/>
                    <w:tabs>
                      <w:tab w:val="left" w:pos="540"/>
                      <w:tab w:val="left" w:pos="1080"/>
                      <w:tab w:val="left" w:pos="1800"/>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sz w:val="21"/>
                      <w:szCs w:val="21"/>
                      <w:highlight w:val="none"/>
                    </w:rPr>
                  </w:pPr>
                </w:p>
              </w:tc>
              <w:tc>
                <w:tcPr>
                  <w:tcW w:w="3663" w:type="dxa"/>
                  <w:noWrap w:val="0"/>
                  <w:tcMar>
                    <w:top w:w="0" w:type="dxa"/>
                    <w:left w:w="0" w:type="dxa"/>
                    <w:bottom w:w="0" w:type="dxa"/>
                    <w:right w:w="0" w:type="dxa"/>
                  </w:tcMar>
                  <w:vAlign w:val="center"/>
                </w:tcPr>
                <w:p w14:paraId="2CB2C23B">
                  <w:pPr>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kern w:val="0"/>
                      <w:sz w:val="21"/>
                      <w:szCs w:val="21"/>
                      <w:highlight w:val="none"/>
                      <w:lang w:val="en-US" w:eastAsia="zh-CN" w:bidi="ar"/>
                    </w:rPr>
                    <w:t>2.九龙工业园区B区为智能制造工业区，未来周边规划布局为居住区，应优化工业区内部布局，将污染较大的企业远离居住区一侧布设。</w:t>
                  </w:r>
                </w:p>
              </w:tc>
              <w:tc>
                <w:tcPr>
                  <w:tcW w:w="1595" w:type="dxa"/>
                  <w:vMerge w:val="continue"/>
                  <w:noWrap w:val="0"/>
                  <w:tcMar>
                    <w:top w:w="0" w:type="dxa"/>
                    <w:left w:w="0" w:type="dxa"/>
                    <w:bottom w:w="0" w:type="dxa"/>
                    <w:right w:w="0" w:type="dxa"/>
                  </w:tcMar>
                  <w:vAlign w:val="center"/>
                </w:tcPr>
                <w:p w14:paraId="61A11128">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414" w:type="dxa"/>
                  <w:noWrap w:val="0"/>
                  <w:tcMar>
                    <w:top w:w="0" w:type="dxa"/>
                    <w:left w:w="0" w:type="dxa"/>
                    <w:bottom w:w="0" w:type="dxa"/>
                    <w:right w:w="0" w:type="dxa"/>
                  </w:tcMar>
                  <w:vAlign w:val="center"/>
                </w:tcPr>
                <w:p w14:paraId="124EF3C5">
                  <w:pPr>
                    <w:pStyle w:val="51"/>
                    <w:keepNext w:val="0"/>
                    <w:keepLines w:val="0"/>
                    <w:pageBreakBefore w:val="0"/>
                    <w:tabs>
                      <w:tab w:val="left" w:pos="540"/>
                      <w:tab w:val="left" w:pos="1080"/>
                      <w:tab w:val="left" w:pos="1800"/>
                    </w:tabs>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 w:val="21"/>
                      <w:highlight w:val="none"/>
                    </w:rPr>
                    <w:t>符合</w:t>
                  </w:r>
                </w:p>
              </w:tc>
            </w:tr>
            <w:tr w14:paraId="065850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61" w:type="dxa"/>
                  <w:vMerge w:val="continue"/>
                  <w:noWrap w:val="0"/>
                  <w:tcMar>
                    <w:top w:w="0" w:type="dxa"/>
                    <w:left w:w="0" w:type="dxa"/>
                    <w:bottom w:w="0" w:type="dxa"/>
                    <w:right w:w="0" w:type="dxa"/>
                  </w:tcMar>
                  <w:vAlign w:val="center"/>
                </w:tcPr>
                <w:p w14:paraId="1F2CDDB7">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594" w:type="dxa"/>
                  <w:vMerge w:val="restart"/>
                  <w:noWrap w:val="0"/>
                  <w:tcMar>
                    <w:top w:w="0" w:type="dxa"/>
                    <w:left w:w="0" w:type="dxa"/>
                    <w:bottom w:w="0" w:type="dxa"/>
                    <w:right w:w="0" w:type="dxa"/>
                  </w:tcMar>
                  <w:vAlign w:val="center"/>
                </w:tcPr>
                <w:p w14:paraId="29AC6961">
                  <w:pPr>
                    <w:pStyle w:val="51"/>
                    <w:keepNext w:val="0"/>
                    <w:keepLines w:val="0"/>
                    <w:pageBreakBefore w:val="0"/>
                    <w:tabs>
                      <w:tab w:val="left" w:pos="540"/>
                      <w:tab w:val="left" w:pos="1080"/>
                      <w:tab w:val="left" w:pos="1800"/>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污染物排放管控</w:t>
                  </w:r>
                </w:p>
              </w:tc>
              <w:tc>
                <w:tcPr>
                  <w:tcW w:w="3663" w:type="dxa"/>
                  <w:noWrap w:val="0"/>
                  <w:tcMar>
                    <w:top w:w="0" w:type="dxa"/>
                    <w:left w:w="0" w:type="dxa"/>
                    <w:bottom w:w="0" w:type="dxa"/>
                    <w:right w:w="0" w:type="dxa"/>
                  </w:tcMar>
                  <w:vAlign w:val="center"/>
                </w:tcPr>
                <w:p w14:paraId="1EBC247D">
                  <w:pPr>
                    <w:keepNext w:val="0"/>
                    <w:keepLines w:val="0"/>
                    <w:pageBreakBefore w:val="0"/>
                    <w:widowControl/>
                    <w:numPr>
                      <w:ilvl w:val="0"/>
                      <w:numId w:val="0"/>
                    </w:numPr>
                    <w:suppressLineNumbers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kern w:val="0"/>
                      <w:sz w:val="21"/>
                      <w:szCs w:val="21"/>
                      <w:highlight w:val="none"/>
                      <w:lang w:val="en-US" w:eastAsia="zh-CN" w:bidi="ar"/>
                    </w:rPr>
                    <w:t>1.九龙工业园区B区内新建、改建、扩建涉VOCs排放的项目，要加强源头控制，使用低（无）VOCs含量的原辅料，加强废气收集，安装高效治理设施；</w:t>
                  </w:r>
                </w:p>
              </w:tc>
              <w:tc>
                <w:tcPr>
                  <w:tcW w:w="1595" w:type="dxa"/>
                  <w:noWrap w:val="0"/>
                  <w:tcMar>
                    <w:top w:w="0" w:type="dxa"/>
                    <w:left w:w="0" w:type="dxa"/>
                    <w:bottom w:w="0" w:type="dxa"/>
                    <w:right w:w="0" w:type="dxa"/>
                  </w:tcMar>
                  <w:vAlign w:val="center"/>
                </w:tcPr>
                <w:p w14:paraId="7883A883">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eastAsia" w:ascii="Times New Roman" w:hAnsi="Times New Roman" w:eastAsia="宋体" w:cs="Times New Roman"/>
                      <w:color w:val="auto"/>
                      <w:spacing w:val="0"/>
                      <w:sz w:val="21"/>
                      <w:highlight w:val="none"/>
                      <w:lang w:eastAsia="zh-CN"/>
                    </w:rPr>
                    <w:t>本</w:t>
                  </w:r>
                  <w:r>
                    <w:rPr>
                      <w:rFonts w:hint="eastAsia" w:ascii="Times New Roman" w:hAnsi="Times New Roman" w:eastAsia="宋体" w:cs="Times New Roman"/>
                      <w:color w:val="auto"/>
                      <w:spacing w:val="0"/>
                      <w:sz w:val="21"/>
                      <w:highlight w:val="none"/>
                      <w:lang w:val="en-US" w:eastAsia="zh-CN"/>
                    </w:rPr>
                    <w:t>项目为动物医院</w:t>
                  </w:r>
                  <w:r>
                    <w:rPr>
                      <w:rFonts w:hint="eastAsia" w:ascii="Times New Roman" w:hAnsi="Times New Roman" w:eastAsia="宋体" w:cs="Times New Roman"/>
                      <w:color w:val="auto"/>
                      <w:spacing w:val="0"/>
                      <w:sz w:val="21"/>
                      <w:highlight w:val="none"/>
                      <w:lang w:eastAsia="zh-CN"/>
                    </w:rPr>
                    <w:t>扩建项目</w:t>
                  </w:r>
                  <w:r>
                    <w:rPr>
                      <w:rFonts w:hint="eastAsia" w:ascii="Times New Roman" w:hAnsi="Times New Roman" w:eastAsia="宋体" w:cs="Times New Roman"/>
                      <w:color w:val="auto"/>
                      <w:spacing w:val="0"/>
                      <w:sz w:val="21"/>
                      <w:highlight w:val="none"/>
                      <w:lang w:val="en-US" w:eastAsia="zh-CN"/>
                    </w:rPr>
                    <w:t>，不在</w:t>
                  </w:r>
                  <w:r>
                    <w:rPr>
                      <w:rFonts w:hint="default" w:ascii="Times New Roman" w:hAnsi="Times New Roman" w:eastAsia="宋体" w:cs="Times New Roman"/>
                      <w:color w:val="auto"/>
                      <w:spacing w:val="0"/>
                      <w:kern w:val="0"/>
                      <w:sz w:val="21"/>
                      <w:szCs w:val="21"/>
                      <w:highlight w:val="none"/>
                      <w:lang w:val="en-US" w:eastAsia="zh-CN" w:bidi="ar"/>
                    </w:rPr>
                    <w:t>九龙工业园区</w:t>
                  </w:r>
                  <w:r>
                    <w:rPr>
                      <w:rFonts w:hint="eastAsia" w:ascii="Times New Roman" w:hAnsi="Times New Roman" w:eastAsia="宋体" w:cs="Times New Roman"/>
                      <w:color w:val="auto"/>
                      <w:spacing w:val="0"/>
                      <w:kern w:val="0"/>
                      <w:sz w:val="21"/>
                      <w:szCs w:val="21"/>
                      <w:highlight w:val="none"/>
                      <w:lang w:val="en-US" w:eastAsia="zh-CN" w:bidi="ar"/>
                    </w:rPr>
                    <w:t>内，</w:t>
                  </w:r>
                  <w:r>
                    <w:rPr>
                      <w:rFonts w:hint="eastAsia" w:ascii="Times New Roman" w:hAnsi="Times New Roman" w:eastAsia="宋体" w:cs="Times New Roman"/>
                      <w:color w:val="auto"/>
                      <w:spacing w:val="0"/>
                      <w:sz w:val="21"/>
                      <w:highlight w:val="none"/>
                      <w:lang w:val="en-US" w:eastAsia="zh-CN"/>
                    </w:rPr>
                    <w:t>不涉及</w:t>
                  </w:r>
                  <w:r>
                    <w:rPr>
                      <w:rFonts w:hint="default" w:ascii="Times New Roman" w:hAnsi="Times New Roman" w:eastAsia="宋体" w:cs="Times New Roman"/>
                      <w:color w:val="auto"/>
                      <w:spacing w:val="0"/>
                      <w:kern w:val="0"/>
                      <w:sz w:val="21"/>
                      <w:szCs w:val="21"/>
                      <w:highlight w:val="none"/>
                      <w:lang w:val="en-US" w:eastAsia="zh-CN" w:bidi="ar"/>
                    </w:rPr>
                    <w:t>VOCs排放</w:t>
                  </w:r>
                  <w:r>
                    <w:rPr>
                      <w:rFonts w:hint="eastAsia" w:ascii="Times New Roman" w:hAnsi="Times New Roman" w:eastAsia="宋体" w:cs="Times New Roman"/>
                      <w:color w:val="auto"/>
                      <w:spacing w:val="0"/>
                      <w:sz w:val="21"/>
                      <w:highlight w:val="none"/>
                      <w:lang w:val="en-US" w:eastAsia="zh-CN"/>
                    </w:rPr>
                    <w:t>。</w:t>
                  </w:r>
                </w:p>
              </w:tc>
              <w:tc>
                <w:tcPr>
                  <w:tcW w:w="414" w:type="dxa"/>
                  <w:noWrap w:val="0"/>
                  <w:tcMar>
                    <w:top w:w="0" w:type="dxa"/>
                    <w:left w:w="0" w:type="dxa"/>
                    <w:bottom w:w="0" w:type="dxa"/>
                    <w:right w:w="0" w:type="dxa"/>
                  </w:tcMar>
                  <w:vAlign w:val="center"/>
                </w:tcPr>
                <w:p w14:paraId="309FB507">
                  <w:pPr>
                    <w:pStyle w:val="51"/>
                    <w:keepNext w:val="0"/>
                    <w:keepLines w:val="0"/>
                    <w:pageBreakBefore w:val="0"/>
                    <w:tabs>
                      <w:tab w:val="left" w:pos="540"/>
                      <w:tab w:val="left" w:pos="1080"/>
                      <w:tab w:val="left" w:pos="1800"/>
                    </w:tabs>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 w:val="21"/>
                      <w:highlight w:val="none"/>
                    </w:rPr>
                    <w:t>符合</w:t>
                  </w:r>
                </w:p>
              </w:tc>
            </w:tr>
            <w:tr w14:paraId="6707B9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61" w:type="dxa"/>
                  <w:vMerge w:val="continue"/>
                  <w:noWrap w:val="0"/>
                  <w:tcMar>
                    <w:top w:w="0" w:type="dxa"/>
                    <w:left w:w="0" w:type="dxa"/>
                    <w:bottom w:w="0" w:type="dxa"/>
                    <w:right w:w="0" w:type="dxa"/>
                  </w:tcMar>
                  <w:vAlign w:val="center"/>
                </w:tcPr>
                <w:p w14:paraId="11F59F49">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594" w:type="dxa"/>
                  <w:vMerge w:val="continue"/>
                  <w:noWrap w:val="0"/>
                  <w:tcMar>
                    <w:top w:w="0" w:type="dxa"/>
                    <w:left w:w="0" w:type="dxa"/>
                    <w:bottom w:w="0" w:type="dxa"/>
                    <w:right w:w="0" w:type="dxa"/>
                  </w:tcMar>
                  <w:vAlign w:val="center"/>
                </w:tcPr>
                <w:p w14:paraId="4836B312">
                  <w:pPr>
                    <w:pStyle w:val="51"/>
                    <w:keepNext w:val="0"/>
                    <w:keepLines w:val="0"/>
                    <w:pageBreakBefore w:val="0"/>
                    <w:tabs>
                      <w:tab w:val="left" w:pos="540"/>
                      <w:tab w:val="left" w:pos="1080"/>
                      <w:tab w:val="left" w:pos="1800"/>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sz w:val="21"/>
                      <w:szCs w:val="21"/>
                      <w:highlight w:val="none"/>
                    </w:rPr>
                  </w:pPr>
                </w:p>
              </w:tc>
              <w:tc>
                <w:tcPr>
                  <w:tcW w:w="3663" w:type="dxa"/>
                  <w:noWrap w:val="0"/>
                  <w:tcMar>
                    <w:top w:w="0" w:type="dxa"/>
                    <w:left w:w="0" w:type="dxa"/>
                    <w:bottom w:w="0" w:type="dxa"/>
                    <w:right w:w="0" w:type="dxa"/>
                  </w:tcMar>
                  <w:vAlign w:val="center"/>
                </w:tcPr>
                <w:p w14:paraId="3807E9C6">
                  <w:pPr>
                    <w:pStyle w:val="51"/>
                    <w:keepNext w:val="0"/>
                    <w:keepLines w:val="0"/>
                    <w:pageBreakBefore w:val="0"/>
                    <w:tabs>
                      <w:tab w:val="left" w:pos="540"/>
                      <w:tab w:val="left" w:pos="1080"/>
                      <w:tab w:val="left" w:pos="1800"/>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kern w:val="0"/>
                      <w:sz w:val="21"/>
                      <w:szCs w:val="21"/>
                      <w:highlight w:val="none"/>
                      <w:lang w:val="en-US" w:eastAsia="zh-CN" w:bidi="ar"/>
                    </w:rPr>
                    <w:t>2.有序推动九龙工业园区“东三街”和九龙街道范围内现状工业制造类企业开展搬迁工作，搬迁前企业应深化污染治理，在减污、风险可控的前提下可进行改造升级。</w:t>
                  </w:r>
                </w:p>
              </w:tc>
              <w:tc>
                <w:tcPr>
                  <w:tcW w:w="1595" w:type="dxa"/>
                  <w:noWrap w:val="0"/>
                  <w:tcMar>
                    <w:top w:w="0" w:type="dxa"/>
                    <w:left w:w="0" w:type="dxa"/>
                    <w:bottom w:w="0" w:type="dxa"/>
                    <w:right w:w="0" w:type="dxa"/>
                  </w:tcMar>
                  <w:vAlign w:val="center"/>
                </w:tcPr>
                <w:p w14:paraId="08AAF4EB">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eastAsia" w:ascii="Times New Roman" w:hAnsi="Times New Roman" w:eastAsia="宋体" w:cs="Times New Roman"/>
                      <w:color w:val="auto"/>
                      <w:spacing w:val="0"/>
                      <w:sz w:val="21"/>
                      <w:highlight w:val="none"/>
                      <w:lang w:eastAsia="zh-CN"/>
                    </w:rPr>
                    <w:t>本</w:t>
                  </w:r>
                  <w:r>
                    <w:rPr>
                      <w:rFonts w:hint="eastAsia" w:ascii="Times New Roman" w:hAnsi="Times New Roman" w:eastAsia="宋体" w:cs="Times New Roman"/>
                      <w:color w:val="auto"/>
                      <w:spacing w:val="0"/>
                      <w:sz w:val="21"/>
                      <w:highlight w:val="none"/>
                      <w:lang w:val="en-US" w:eastAsia="zh-CN"/>
                    </w:rPr>
                    <w:t>项目为动物医院</w:t>
                  </w:r>
                  <w:r>
                    <w:rPr>
                      <w:rFonts w:hint="eastAsia" w:ascii="Times New Roman" w:hAnsi="Times New Roman" w:eastAsia="宋体" w:cs="Times New Roman"/>
                      <w:color w:val="auto"/>
                      <w:spacing w:val="0"/>
                      <w:sz w:val="21"/>
                      <w:highlight w:val="none"/>
                      <w:lang w:eastAsia="zh-CN"/>
                    </w:rPr>
                    <w:t>扩建项目</w:t>
                  </w:r>
                  <w:r>
                    <w:rPr>
                      <w:rFonts w:hint="eastAsia" w:ascii="Times New Roman" w:hAnsi="Times New Roman" w:eastAsia="宋体" w:cs="Times New Roman"/>
                      <w:color w:val="auto"/>
                      <w:spacing w:val="0"/>
                      <w:sz w:val="21"/>
                      <w:highlight w:val="none"/>
                      <w:lang w:val="en-US" w:eastAsia="zh-CN"/>
                    </w:rPr>
                    <w:t>，不在</w:t>
                  </w:r>
                  <w:r>
                    <w:rPr>
                      <w:rFonts w:hint="default" w:ascii="Times New Roman" w:hAnsi="Times New Roman" w:eastAsia="宋体" w:cs="Times New Roman"/>
                      <w:color w:val="auto"/>
                      <w:spacing w:val="0"/>
                      <w:kern w:val="0"/>
                      <w:sz w:val="21"/>
                      <w:szCs w:val="21"/>
                      <w:highlight w:val="none"/>
                      <w:lang w:val="en-US" w:eastAsia="zh-CN" w:bidi="ar"/>
                    </w:rPr>
                    <w:t>九龙工业园区</w:t>
                  </w:r>
                  <w:r>
                    <w:rPr>
                      <w:rFonts w:hint="eastAsia" w:ascii="Times New Roman" w:hAnsi="Times New Roman" w:eastAsia="宋体" w:cs="Times New Roman"/>
                      <w:color w:val="auto"/>
                      <w:spacing w:val="0"/>
                      <w:kern w:val="0"/>
                      <w:sz w:val="21"/>
                      <w:szCs w:val="21"/>
                      <w:highlight w:val="none"/>
                      <w:lang w:val="en-US" w:eastAsia="zh-CN" w:bidi="ar"/>
                    </w:rPr>
                    <w:t>内</w:t>
                  </w:r>
                  <w:r>
                    <w:rPr>
                      <w:rFonts w:hint="eastAsia" w:ascii="Times New Roman" w:hAnsi="Times New Roman" w:eastAsia="宋体" w:cs="Times New Roman"/>
                      <w:color w:val="auto"/>
                      <w:spacing w:val="0"/>
                      <w:sz w:val="21"/>
                      <w:highlight w:val="none"/>
                      <w:lang w:val="en-US" w:eastAsia="zh-CN"/>
                    </w:rPr>
                    <w:t>。</w:t>
                  </w:r>
                </w:p>
              </w:tc>
              <w:tc>
                <w:tcPr>
                  <w:tcW w:w="414" w:type="dxa"/>
                  <w:noWrap w:val="0"/>
                  <w:tcMar>
                    <w:top w:w="0" w:type="dxa"/>
                    <w:left w:w="0" w:type="dxa"/>
                    <w:bottom w:w="0" w:type="dxa"/>
                    <w:right w:w="0" w:type="dxa"/>
                  </w:tcMar>
                  <w:vAlign w:val="center"/>
                </w:tcPr>
                <w:p w14:paraId="042FFEDB">
                  <w:pPr>
                    <w:pStyle w:val="51"/>
                    <w:keepNext w:val="0"/>
                    <w:keepLines w:val="0"/>
                    <w:pageBreakBefore w:val="0"/>
                    <w:tabs>
                      <w:tab w:val="left" w:pos="540"/>
                      <w:tab w:val="left" w:pos="1080"/>
                      <w:tab w:val="left" w:pos="1800"/>
                    </w:tabs>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 w:val="21"/>
                      <w:highlight w:val="none"/>
                    </w:rPr>
                    <w:t>符合</w:t>
                  </w:r>
                </w:p>
              </w:tc>
            </w:tr>
            <w:tr w14:paraId="21713B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61" w:type="dxa"/>
                  <w:vMerge w:val="continue"/>
                  <w:noWrap w:val="0"/>
                  <w:tcMar>
                    <w:top w:w="0" w:type="dxa"/>
                    <w:left w:w="0" w:type="dxa"/>
                    <w:bottom w:w="0" w:type="dxa"/>
                    <w:right w:w="0" w:type="dxa"/>
                  </w:tcMar>
                  <w:vAlign w:val="center"/>
                </w:tcPr>
                <w:p w14:paraId="028EE215">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594" w:type="dxa"/>
                  <w:vMerge w:val="continue"/>
                  <w:noWrap w:val="0"/>
                  <w:tcMar>
                    <w:top w:w="0" w:type="dxa"/>
                    <w:left w:w="0" w:type="dxa"/>
                    <w:bottom w:w="0" w:type="dxa"/>
                    <w:right w:w="0" w:type="dxa"/>
                  </w:tcMar>
                  <w:vAlign w:val="center"/>
                </w:tcPr>
                <w:p w14:paraId="2602363D">
                  <w:pPr>
                    <w:pStyle w:val="51"/>
                    <w:keepNext w:val="0"/>
                    <w:keepLines w:val="0"/>
                    <w:pageBreakBefore w:val="0"/>
                    <w:tabs>
                      <w:tab w:val="left" w:pos="540"/>
                      <w:tab w:val="left" w:pos="1080"/>
                      <w:tab w:val="left" w:pos="1800"/>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sz w:val="21"/>
                      <w:szCs w:val="21"/>
                      <w:highlight w:val="none"/>
                    </w:rPr>
                  </w:pPr>
                </w:p>
              </w:tc>
              <w:tc>
                <w:tcPr>
                  <w:tcW w:w="3663" w:type="dxa"/>
                  <w:noWrap w:val="0"/>
                  <w:tcMar>
                    <w:top w:w="0" w:type="dxa"/>
                    <w:left w:w="0" w:type="dxa"/>
                    <w:bottom w:w="0" w:type="dxa"/>
                    <w:right w:w="0" w:type="dxa"/>
                  </w:tcMar>
                  <w:vAlign w:val="center"/>
                </w:tcPr>
                <w:p w14:paraId="4762BA6F">
                  <w:pPr>
                    <w:pStyle w:val="51"/>
                    <w:keepNext w:val="0"/>
                    <w:keepLines w:val="0"/>
                    <w:pageBreakBefore w:val="0"/>
                    <w:tabs>
                      <w:tab w:val="left" w:pos="540"/>
                      <w:tab w:val="left" w:pos="1080"/>
                      <w:tab w:val="left" w:pos="1800"/>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kern w:val="0"/>
                      <w:sz w:val="21"/>
                      <w:szCs w:val="21"/>
                      <w:highlight w:val="none"/>
                      <w:lang w:val="en-US" w:eastAsia="zh-CN" w:bidi="ar"/>
                    </w:rPr>
                    <w:t>3.推进桃花溪流域、跳蹬河流域雨污分流整治；推进扬声桥污水处理厂提标改造，出水水质达到准Ⅳ类标准</w:t>
                  </w:r>
                  <w:r>
                    <w:rPr>
                      <w:rFonts w:hint="eastAsia" w:ascii="Times New Roman" w:hAnsi="Times New Roman" w:eastAsia="宋体" w:cs="Times New Roman"/>
                      <w:color w:val="auto"/>
                      <w:spacing w:val="0"/>
                      <w:kern w:val="0"/>
                      <w:sz w:val="21"/>
                      <w:szCs w:val="21"/>
                      <w:highlight w:val="none"/>
                      <w:lang w:val="en-US" w:eastAsia="zh-CN" w:bidi="ar"/>
                    </w:rPr>
                    <w:t>。</w:t>
                  </w:r>
                </w:p>
              </w:tc>
              <w:tc>
                <w:tcPr>
                  <w:tcW w:w="1595" w:type="dxa"/>
                  <w:noWrap w:val="0"/>
                  <w:tcMar>
                    <w:top w:w="0" w:type="dxa"/>
                    <w:left w:w="0" w:type="dxa"/>
                    <w:bottom w:w="0" w:type="dxa"/>
                    <w:right w:w="0" w:type="dxa"/>
                  </w:tcMar>
                  <w:vAlign w:val="center"/>
                </w:tcPr>
                <w:p w14:paraId="4F3CD30B">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eastAsia" w:ascii="Times New Roman" w:hAnsi="Times New Roman" w:eastAsia="宋体" w:cs="Times New Roman"/>
                      <w:color w:val="auto"/>
                      <w:spacing w:val="0"/>
                      <w:sz w:val="21"/>
                      <w:highlight w:val="none"/>
                      <w:lang w:eastAsia="zh-CN"/>
                    </w:rPr>
                    <w:t>本</w:t>
                  </w:r>
                  <w:r>
                    <w:rPr>
                      <w:rFonts w:hint="eastAsia" w:ascii="Times New Roman" w:hAnsi="Times New Roman" w:eastAsia="宋体" w:cs="Times New Roman"/>
                      <w:color w:val="auto"/>
                      <w:spacing w:val="0"/>
                      <w:sz w:val="21"/>
                      <w:highlight w:val="none"/>
                      <w:lang w:val="en-US" w:eastAsia="zh-CN"/>
                    </w:rPr>
                    <w:t>项目为动物医院</w:t>
                  </w:r>
                  <w:r>
                    <w:rPr>
                      <w:rFonts w:hint="eastAsia" w:ascii="Times New Roman" w:hAnsi="Times New Roman" w:eastAsia="宋体" w:cs="Times New Roman"/>
                      <w:color w:val="auto"/>
                      <w:spacing w:val="0"/>
                      <w:sz w:val="21"/>
                      <w:highlight w:val="none"/>
                      <w:lang w:eastAsia="zh-CN"/>
                    </w:rPr>
                    <w:t>扩建项目</w:t>
                  </w:r>
                  <w:r>
                    <w:rPr>
                      <w:rFonts w:hint="eastAsia" w:ascii="Times New Roman" w:hAnsi="Times New Roman" w:eastAsia="宋体" w:cs="Times New Roman"/>
                      <w:color w:val="auto"/>
                      <w:spacing w:val="0"/>
                      <w:sz w:val="21"/>
                      <w:highlight w:val="none"/>
                      <w:lang w:val="en-US" w:eastAsia="zh-CN"/>
                    </w:rPr>
                    <w:t>，不涉及</w:t>
                  </w:r>
                  <w:r>
                    <w:rPr>
                      <w:rFonts w:hint="default" w:ascii="Times New Roman" w:hAnsi="Times New Roman" w:eastAsia="宋体" w:cs="Times New Roman"/>
                      <w:color w:val="auto"/>
                      <w:spacing w:val="0"/>
                      <w:kern w:val="0"/>
                      <w:sz w:val="21"/>
                      <w:szCs w:val="21"/>
                      <w:highlight w:val="none"/>
                      <w:lang w:val="en-US" w:eastAsia="zh-CN" w:bidi="ar"/>
                    </w:rPr>
                    <w:t>扬声桥污水处理厂提标改造</w:t>
                  </w:r>
                  <w:r>
                    <w:rPr>
                      <w:rFonts w:hint="eastAsia" w:ascii="Times New Roman" w:hAnsi="Times New Roman" w:eastAsia="宋体" w:cs="Times New Roman"/>
                      <w:color w:val="auto"/>
                      <w:spacing w:val="0"/>
                      <w:sz w:val="21"/>
                      <w:highlight w:val="none"/>
                      <w:lang w:val="en-US" w:eastAsia="zh-CN"/>
                    </w:rPr>
                    <w:t>。</w:t>
                  </w:r>
                </w:p>
              </w:tc>
              <w:tc>
                <w:tcPr>
                  <w:tcW w:w="414" w:type="dxa"/>
                  <w:noWrap w:val="0"/>
                  <w:tcMar>
                    <w:top w:w="0" w:type="dxa"/>
                    <w:left w:w="0" w:type="dxa"/>
                    <w:bottom w:w="0" w:type="dxa"/>
                    <w:right w:w="0" w:type="dxa"/>
                  </w:tcMar>
                  <w:vAlign w:val="center"/>
                </w:tcPr>
                <w:p w14:paraId="70533E34">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default" w:ascii="Times New Roman" w:hAnsi="Times New Roman" w:eastAsia="宋体" w:cs="Times New Roman"/>
                      <w:color w:val="auto"/>
                      <w:spacing w:val="0"/>
                      <w:sz w:val="21"/>
                      <w:highlight w:val="none"/>
                    </w:rPr>
                    <w:t>符合</w:t>
                  </w:r>
                </w:p>
              </w:tc>
            </w:tr>
            <w:tr w14:paraId="52FEB7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61" w:type="dxa"/>
                  <w:vMerge w:val="continue"/>
                  <w:noWrap w:val="0"/>
                  <w:tcMar>
                    <w:top w:w="0" w:type="dxa"/>
                    <w:left w:w="0" w:type="dxa"/>
                    <w:bottom w:w="0" w:type="dxa"/>
                    <w:right w:w="0" w:type="dxa"/>
                  </w:tcMar>
                  <w:vAlign w:val="center"/>
                </w:tcPr>
                <w:p w14:paraId="4F11AFD1">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594" w:type="dxa"/>
                  <w:vMerge w:val="continue"/>
                  <w:noWrap w:val="0"/>
                  <w:tcMar>
                    <w:top w:w="0" w:type="dxa"/>
                    <w:left w:w="0" w:type="dxa"/>
                    <w:bottom w:w="0" w:type="dxa"/>
                    <w:right w:w="0" w:type="dxa"/>
                  </w:tcMar>
                  <w:vAlign w:val="center"/>
                </w:tcPr>
                <w:p w14:paraId="159E14B5">
                  <w:pPr>
                    <w:pStyle w:val="51"/>
                    <w:keepNext w:val="0"/>
                    <w:keepLines w:val="0"/>
                    <w:pageBreakBefore w:val="0"/>
                    <w:tabs>
                      <w:tab w:val="left" w:pos="540"/>
                      <w:tab w:val="left" w:pos="1080"/>
                      <w:tab w:val="left" w:pos="1800"/>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sz w:val="21"/>
                      <w:szCs w:val="21"/>
                      <w:highlight w:val="none"/>
                    </w:rPr>
                  </w:pPr>
                </w:p>
              </w:tc>
              <w:tc>
                <w:tcPr>
                  <w:tcW w:w="3663" w:type="dxa"/>
                  <w:noWrap w:val="0"/>
                  <w:tcMar>
                    <w:top w:w="0" w:type="dxa"/>
                    <w:left w:w="0" w:type="dxa"/>
                    <w:bottom w:w="0" w:type="dxa"/>
                    <w:right w:w="0" w:type="dxa"/>
                  </w:tcMar>
                  <w:vAlign w:val="center"/>
                </w:tcPr>
                <w:p w14:paraId="1FA3FA3F">
                  <w:pPr>
                    <w:pStyle w:val="51"/>
                    <w:keepNext w:val="0"/>
                    <w:keepLines w:val="0"/>
                    <w:pageBreakBefore w:val="0"/>
                    <w:tabs>
                      <w:tab w:val="left" w:pos="540"/>
                      <w:tab w:val="left" w:pos="1080"/>
                      <w:tab w:val="left" w:pos="1800"/>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kern w:val="0"/>
                      <w:sz w:val="21"/>
                      <w:szCs w:val="21"/>
                      <w:highlight w:val="none"/>
                      <w:lang w:val="en-US" w:eastAsia="zh-CN" w:bidi="ar"/>
                    </w:rPr>
                    <w:t>4.加大居民生活油烟排放治理，以歇台子为重点区域，推进周边居民安装油烟净化器。推动具备条件的餐饮单位（具有独立烟道且已安装油烟净化器）安装餐饮油烟在线监控设施，将露天烧烤纳入网格化管理，加强对科园四路、奥体运动街等夜市和重点区域无油烟净化设施露天摊位的管理。</w:t>
                  </w:r>
                </w:p>
              </w:tc>
              <w:tc>
                <w:tcPr>
                  <w:tcW w:w="1595" w:type="dxa"/>
                  <w:noWrap w:val="0"/>
                  <w:tcMar>
                    <w:top w:w="0" w:type="dxa"/>
                    <w:left w:w="0" w:type="dxa"/>
                    <w:bottom w:w="0" w:type="dxa"/>
                    <w:right w:w="0" w:type="dxa"/>
                  </w:tcMar>
                  <w:vAlign w:val="center"/>
                </w:tcPr>
                <w:p w14:paraId="71AA8486">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eastAsia" w:ascii="Times New Roman" w:hAnsi="Times New Roman" w:eastAsia="宋体" w:cs="Times New Roman"/>
                      <w:color w:val="auto"/>
                      <w:spacing w:val="0"/>
                      <w:sz w:val="21"/>
                      <w:highlight w:val="none"/>
                      <w:lang w:eastAsia="zh-CN"/>
                    </w:rPr>
                    <w:t>本</w:t>
                  </w:r>
                  <w:r>
                    <w:rPr>
                      <w:rFonts w:hint="eastAsia" w:ascii="Times New Roman" w:hAnsi="Times New Roman" w:eastAsia="宋体" w:cs="Times New Roman"/>
                      <w:color w:val="auto"/>
                      <w:spacing w:val="0"/>
                      <w:sz w:val="21"/>
                      <w:highlight w:val="none"/>
                      <w:lang w:val="en-US" w:eastAsia="zh-CN"/>
                    </w:rPr>
                    <w:t>项目为动物医院</w:t>
                  </w:r>
                  <w:r>
                    <w:rPr>
                      <w:rFonts w:hint="eastAsia" w:ascii="Times New Roman" w:hAnsi="Times New Roman" w:eastAsia="宋体" w:cs="Times New Roman"/>
                      <w:color w:val="auto"/>
                      <w:spacing w:val="0"/>
                      <w:sz w:val="21"/>
                      <w:highlight w:val="none"/>
                      <w:lang w:eastAsia="zh-CN"/>
                    </w:rPr>
                    <w:t>扩建项目</w:t>
                  </w:r>
                  <w:r>
                    <w:rPr>
                      <w:rFonts w:hint="eastAsia" w:ascii="Times New Roman" w:hAnsi="Times New Roman" w:eastAsia="宋体" w:cs="Times New Roman"/>
                      <w:color w:val="auto"/>
                      <w:spacing w:val="0"/>
                      <w:sz w:val="21"/>
                      <w:highlight w:val="none"/>
                      <w:lang w:val="en-US" w:eastAsia="zh-CN"/>
                    </w:rPr>
                    <w:t>，不设置食堂。</w:t>
                  </w:r>
                </w:p>
              </w:tc>
              <w:tc>
                <w:tcPr>
                  <w:tcW w:w="414" w:type="dxa"/>
                  <w:noWrap w:val="0"/>
                  <w:tcMar>
                    <w:top w:w="0" w:type="dxa"/>
                    <w:left w:w="0" w:type="dxa"/>
                    <w:bottom w:w="0" w:type="dxa"/>
                    <w:right w:w="0" w:type="dxa"/>
                  </w:tcMar>
                  <w:vAlign w:val="center"/>
                </w:tcPr>
                <w:p w14:paraId="5A87338E">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default" w:ascii="Times New Roman" w:hAnsi="Times New Roman" w:eastAsia="宋体" w:cs="Times New Roman"/>
                      <w:color w:val="auto"/>
                      <w:spacing w:val="0"/>
                      <w:sz w:val="21"/>
                      <w:highlight w:val="none"/>
                    </w:rPr>
                    <w:t>符合</w:t>
                  </w:r>
                </w:p>
              </w:tc>
            </w:tr>
            <w:tr w14:paraId="6A8241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61" w:type="dxa"/>
                  <w:vMerge w:val="continue"/>
                  <w:noWrap w:val="0"/>
                  <w:tcMar>
                    <w:top w:w="0" w:type="dxa"/>
                    <w:left w:w="0" w:type="dxa"/>
                    <w:bottom w:w="0" w:type="dxa"/>
                    <w:right w:w="0" w:type="dxa"/>
                  </w:tcMar>
                  <w:vAlign w:val="center"/>
                </w:tcPr>
                <w:p w14:paraId="5745C3B3">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594" w:type="dxa"/>
                  <w:vMerge w:val="continue"/>
                  <w:noWrap w:val="0"/>
                  <w:tcMar>
                    <w:top w:w="0" w:type="dxa"/>
                    <w:left w:w="0" w:type="dxa"/>
                    <w:bottom w:w="0" w:type="dxa"/>
                    <w:right w:w="0" w:type="dxa"/>
                  </w:tcMar>
                  <w:vAlign w:val="center"/>
                </w:tcPr>
                <w:p w14:paraId="64E87DA5">
                  <w:pPr>
                    <w:pStyle w:val="51"/>
                    <w:keepNext w:val="0"/>
                    <w:keepLines w:val="0"/>
                    <w:pageBreakBefore w:val="0"/>
                    <w:tabs>
                      <w:tab w:val="left" w:pos="540"/>
                      <w:tab w:val="left" w:pos="1080"/>
                      <w:tab w:val="left" w:pos="1800"/>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sz w:val="21"/>
                      <w:szCs w:val="21"/>
                      <w:highlight w:val="none"/>
                    </w:rPr>
                  </w:pPr>
                </w:p>
              </w:tc>
              <w:tc>
                <w:tcPr>
                  <w:tcW w:w="3663" w:type="dxa"/>
                  <w:noWrap w:val="0"/>
                  <w:tcMar>
                    <w:top w:w="0" w:type="dxa"/>
                    <w:left w:w="0" w:type="dxa"/>
                    <w:bottom w:w="0" w:type="dxa"/>
                    <w:right w:w="0" w:type="dxa"/>
                  </w:tcMar>
                  <w:vAlign w:val="center"/>
                </w:tcPr>
                <w:p w14:paraId="68B20223">
                  <w:pPr>
                    <w:pStyle w:val="51"/>
                    <w:keepNext w:val="0"/>
                    <w:keepLines w:val="0"/>
                    <w:pageBreakBefore w:val="0"/>
                    <w:tabs>
                      <w:tab w:val="left" w:pos="540"/>
                      <w:tab w:val="left" w:pos="1080"/>
                      <w:tab w:val="left" w:pos="1800"/>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kern w:val="0"/>
                      <w:sz w:val="21"/>
                      <w:szCs w:val="21"/>
                      <w:highlight w:val="none"/>
                      <w:lang w:val="en-US" w:eastAsia="zh-CN" w:bidi="ar"/>
                    </w:rPr>
                    <w:t>5.加快淘汰国三及以下排放标准柴油车、汽油车，以运输企业和用车大户为重点，建立车辆档案并制定淘汰计划。以石桥铺等货运物流市场为重点，持续加强货运车辆限行路段的闯禁执法管理，严格落实中心城区高排放车辆限行措施。大力推广新能源车，推广公交车、出租车、网约车等公共领域用车纯电动化，机关单位示范带动新能源车使用，推进充电站等新能源汽车充换电及加氢配套基础设施建设。加快发展城市轨道交通、智能交通和慢行交通，加快建设滨江步道，鼓励绿色出行</w:t>
                  </w:r>
                  <w:r>
                    <w:rPr>
                      <w:rFonts w:hint="eastAsia" w:ascii="Times New Roman" w:hAnsi="Times New Roman" w:eastAsia="宋体" w:cs="Times New Roman"/>
                      <w:color w:val="auto"/>
                      <w:spacing w:val="0"/>
                      <w:kern w:val="0"/>
                      <w:sz w:val="21"/>
                      <w:szCs w:val="21"/>
                      <w:highlight w:val="none"/>
                      <w:lang w:val="en-US" w:eastAsia="zh-CN" w:bidi="ar"/>
                    </w:rPr>
                    <w:t>。</w:t>
                  </w:r>
                </w:p>
              </w:tc>
              <w:tc>
                <w:tcPr>
                  <w:tcW w:w="1595" w:type="dxa"/>
                  <w:noWrap w:val="0"/>
                  <w:tcMar>
                    <w:top w:w="0" w:type="dxa"/>
                    <w:left w:w="0" w:type="dxa"/>
                    <w:bottom w:w="0" w:type="dxa"/>
                    <w:right w:w="0" w:type="dxa"/>
                  </w:tcMar>
                  <w:vAlign w:val="center"/>
                </w:tcPr>
                <w:p w14:paraId="53181D32">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eastAsia" w:ascii="Times New Roman" w:hAnsi="Times New Roman" w:eastAsia="宋体" w:cs="Times New Roman"/>
                      <w:color w:val="auto"/>
                      <w:spacing w:val="0"/>
                      <w:sz w:val="21"/>
                      <w:highlight w:val="none"/>
                      <w:lang w:eastAsia="zh-CN"/>
                    </w:rPr>
                    <w:t>本</w:t>
                  </w:r>
                  <w:r>
                    <w:rPr>
                      <w:rFonts w:hint="eastAsia" w:ascii="Times New Roman" w:hAnsi="Times New Roman" w:eastAsia="宋体" w:cs="Times New Roman"/>
                      <w:color w:val="auto"/>
                      <w:spacing w:val="0"/>
                      <w:sz w:val="21"/>
                      <w:highlight w:val="none"/>
                      <w:lang w:val="en-US" w:eastAsia="zh-CN"/>
                    </w:rPr>
                    <w:t>项目为动物医院</w:t>
                  </w:r>
                  <w:r>
                    <w:rPr>
                      <w:rFonts w:hint="eastAsia" w:ascii="Times New Roman" w:hAnsi="Times New Roman" w:eastAsia="宋体" w:cs="Times New Roman"/>
                      <w:color w:val="auto"/>
                      <w:spacing w:val="0"/>
                      <w:sz w:val="21"/>
                      <w:highlight w:val="none"/>
                      <w:lang w:eastAsia="zh-CN"/>
                    </w:rPr>
                    <w:t>扩建项目</w:t>
                  </w:r>
                  <w:r>
                    <w:rPr>
                      <w:rFonts w:hint="eastAsia" w:ascii="Times New Roman" w:hAnsi="Times New Roman" w:eastAsia="宋体" w:cs="Times New Roman"/>
                      <w:color w:val="auto"/>
                      <w:spacing w:val="0"/>
                      <w:sz w:val="21"/>
                      <w:highlight w:val="none"/>
                      <w:lang w:val="en-US" w:eastAsia="zh-CN"/>
                    </w:rPr>
                    <w:t>，不涉及车辆运输。</w:t>
                  </w:r>
                </w:p>
              </w:tc>
              <w:tc>
                <w:tcPr>
                  <w:tcW w:w="414" w:type="dxa"/>
                  <w:noWrap w:val="0"/>
                  <w:tcMar>
                    <w:top w:w="0" w:type="dxa"/>
                    <w:left w:w="0" w:type="dxa"/>
                    <w:bottom w:w="0" w:type="dxa"/>
                    <w:right w:w="0" w:type="dxa"/>
                  </w:tcMar>
                  <w:vAlign w:val="center"/>
                </w:tcPr>
                <w:p w14:paraId="39761934">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default" w:ascii="Times New Roman" w:hAnsi="Times New Roman" w:eastAsia="宋体" w:cs="Times New Roman"/>
                      <w:color w:val="auto"/>
                      <w:spacing w:val="0"/>
                      <w:sz w:val="21"/>
                      <w:highlight w:val="none"/>
                    </w:rPr>
                    <w:t>符合</w:t>
                  </w:r>
                </w:p>
              </w:tc>
            </w:tr>
            <w:tr w14:paraId="0F00E1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61" w:type="dxa"/>
                  <w:vMerge w:val="continue"/>
                  <w:noWrap w:val="0"/>
                  <w:tcMar>
                    <w:top w:w="0" w:type="dxa"/>
                    <w:left w:w="0" w:type="dxa"/>
                    <w:bottom w:w="0" w:type="dxa"/>
                    <w:right w:w="0" w:type="dxa"/>
                  </w:tcMar>
                  <w:vAlign w:val="center"/>
                </w:tcPr>
                <w:p w14:paraId="1AAB132B">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594" w:type="dxa"/>
                  <w:vMerge w:val="continue"/>
                  <w:noWrap w:val="0"/>
                  <w:tcMar>
                    <w:top w:w="0" w:type="dxa"/>
                    <w:left w:w="0" w:type="dxa"/>
                    <w:bottom w:w="0" w:type="dxa"/>
                    <w:right w:w="0" w:type="dxa"/>
                  </w:tcMar>
                  <w:vAlign w:val="center"/>
                </w:tcPr>
                <w:p w14:paraId="238A359E">
                  <w:pPr>
                    <w:pStyle w:val="51"/>
                    <w:keepNext w:val="0"/>
                    <w:keepLines w:val="0"/>
                    <w:pageBreakBefore w:val="0"/>
                    <w:tabs>
                      <w:tab w:val="left" w:pos="540"/>
                      <w:tab w:val="left" w:pos="1080"/>
                      <w:tab w:val="left" w:pos="1800"/>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sz w:val="21"/>
                      <w:szCs w:val="21"/>
                      <w:highlight w:val="none"/>
                    </w:rPr>
                  </w:pPr>
                </w:p>
              </w:tc>
              <w:tc>
                <w:tcPr>
                  <w:tcW w:w="3663" w:type="dxa"/>
                  <w:noWrap w:val="0"/>
                  <w:tcMar>
                    <w:top w:w="0" w:type="dxa"/>
                    <w:left w:w="0" w:type="dxa"/>
                    <w:bottom w:w="0" w:type="dxa"/>
                    <w:right w:w="0" w:type="dxa"/>
                  </w:tcMar>
                  <w:vAlign w:val="center"/>
                </w:tcPr>
                <w:p w14:paraId="3A8F3CAE">
                  <w:pPr>
                    <w:pStyle w:val="51"/>
                    <w:keepNext w:val="0"/>
                    <w:keepLines w:val="0"/>
                    <w:pageBreakBefore w:val="0"/>
                    <w:tabs>
                      <w:tab w:val="left" w:pos="540"/>
                      <w:tab w:val="left" w:pos="1080"/>
                      <w:tab w:val="left" w:pos="1800"/>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kern w:val="0"/>
                      <w:sz w:val="21"/>
                      <w:szCs w:val="21"/>
                      <w:highlight w:val="none"/>
                      <w:lang w:val="en-US" w:eastAsia="zh-CN" w:bidi="ar"/>
                    </w:rPr>
                    <w:t>6.以九龙半岛为重点，加强施工扬尘监管，逐步推进建筑面积2万平方米以上的工地安装在线监控系统。</w:t>
                  </w:r>
                </w:p>
              </w:tc>
              <w:tc>
                <w:tcPr>
                  <w:tcW w:w="1595" w:type="dxa"/>
                  <w:noWrap w:val="0"/>
                  <w:tcMar>
                    <w:top w:w="0" w:type="dxa"/>
                    <w:left w:w="0" w:type="dxa"/>
                    <w:bottom w:w="0" w:type="dxa"/>
                    <w:right w:w="0" w:type="dxa"/>
                  </w:tcMar>
                  <w:vAlign w:val="center"/>
                </w:tcPr>
                <w:p w14:paraId="556A67D7">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eastAsia" w:ascii="Times New Roman" w:hAnsi="Times New Roman" w:eastAsia="宋体" w:cs="Times New Roman"/>
                      <w:color w:val="auto"/>
                      <w:spacing w:val="0"/>
                      <w:sz w:val="21"/>
                      <w:highlight w:val="none"/>
                      <w:lang w:val="en-US" w:eastAsia="zh-CN"/>
                    </w:rPr>
                    <w:t>本项目不涉及。</w:t>
                  </w:r>
                </w:p>
              </w:tc>
              <w:tc>
                <w:tcPr>
                  <w:tcW w:w="414" w:type="dxa"/>
                  <w:noWrap w:val="0"/>
                  <w:tcMar>
                    <w:top w:w="0" w:type="dxa"/>
                    <w:left w:w="0" w:type="dxa"/>
                    <w:bottom w:w="0" w:type="dxa"/>
                    <w:right w:w="0" w:type="dxa"/>
                  </w:tcMar>
                  <w:vAlign w:val="center"/>
                </w:tcPr>
                <w:p w14:paraId="02D1C335">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default" w:ascii="Times New Roman" w:hAnsi="Times New Roman" w:eastAsia="宋体" w:cs="Times New Roman"/>
                      <w:color w:val="auto"/>
                      <w:spacing w:val="0"/>
                      <w:sz w:val="21"/>
                      <w:highlight w:val="none"/>
                    </w:rPr>
                    <w:t>符合</w:t>
                  </w:r>
                </w:p>
              </w:tc>
            </w:tr>
            <w:tr w14:paraId="4ACF37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1" w:type="dxa"/>
                  <w:vMerge w:val="continue"/>
                  <w:noWrap w:val="0"/>
                  <w:tcMar>
                    <w:top w:w="0" w:type="dxa"/>
                    <w:left w:w="0" w:type="dxa"/>
                    <w:bottom w:w="0" w:type="dxa"/>
                    <w:right w:w="0" w:type="dxa"/>
                  </w:tcMar>
                  <w:vAlign w:val="center"/>
                </w:tcPr>
                <w:p w14:paraId="730F0407">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594" w:type="dxa"/>
                  <w:vMerge w:val="restart"/>
                  <w:noWrap w:val="0"/>
                  <w:tcMar>
                    <w:top w:w="0" w:type="dxa"/>
                    <w:left w:w="0" w:type="dxa"/>
                    <w:bottom w:w="0" w:type="dxa"/>
                    <w:right w:w="0" w:type="dxa"/>
                  </w:tcMar>
                  <w:vAlign w:val="center"/>
                </w:tcPr>
                <w:p w14:paraId="205E9E08">
                  <w:pPr>
                    <w:pStyle w:val="51"/>
                    <w:keepNext w:val="0"/>
                    <w:keepLines w:val="0"/>
                    <w:pageBreakBefore w:val="0"/>
                    <w:tabs>
                      <w:tab w:val="left" w:pos="540"/>
                      <w:tab w:val="left" w:pos="1080"/>
                      <w:tab w:val="left" w:pos="1800"/>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环境风险防控</w:t>
                  </w:r>
                </w:p>
              </w:tc>
              <w:tc>
                <w:tcPr>
                  <w:tcW w:w="3663" w:type="dxa"/>
                  <w:noWrap w:val="0"/>
                  <w:tcMar>
                    <w:top w:w="0" w:type="dxa"/>
                    <w:left w:w="0" w:type="dxa"/>
                    <w:bottom w:w="0" w:type="dxa"/>
                    <w:right w:w="0" w:type="dxa"/>
                  </w:tcMar>
                  <w:vAlign w:val="center"/>
                </w:tcPr>
                <w:p w14:paraId="48BD38DF">
                  <w:pPr>
                    <w:pStyle w:val="51"/>
                    <w:keepNext w:val="0"/>
                    <w:keepLines w:val="0"/>
                    <w:pageBreakBefore w:val="0"/>
                    <w:tabs>
                      <w:tab w:val="left" w:pos="540"/>
                      <w:tab w:val="left" w:pos="1080"/>
                      <w:tab w:val="left" w:pos="1800"/>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kern w:val="0"/>
                      <w:sz w:val="21"/>
                      <w:szCs w:val="21"/>
                      <w:highlight w:val="none"/>
                      <w:lang w:val="en-US" w:eastAsia="zh-CN" w:bidi="ar"/>
                    </w:rPr>
                  </w:pPr>
                  <w:r>
                    <w:rPr>
                      <w:rFonts w:hint="default" w:ascii="Times New Roman" w:hAnsi="Times New Roman" w:eastAsia="宋体" w:cs="Times New Roman"/>
                      <w:color w:val="auto"/>
                      <w:spacing w:val="0"/>
                      <w:kern w:val="0"/>
                      <w:sz w:val="21"/>
                      <w:szCs w:val="21"/>
                      <w:highlight w:val="none"/>
                      <w:lang w:val="en-US" w:eastAsia="zh-CN" w:bidi="ar"/>
                    </w:rPr>
                    <w:t>1.九龙工业园区禁止新建、扩建排放重金属（铬、镉、汞、砷、铅等五类重金属）、剧毒物质和持久性有机污染物的工业项目；</w:t>
                  </w:r>
                </w:p>
              </w:tc>
              <w:tc>
                <w:tcPr>
                  <w:tcW w:w="1595" w:type="dxa"/>
                  <w:vMerge w:val="restart"/>
                  <w:noWrap w:val="0"/>
                  <w:tcMar>
                    <w:top w:w="0" w:type="dxa"/>
                    <w:left w:w="0" w:type="dxa"/>
                    <w:bottom w:w="0" w:type="dxa"/>
                    <w:right w:w="0" w:type="dxa"/>
                  </w:tcMar>
                  <w:vAlign w:val="center"/>
                </w:tcPr>
                <w:p w14:paraId="4A83446D">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lang w:val="en-US" w:eastAsia="zh-CN"/>
                    </w:rPr>
                  </w:pPr>
                  <w:r>
                    <w:rPr>
                      <w:rFonts w:hint="eastAsia" w:ascii="Times New Roman" w:hAnsi="Times New Roman" w:eastAsia="宋体" w:cs="Times New Roman"/>
                      <w:color w:val="auto"/>
                      <w:spacing w:val="0"/>
                      <w:sz w:val="21"/>
                      <w:highlight w:val="none"/>
                      <w:lang w:eastAsia="zh-CN"/>
                    </w:rPr>
                    <w:t>本</w:t>
                  </w:r>
                  <w:r>
                    <w:rPr>
                      <w:rFonts w:hint="eastAsia" w:ascii="Times New Roman" w:hAnsi="Times New Roman" w:eastAsia="宋体" w:cs="Times New Roman"/>
                      <w:color w:val="auto"/>
                      <w:spacing w:val="0"/>
                      <w:sz w:val="21"/>
                      <w:highlight w:val="none"/>
                      <w:lang w:val="en-US" w:eastAsia="zh-CN"/>
                    </w:rPr>
                    <w:t>项目为动物医院</w:t>
                  </w:r>
                  <w:r>
                    <w:rPr>
                      <w:rFonts w:hint="eastAsia" w:ascii="Times New Roman" w:hAnsi="Times New Roman" w:eastAsia="宋体" w:cs="Times New Roman"/>
                      <w:color w:val="auto"/>
                      <w:spacing w:val="0"/>
                      <w:sz w:val="21"/>
                      <w:highlight w:val="none"/>
                      <w:lang w:eastAsia="zh-CN"/>
                    </w:rPr>
                    <w:t>扩建项目</w:t>
                  </w:r>
                  <w:r>
                    <w:rPr>
                      <w:rFonts w:hint="eastAsia" w:ascii="Times New Roman" w:hAnsi="Times New Roman" w:eastAsia="宋体" w:cs="Times New Roman"/>
                      <w:color w:val="auto"/>
                      <w:spacing w:val="0"/>
                      <w:sz w:val="21"/>
                      <w:highlight w:val="none"/>
                      <w:lang w:val="en-US" w:eastAsia="zh-CN"/>
                    </w:rPr>
                    <w:t>，位于重庆市九龙坡区二郎街道火炬大道100号附24号及附23-2号，不在</w:t>
                  </w:r>
                  <w:r>
                    <w:rPr>
                      <w:rFonts w:hint="default" w:ascii="Times New Roman" w:hAnsi="Times New Roman" w:eastAsia="宋体" w:cs="Times New Roman"/>
                      <w:color w:val="auto"/>
                      <w:spacing w:val="0"/>
                      <w:kern w:val="0"/>
                      <w:sz w:val="21"/>
                      <w:szCs w:val="21"/>
                      <w:highlight w:val="none"/>
                      <w:lang w:val="en-US" w:eastAsia="zh-CN" w:bidi="ar"/>
                    </w:rPr>
                    <w:t>九龙工业园区</w:t>
                  </w:r>
                  <w:r>
                    <w:rPr>
                      <w:rFonts w:hint="eastAsia" w:ascii="Times New Roman" w:hAnsi="Times New Roman" w:eastAsia="宋体" w:cs="Times New Roman"/>
                      <w:color w:val="auto"/>
                      <w:spacing w:val="0"/>
                      <w:kern w:val="0"/>
                      <w:sz w:val="21"/>
                      <w:szCs w:val="21"/>
                      <w:highlight w:val="none"/>
                      <w:lang w:val="en-US" w:eastAsia="zh-CN" w:bidi="ar"/>
                    </w:rPr>
                    <w:t>内，不涉及</w:t>
                  </w:r>
                  <w:r>
                    <w:rPr>
                      <w:rFonts w:hint="default" w:ascii="Times New Roman" w:hAnsi="Times New Roman" w:eastAsia="宋体" w:cs="Times New Roman"/>
                      <w:color w:val="auto"/>
                      <w:spacing w:val="0"/>
                      <w:kern w:val="0"/>
                      <w:sz w:val="21"/>
                      <w:szCs w:val="21"/>
                      <w:highlight w:val="none"/>
                      <w:lang w:val="en-US" w:eastAsia="zh-CN" w:bidi="ar"/>
                    </w:rPr>
                    <w:t>土壤污染</w:t>
                  </w:r>
                  <w:r>
                    <w:rPr>
                      <w:rFonts w:hint="eastAsia" w:ascii="Times New Roman" w:hAnsi="Times New Roman" w:eastAsia="宋体" w:cs="Times New Roman"/>
                      <w:color w:val="auto"/>
                      <w:spacing w:val="0"/>
                      <w:kern w:val="0"/>
                      <w:sz w:val="21"/>
                      <w:szCs w:val="21"/>
                      <w:highlight w:val="none"/>
                      <w:lang w:val="en-US" w:eastAsia="zh-CN" w:bidi="ar"/>
                    </w:rPr>
                    <w:t>地块</w:t>
                  </w:r>
                  <w:r>
                    <w:rPr>
                      <w:rFonts w:hint="eastAsia" w:ascii="Times New Roman" w:hAnsi="Times New Roman" w:eastAsia="宋体" w:cs="Times New Roman"/>
                      <w:color w:val="auto"/>
                      <w:spacing w:val="0"/>
                      <w:sz w:val="21"/>
                      <w:highlight w:val="none"/>
                      <w:lang w:val="en-US" w:eastAsia="zh-CN"/>
                    </w:rPr>
                    <w:t>。</w:t>
                  </w:r>
                </w:p>
              </w:tc>
              <w:tc>
                <w:tcPr>
                  <w:tcW w:w="414" w:type="dxa"/>
                  <w:noWrap w:val="0"/>
                  <w:tcMar>
                    <w:top w:w="0" w:type="dxa"/>
                    <w:left w:w="0" w:type="dxa"/>
                    <w:bottom w:w="0" w:type="dxa"/>
                    <w:right w:w="0" w:type="dxa"/>
                  </w:tcMar>
                  <w:vAlign w:val="center"/>
                </w:tcPr>
                <w:p w14:paraId="2F610E31">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default" w:ascii="Times New Roman" w:hAnsi="Times New Roman" w:eastAsia="宋体" w:cs="Times New Roman"/>
                      <w:color w:val="auto"/>
                      <w:spacing w:val="0"/>
                      <w:sz w:val="21"/>
                      <w:highlight w:val="none"/>
                    </w:rPr>
                    <w:t>符合</w:t>
                  </w:r>
                </w:p>
              </w:tc>
            </w:tr>
            <w:tr w14:paraId="1B45BA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1" w:type="dxa"/>
                  <w:vMerge w:val="continue"/>
                  <w:noWrap w:val="0"/>
                  <w:tcMar>
                    <w:top w:w="0" w:type="dxa"/>
                    <w:left w:w="0" w:type="dxa"/>
                    <w:bottom w:w="0" w:type="dxa"/>
                    <w:right w:w="0" w:type="dxa"/>
                  </w:tcMar>
                  <w:vAlign w:val="center"/>
                </w:tcPr>
                <w:p w14:paraId="53601260">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594" w:type="dxa"/>
                  <w:vMerge w:val="continue"/>
                  <w:noWrap w:val="0"/>
                  <w:tcMar>
                    <w:top w:w="0" w:type="dxa"/>
                    <w:left w:w="0" w:type="dxa"/>
                    <w:bottom w:w="0" w:type="dxa"/>
                    <w:right w:w="0" w:type="dxa"/>
                  </w:tcMar>
                  <w:vAlign w:val="center"/>
                </w:tcPr>
                <w:p w14:paraId="622D07B0">
                  <w:pPr>
                    <w:pStyle w:val="51"/>
                    <w:keepNext w:val="0"/>
                    <w:keepLines w:val="0"/>
                    <w:pageBreakBefore w:val="0"/>
                    <w:tabs>
                      <w:tab w:val="left" w:pos="540"/>
                      <w:tab w:val="left" w:pos="1080"/>
                      <w:tab w:val="left" w:pos="1800"/>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sz w:val="21"/>
                      <w:szCs w:val="21"/>
                      <w:highlight w:val="none"/>
                    </w:rPr>
                  </w:pPr>
                </w:p>
              </w:tc>
              <w:tc>
                <w:tcPr>
                  <w:tcW w:w="3663" w:type="dxa"/>
                  <w:noWrap w:val="0"/>
                  <w:tcMar>
                    <w:top w:w="0" w:type="dxa"/>
                    <w:left w:w="0" w:type="dxa"/>
                    <w:bottom w:w="0" w:type="dxa"/>
                    <w:right w:w="0" w:type="dxa"/>
                  </w:tcMar>
                  <w:vAlign w:val="center"/>
                </w:tcPr>
                <w:p w14:paraId="0C608798">
                  <w:pPr>
                    <w:pStyle w:val="51"/>
                    <w:keepNext w:val="0"/>
                    <w:keepLines w:val="0"/>
                    <w:pageBreakBefore w:val="0"/>
                    <w:tabs>
                      <w:tab w:val="left" w:pos="540"/>
                      <w:tab w:val="left" w:pos="1080"/>
                      <w:tab w:val="left" w:pos="1800"/>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kern w:val="0"/>
                      <w:sz w:val="21"/>
                      <w:szCs w:val="21"/>
                      <w:highlight w:val="none"/>
                      <w:lang w:val="en-US" w:eastAsia="zh-CN" w:bidi="ar"/>
                    </w:rPr>
                  </w:pPr>
                  <w:r>
                    <w:rPr>
                      <w:rFonts w:hint="default" w:ascii="Times New Roman" w:hAnsi="Times New Roman" w:eastAsia="宋体" w:cs="Times New Roman"/>
                      <w:color w:val="auto"/>
                      <w:spacing w:val="0"/>
                      <w:kern w:val="0"/>
                      <w:sz w:val="21"/>
                      <w:szCs w:val="21"/>
                      <w:highlight w:val="none"/>
                      <w:lang w:val="en-US" w:eastAsia="zh-CN" w:bidi="ar"/>
                    </w:rPr>
                    <w:t>2.未达到土壤污染风险评估报告确定的风险管控、修复目标的地块，禁止开工建设任何与风险管控、修复无关的项目。</w:t>
                  </w:r>
                </w:p>
              </w:tc>
              <w:tc>
                <w:tcPr>
                  <w:tcW w:w="1595" w:type="dxa"/>
                  <w:vMerge w:val="continue"/>
                  <w:noWrap w:val="0"/>
                  <w:tcMar>
                    <w:top w:w="0" w:type="dxa"/>
                    <w:left w:w="0" w:type="dxa"/>
                    <w:bottom w:w="0" w:type="dxa"/>
                    <w:right w:w="0" w:type="dxa"/>
                  </w:tcMar>
                  <w:vAlign w:val="center"/>
                </w:tcPr>
                <w:p w14:paraId="6E84E1BF">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414" w:type="dxa"/>
                  <w:noWrap w:val="0"/>
                  <w:tcMar>
                    <w:top w:w="0" w:type="dxa"/>
                    <w:left w:w="0" w:type="dxa"/>
                    <w:bottom w:w="0" w:type="dxa"/>
                    <w:right w:w="0" w:type="dxa"/>
                  </w:tcMar>
                  <w:vAlign w:val="center"/>
                </w:tcPr>
                <w:p w14:paraId="1727DA58">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default" w:ascii="Times New Roman" w:hAnsi="Times New Roman" w:eastAsia="宋体" w:cs="Times New Roman"/>
                      <w:color w:val="auto"/>
                      <w:spacing w:val="0"/>
                      <w:sz w:val="21"/>
                      <w:highlight w:val="none"/>
                    </w:rPr>
                    <w:t>符合</w:t>
                  </w:r>
                </w:p>
              </w:tc>
            </w:tr>
            <w:tr w14:paraId="69BD64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1" w:type="dxa"/>
                  <w:vMerge w:val="continue"/>
                  <w:noWrap w:val="0"/>
                  <w:tcMar>
                    <w:top w:w="0" w:type="dxa"/>
                    <w:left w:w="0" w:type="dxa"/>
                    <w:bottom w:w="0" w:type="dxa"/>
                    <w:right w:w="0" w:type="dxa"/>
                  </w:tcMar>
                  <w:vAlign w:val="center"/>
                </w:tcPr>
                <w:p w14:paraId="6DAB2120">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594" w:type="dxa"/>
                  <w:vMerge w:val="restart"/>
                  <w:noWrap w:val="0"/>
                  <w:tcMar>
                    <w:top w:w="0" w:type="dxa"/>
                    <w:left w:w="0" w:type="dxa"/>
                    <w:bottom w:w="0" w:type="dxa"/>
                    <w:right w:w="0" w:type="dxa"/>
                  </w:tcMar>
                  <w:vAlign w:val="center"/>
                </w:tcPr>
                <w:p w14:paraId="15F12EF2">
                  <w:pPr>
                    <w:pStyle w:val="51"/>
                    <w:keepNext w:val="0"/>
                    <w:keepLines w:val="0"/>
                    <w:pageBreakBefore w:val="0"/>
                    <w:tabs>
                      <w:tab w:val="left" w:pos="540"/>
                      <w:tab w:val="left" w:pos="1080"/>
                      <w:tab w:val="left" w:pos="1800"/>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资源开发效率要求</w:t>
                  </w:r>
                </w:p>
              </w:tc>
              <w:tc>
                <w:tcPr>
                  <w:tcW w:w="3663" w:type="dxa"/>
                  <w:noWrap w:val="0"/>
                  <w:tcMar>
                    <w:top w:w="0" w:type="dxa"/>
                    <w:left w:w="0" w:type="dxa"/>
                    <w:bottom w:w="0" w:type="dxa"/>
                    <w:right w:w="0" w:type="dxa"/>
                  </w:tcMar>
                  <w:vAlign w:val="center"/>
                </w:tcPr>
                <w:p w14:paraId="0DA562C7">
                  <w:pPr>
                    <w:pStyle w:val="51"/>
                    <w:keepNext w:val="0"/>
                    <w:keepLines w:val="0"/>
                    <w:pageBreakBefore w:val="0"/>
                    <w:tabs>
                      <w:tab w:val="left" w:pos="540"/>
                      <w:tab w:val="left" w:pos="1080"/>
                      <w:tab w:val="left" w:pos="1800"/>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kern w:val="0"/>
                      <w:sz w:val="21"/>
                      <w:szCs w:val="21"/>
                      <w:highlight w:val="none"/>
                      <w:lang w:val="en-US" w:eastAsia="zh-CN" w:bidi="ar"/>
                    </w:rPr>
                  </w:pPr>
                  <w:r>
                    <w:rPr>
                      <w:rFonts w:hint="default" w:ascii="Times New Roman" w:hAnsi="Times New Roman" w:eastAsia="宋体" w:cs="Times New Roman"/>
                      <w:color w:val="auto"/>
                      <w:spacing w:val="0"/>
                      <w:kern w:val="0"/>
                      <w:sz w:val="21"/>
                      <w:szCs w:val="21"/>
                      <w:highlight w:val="none"/>
                      <w:lang w:val="en-US" w:eastAsia="zh-CN" w:bidi="ar"/>
                    </w:rPr>
                    <w:t>1.新建和改、扩建的工业项目清洁生产水平应达到国内先进水平；</w:t>
                  </w:r>
                </w:p>
              </w:tc>
              <w:tc>
                <w:tcPr>
                  <w:tcW w:w="1595" w:type="dxa"/>
                  <w:vMerge w:val="restart"/>
                  <w:noWrap w:val="0"/>
                  <w:tcMar>
                    <w:top w:w="0" w:type="dxa"/>
                    <w:left w:w="0" w:type="dxa"/>
                    <w:bottom w:w="0" w:type="dxa"/>
                    <w:right w:w="0" w:type="dxa"/>
                  </w:tcMar>
                  <w:vAlign w:val="center"/>
                </w:tcPr>
                <w:p w14:paraId="169B36AF">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eastAsia" w:ascii="Times New Roman" w:hAnsi="Times New Roman" w:eastAsia="宋体" w:cs="Times New Roman"/>
                      <w:color w:val="auto"/>
                      <w:spacing w:val="0"/>
                      <w:sz w:val="21"/>
                      <w:highlight w:val="none"/>
                      <w:lang w:eastAsia="zh-CN"/>
                    </w:rPr>
                    <w:t>本</w:t>
                  </w:r>
                  <w:r>
                    <w:rPr>
                      <w:rFonts w:hint="eastAsia" w:ascii="Times New Roman" w:hAnsi="Times New Roman" w:eastAsia="宋体" w:cs="Times New Roman"/>
                      <w:color w:val="auto"/>
                      <w:spacing w:val="0"/>
                      <w:sz w:val="21"/>
                      <w:highlight w:val="none"/>
                      <w:lang w:val="en-US" w:eastAsia="zh-CN"/>
                    </w:rPr>
                    <w:t>项目为动物医院</w:t>
                  </w:r>
                  <w:r>
                    <w:rPr>
                      <w:rFonts w:hint="eastAsia" w:ascii="Times New Roman" w:hAnsi="Times New Roman" w:eastAsia="宋体" w:cs="Times New Roman"/>
                      <w:color w:val="auto"/>
                      <w:spacing w:val="0"/>
                      <w:sz w:val="21"/>
                      <w:highlight w:val="none"/>
                      <w:lang w:eastAsia="zh-CN"/>
                    </w:rPr>
                    <w:t>扩建项目</w:t>
                  </w:r>
                  <w:r>
                    <w:rPr>
                      <w:rFonts w:hint="eastAsia" w:ascii="Times New Roman" w:hAnsi="Times New Roman" w:eastAsia="宋体" w:cs="Times New Roman"/>
                      <w:color w:val="auto"/>
                      <w:spacing w:val="0"/>
                      <w:sz w:val="21"/>
                      <w:highlight w:val="none"/>
                      <w:lang w:val="en-US" w:eastAsia="zh-CN"/>
                    </w:rPr>
                    <w:t>，不属于工业项目，在满足运营前提条件下优先选用节水设备。</w:t>
                  </w:r>
                </w:p>
              </w:tc>
              <w:tc>
                <w:tcPr>
                  <w:tcW w:w="414" w:type="dxa"/>
                  <w:noWrap w:val="0"/>
                  <w:tcMar>
                    <w:top w:w="0" w:type="dxa"/>
                    <w:left w:w="0" w:type="dxa"/>
                    <w:bottom w:w="0" w:type="dxa"/>
                    <w:right w:w="0" w:type="dxa"/>
                  </w:tcMar>
                  <w:vAlign w:val="center"/>
                </w:tcPr>
                <w:p w14:paraId="72452F62">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default" w:ascii="Times New Roman" w:hAnsi="Times New Roman" w:eastAsia="宋体" w:cs="Times New Roman"/>
                      <w:color w:val="auto"/>
                      <w:spacing w:val="0"/>
                      <w:sz w:val="21"/>
                      <w:highlight w:val="none"/>
                    </w:rPr>
                    <w:t>符合</w:t>
                  </w:r>
                </w:p>
              </w:tc>
            </w:tr>
            <w:tr w14:paraId="6A9581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1" w:type="dxa"/>
                  <w:vMerge w:val="continue"/>
                  <w:noWrap w:val="0"/>
                  <w:tcMar>
                    <w:top w:w="0" w:type="dxa"/>
                    <w:left w:w="0" w:type="dxa"/>
                    <w:bottom w:w="0" w:type="dxa"/>
                    <w:right w:w="0" w:type="dxa"/>
                  </w:tcMar>
                  <w:vAlign w:val="center"/>
                </w:tcPr>
                <w:p w14:paraId="73FAFB10">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594" w:type="dxa"/>
                  <w:vMerge w:val="continue"/>
                  <w:noWrap w:val="0"/>
                  <w:tcMar>
                    <w:top w:w="0" w:type="dxa"/>
                    <w:left w:w="0" w:type="dxa"/>
                    <w:bottom w:w="0" w:type="dxa"/>
                    <w:right w:w="0" w:type="dxa"/>
                  </w:tcMar>
                  <w:vAlign w:val="center"/>
                </w:tcPr>
                <w:p w14:paraId="755AA504">
                  <w:pPr>
                    <w:pStyle w:val="51"/>
                    <w:keepNext w:val="0"/>
                    <w:keepLines w:val="0"/>
                    <w:pageBreakBefore w:val="0"/>
                    <w:tabs>
                      <w:tab w:val="left" w:pos="540"/>
                      <w:tab w:val="left" w:pos="1080"/>
                      <w:tab w:val="left" w:pos="1800"/>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sz w:val="21"/>
                      <w:szCs w:val="21"/>
                      <w:highlight w:val="none"/>
                    </w:rPr>
                  </w:pPr>
                </w:p>
              </w:tc>
              <w:tc>
                <w:tcPr>
                  <w:tcW w:w="3663" w:type="dxa"/>
                  <w:noWrap w:val="0"/>
                  <w:tcMar>
                    <w:top w:w="0" w:type="dxa"/>
                    <w:left w:w="0" w:type="dxa"/>
                    <w:bottom w:w="0" w:type="dxa"/>
                    <w:right w:w="0" w:type="dxa"/>
                  </w:tcMar>
                  <w:vAlign w:val="center"/>
                </w:tcPr>
                <w:p w14:paraId="2631B692">
                  <w:pPr>
                    <w:pStyle w:val="51"/>
                    <w:keepNext w:val="0"/>
                    <w:keepLines w:val="0"/>
                    <w:pageBreakBefore w:val="0"/>
                    <w:tabs>
                      <w:tab w:val="left" w:pos="540"/>
                      <w:tab w:val="left" w:pos="1080"/>
                      <w:tab w:val="left" w:pos="1800"/>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kern w:val="0"/>
                      <w:sz w:val="21"/>
                      <w:szCs w:val="21"/>
                      <w:highlight w:val="none"/>
                      <w:lang w:val="en-US" w:eastAsia="zh-CN" w:bidi="ar"/>
                    </w:rPr>
                  </w:pPr>
                  <w:r>
                    <w:rPr>
                      <w:rFonts w:hint="default" w:ascii="Times New Roman" w:hAnsi="Times New Roman" w:eastAsia="宋体" w:cs="Times New Roman"/>
                      <w:color w:val="auto"/>
                      <w:spacing w:val="0"/>
                      <w:kern w:val="0"/>
                      <w:sz w:val="21"/>
                      <w:szCs w:val="21"/>
                      <w:highlight w:val="none"/>
                      <w:lang w:val="en-US" w:eastAsia="zh-CN" w:bidi="ar"/>
                    </w:rPr>
                    <w:t>2.加强工业节水改造，限制高耗水行业发展，加强重点监控用水单位监管。</w:t>
                  </w:r>
                </w:p>
              </w:tc>
              <w:tc>
                <w:tcPr>
                  <w:tcW w:w="1595" w:type="dxa"/>
                  <w:vMerge w:val="continue"/>
                  <w:noWrap w:val="0"/>
                  <w:tcMar>
                    <w:top w:w="0" w:type="dxa"/>
                    <w:left w:w="0" w:type="dxa"/>
                    <w:bottom w:w="0" w:type="dxa"/>
                    <w:right w:w="0" w:type="dxa"/>
                  </w:tcMar>
                  <w:vAlign w:val="center"/>
                </w:tcPr>
                <w:p w14:paraId="7B802162">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414" w:type="dxa"/>
                  <w:noWrap w:val="0"/>
                  <w:tcMar>
                    <w:top w:w="0" w:type="dxa"/>
                    <w:left w:w="0" w:type="dxa"/>
                    <w:bottom w:w="0" w:type="dxa"/>
                    <w:right w:w="0" w:type="dxa"/>
                  </w:tcMar>
                  <w:vAlign w:val="center"/>
                </w:tcPr>
                <w:p w14:paraId="3F37E5B5">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default" w:ascii="Times New Roman" w:hAnsi="Times New Roman" w:eastAsia="宋体" w:cs="Times New Roman"/>
                      <w:color w:val="auto"/>
                      <w:spacing w:val="0"/>
                      <w:sz w:val="21"/>
                      <w:highlight w:val="none"/>
                    </w:rPr>
                    <w:t>符合</w:t>
                  </w:r>
                </w:p>
              </w:tc>
            </w:tr>
            <w:tr w14:paraId="7035F8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1" w:type="dxa"/>
                  <w:vMerge w:val="continue"/>
                  <w:noWrap w:val="0"/>
                  <w:tcMar>
                    <w:top w:w="0" w:type="dxa"/>
                    <w:left w:w="0" w:type="dxa"/>
                    <w:bottom w:w="0" w:type="dxa"/>
                    <w:right w:w="0" w:type="dxa"/>
                  </w:tcMar>
                  <w:vAlign w:val="center"/>
                </w:tcPr>
                <w:p w14:paraId="37ABB65D">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594" w:type="dxa"/>
                  <w:vMerge w:val="continue"/>
                  <w:noWrap w:val="0"/>
                  <w:tcMar>
                    <w:top w:w="0" w:type="dxa"/>
                    <w:left w:w="0" w:type="dxa"/>
                    <w:bottom w:w="0" w:type="dxa"/>
                    <w:right w:w="0" w:type="dxa"/>
                  </w:tcMar>
                  <w:vAlign w:val="center"/>
                </w:tcPr>
                <w:p w14:paraId="45B54D7E">
                  <w:pPr>
                    <w:pStyle w:val="51"/>
                    <w:keepNext w:val="0"/>
                    <w:keepLines w:val="0"/>
                    <w:pageBreakBefore w:val="0"/>
                    <w:tabs>
                      <w:tab w:val="left" w:pos="540"/>
                      <w:tab w:val="left" w:pos="1080"/>
                      <w:tab w:val="left" w:pos="1800"/>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sz w:val="21"/>
                      <w:szCs w:val="21"/>
                      <w:highlight w:val="none"/>
                    </w:rPr>
                  </w:pPr>
                </w:p>
              </w:tc>
              <w:tc>
                <w:tcPr>
                  <w:tcW w:w="3663" w:type="dxa"/>
                  <w:noWrap w:val="0"/>
                  <w:tcMar>
                    <w:top w:w="0" w:type="dxa"/>
                    <w:left w:w="0" w:type="dxa"/>
                    <w:bottom w:w="0" w:type="dxa"/>
                    <w:right w:w="0" w:type="dxa"/>
                  </w:tcMar>
                  <w:vAlign w:val="center"/>
                </w:tcPr>
                <w:p w14:paraId="5CDCDFA8">
                  <w:pPr>
                    <w:pStyle w:val="51"/>
                    <w:keepNext w:val="0"/>
                    <w:keepLines w:val="0"/>
                    <w:pageBreakBefore w:val="0"/>
                    <w:tabs>
                      <w:tab w:val="left" w:pos="540"/>
                      <w:tab w:val="left" w:pos="1080"/>
                      <w:tab w:val="left" w:pos="1800"/>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kern w:val="0"/>
                      <w:sz w:val="21"/>
                      <w:szCs w:val="21"/>
                      <w:highlight w:val="none"/>
                      <w:lang w:val="en-US" w:eastAsia="zh-CN" w:bidi="ar"/>
                    </w:rPr>
                  </w:pPr>
                  <w:r>
                    <w:rPr>
                      <w:rFonts w:hint="default" w:ascii="Times New Roman" w:hAnsi="Times New Roman" w:eastAsia="宋体" w:cs="Times New Roman"/>
                      <w:color w:val="auto"/>
                      <w:spacing w:val="0"/>
                      <w:kern w:val="0"/>
                      <w:sz w:val="21"/>
                      <w:szCs w:val="21"/>
                      <w:highlight w:val="none"/>
                      <w:lang w:val="en-US" w:eastAsia="zh-CN" w:bidi="ar"/>
                    </w:rPr>
                    <w:t>3.推进桃花溪流域中水回用工程建设，加快扬声桥污水处理厂尾水再生利用设施和管网建设。</w:t>
                  </w:r>
                </w:p>
              </w:tc>
              <w:tc>
                <w:tcPr>
                  <w:tcW w:w="1595" w:type="dxa"/>
                  <w:vMerge w:val="continue"/>
                  <w:noWrap w:val="0"/>
                  <w:tcMar>
                    <w:top w:w="0" w:type="dxa"/>
                    <w:left w:w="0" w:type="dxa"/>
                    <w:bottom w:w="0" w:type="dxa"/>
                    <w:right w:w="0" w:type="dxa"/>
                  </w:tcMar>
                  <w:vAlign w:val="center"/>
                </w:tcPr>
                <w:p w14:paraId="00E53136">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414" w:type="dxa"/>
                  <w:noWrap w:val="0"/>
                  <w:tcMar>
                    <w:top w:w="0" w:type="dxa"/>
                    <w:left w:w="0" w:type="dxa"/>
                    <w:bottom w:w="0" w:type="dxa"/>
                    <w:right w:w="0" w:type="dxa"/>
                  </w:tcMar>
                  <w:vAlign w:val="center"/>
                </w:tcPr>
                <w:p w14:paraId="0017D560">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default" w:ascii="Times New Roman" w:hAnsi="Times New Roman" w:eastAsia="宋体" w:cs="Times New Roman"/>
                      <w:color w:val="auto"/>
                      <w:spacing w:val="0"/>
                      <w:sz w:val="21"/>
                      <w:highlight w:val="none"/>
                    </w:rPr>
                    <w:t>符合</w:t>
                  </w:r>
                </w:p>
              </w:tc>
            </w:tr>
            <w:tr w14:paraId="195557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1" w:type="dxa"/>
                  <w:vMerge w:val="continue"/>
                  <w:noWrap w:val="0"/>
                  <w:tcMar>
                    <w:top w:w="0" w:type="dxa"/>
                    <w:left w:w="0" w:type="dxa"/>
                    <w:bottom w:w="0" w:type="dxa"/>
                    <w:right w:w="0" w:type="dxa"/>
                  </w:tcMar>
                  <w:vAlign w:val="center"/>
                </w:tcPr>
                <w:p w14:paraId="1D3BE15B">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594" w:type="dxa"/>
                  <w:vMerge w:val="continue"/>
                  <w:noWrap w:val="0"/>
                  <w:tcMar>
                    <w:top w:w="0" w:type="dxa"/>
                    <w:left w:w="0" w:type="dxa"/>
                    <w:bottom w:w="0" w:type="dxa"/>
                    <w:right w:w="0" w:type="dxa"/>
                  </w:tcMar>
                  <w:vAlign w:val="center"/>
                </w:tcPr>
                <w:p w14:paraId="199646E3">
                  <w:pPr>
                    <w:pStyle w:val="51"/>
                    <w:keepNext w:val="0"/>
                    <w:keepLines w:val="0"/>
                    <w:pageBreakBefore w:val="0"/>
                    <w:tabs>
                      <w:tab w:val="left" w:pos="540"/>
                      <w:tab w:val="left" w:pos="1080"/>
                      <w:tab w:val="left" w:pos="1800"/>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sz w:val="21"/>
                      <w:szCs w:val="21"/>
                      <w:highlight w:val="none"/>
                    </w:rPr>
                  </w:pPr>
                </w:p>
              </w:tc>
              <w:tc>
                <w:tcPr>
                  <w:tcW w:w="3663" w:type="dxa"/>
                  <w:noWrap w:val="0"/>
                  <w:tcMar>
                    <w:top w:w="0" w:type="dxa"/>
                    <w:left w:w="0" w:type="dxa"/>
                    <w:bottom w:w="0" w:type="dxa"/>
                    <w:right w:w="0" w:type="dxa"/>
                  </w:tcMar>
                  <w:vAlign w:val="center"/>
                </w:tcPr>
                <w:p w14:paraId="28849828">
                  <w:pPr>
                    <w:pStyle w:val="51"/>
                    <w:keepNext w:val="0"/>
                    <w:keepLines w:val="0"/>
                    <w:pageBreakBefore w:val="0"/>
                    <w:tabs>
                      <w:tab w:val="left" w:pos="540"/>
                      <w:tab w:val="left" w:pos="1080"/>
                      <w:tab w:val="left" w:pos="1800"/>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kern w:val="0"/>
                      <w:sz w:val="21"/>
                      <w:szCs w:val="21"/>
                      <w:highlight w:val="none"/>
                      <w:lang w:val="en-US" w:eastAsia="zh-CN" w:bidi="ar"/>
                    </w:rPr>
                  </w:pPr>
                  <w:r>
                    <w:rPr>
                      <w:rFonts w:hint="default" w:ascii="Times New Roman" w:hAnsi="Times New Roman" w:eastAsia="宋体" w:cs="Times New Roman"/>
                      <w:color w:val="auto"/>
                      <w:spacing w:val="0"/>
                      <w:kern w:val="0"/>
                      <w:sz w:val="21"/>
                      <w:szCs w:val="21"/>
                      <w:highlight w:val="none"/>
                      <w:lang w:val="en-US" w:eastAsia="zh-CN" w:bidi="ar"/>
                    </w:rPr>
                    <w:t>4.加强城镇节水，开展公共建筑节水改造、城镇供水管网漏损治理工程。</w:t>
                  </w:r>
                </w:p>
              </w:tc>
              <w:tc>
                <w:tcPr>
                  <w:tcW w:w="1595" w:type="dxa"/>
                  <w:vMerge w:val="continue"/>
                  <w:noWrap w:val="0"/>
                  <w:tcMar>
                    <w:top w:w="0" w:type="dxa"/>
                    <w:left w:w="0" w:type="dxa"/>
                    <w:bottom w:w="0" w:type="dxa"/>
                    <w:right w:w="0" w:type="dxa"/>
                  </w:tcMar>
                  <w:vAlign w:val="center"/>
                </w:tcPr>
                <w:p w14:paraId="78041CFB">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414" w:type="dxa"/>
                  <w:noWrap w:val="0"/>
                  <w:tcMar>
                    <w:top w:w="0" w:type="dxa"/>
                    <w:left w:w="0" w:type="dxa"/>
                    <w:bottom w:w="0" w:type="dxa"/>
                    <w:right w:w="0" w:type="dxa"/>
                  </w:tcMar>
                  <w:vAlign w:val="center"/>
                </w:tcPr>
                <w:p w14:paraId="392FDF82">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default" w:ascii="Times New Roman" w:hAnsi="Times New Roman" w:eastAsia="宋体" w:cs="Times New Roman"/>
                      <w:color w:val="auto"/>
                      <w:spacing w:val="0"/>
                      <w:sz w:val="21"/>
                      <w:highlight w:val="none"/>
                    </w:rPr>
                    <w:t>符合</w:t>
                  </w:r>
                </w:p>
              </w:tc>
            </w:tr>
          </w:tbl>
          <w:p w14:paraId="41A7FC70">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Chars="0" w:firstLine="480" w:firstLineChars="200"/>
              <w:jc w:val="left"/>
              <w:textAlignment w:val="auto"/>
              <w:rPr>
                <w:rFonts w:hint="default" w:ascii="Times New Roman" w:hAnsi="Times New Roman" w:cs="Times New Roman"/>
                <w:b w:val="0"/>
                <w:bCs w:val="0"/>
                <w:color w:val="auto"/>
                <w:kern w:val="0"/>
                <w:sz w:val="24"/>
                <w:szCs w:val="24"/>
                <w:highlight w:val="none"/>
                <w:lang w:val="en-US" w:eastAsia="zh-CN"/>
              </w:rPr>
            </w:pPr>
          </w:p>
        </w:tc>
      </w:tr>
      <w:tr w14:paraId="1B8939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769" w:type="dxa"/>
            <w:noWrap w:val="0"/>
            <w:vAlign w:val="center"/>
          </w:tcPr>
          <w:p w14:paraId="1D047A48">
            <w:pPr>
              <w:autoSpaceDE w:val="0"/>
              <w:autoSpaceDN w:val="0"/>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其他符合性分析</w:t>
            </w:r>
          </w:p>
        </w:tc>
        <w:tc>
          <w:tcPr>
            <w:tcW w:w="7101" w:type="dxa"/>
            <w:gridSpan w:val="3"/>
            <w:noWrap w:val="0"/>
            <w:vAlign w:val="center"/>
          </w:tcPr>
          <w:p w14:paraId="5BDCBA74">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0" w:firstLineChars="0"/>
              <w:jc w:val="left"/>
              <w:textAlignment w:val="auto"/>
              <w:outlineLvl w:val="0"/>
              <w:rPr>
                <w:rFonts w:hint="default" w:ascii="Times New Roman" w:hAnsi="Times New Roman" w:eastAsia="宋体" w:cs="Times New Roman"/>
                <w:b/>
                <w:bCs/>
                <w:color w:val="auto"/>
                <w:sz w:val="24"/>
                <w:szCs w:val="24"/>
                <w:highlight w:val="none"/>
                <w:vertAlign w:val="baseline"/>
              </w:rPr>
            </w:pPr>
            <w:r>
              <w:rPr>
                <w:rFonts w:hint="default" w:ascii="Times New Roman" w:hAnsi="Times New Roman" w:eastAsia="宋体" w:cs="Times New Roman"/>
                <w:b/>
                <w:bCs/>
                <w:color w:val="auto"/>
                <w:sz w:val="24"/>
                <w:szCs w:val="24"/>
                <w:highlight w:val="none"/>
                <w:vertAlign w:val="baseline"/>
              </w:rPr>
              <w:t>与《产业结构调整指导目录》</w:t>
            </w:r>
            <w:r>
              <w:rPr>
                <w:rFonts w:hint="default" w:ascii="Times New Roman" w:hAnsi="Times New Roman" w:eastAsia="宋体" w:cs="Times New Roman"/>
                <w:b/>
                <w:bCs/>
                <w:color w:val="auto"/>
                <w:sz w:val="24"/>
                <w:szCs w:val="24"/>
                <w:highlight w:val="none"/>
                <w:vertAlign w:val="baseline"/>
                <w:lang w:eastAsia="zh-CN"/>
              </w:rPr>
              <w:t>（</w:t>
            </w:r>
            <w:r>
              <w:rPr>
                <w:rFonts w:hint="default" w:ascii="Times New Roman" w:hAnsi="Times New Roman" w:eastAsia="宋体" w:cs="Times New Roman"/>
                <w:b/>
                <w:bCs/>
                <w:color w:val="auto"/>
                <w:sz w:val="24"/>
                <w:szCs w:val="24"/>
                <w:highlight w:val="none"/>
                <w:vertAlign w:val="baseline"/>
              </w:rPr>
              <w:t>2024年本</w:t>
            </w:r>
            <w:r>
              <w:rPr>
                <w:rFonts w:hint="default" w:ascii="Times New Roman" w:hAnsi="Times New Roman" w:eastAsia="宋体" w:cs="Times New Roman"/>
                <w:b/>
                <w:bCs/>
                <w:color w:val="auto"/>
                <w:sz w:val="24"/>
                <w:szCs w:val="24"/>
                <w:highlight w:val="none"/>
                <w:vertAlign w:val="baseline"/>
                <w:lang w:eastAsia="zh-CN"/>
              </w:rPr>
              <w:t>）</w:t>
            </w:r>
            <w:r>
              <w:rPr>
                <w:rFonts w:hint="default" w:ascii="Times New Roman" w:hAnsi="Times New Roman" w:eastAsia="宋体" w:cs="Times New Roman"/>
                <w:b/>
                <w:bCs/>
                <w:color w:val="auto"/>
                <w:sz w:val="24"/>
                <w:szCs w:val="24"/>
                <w:highlight w:val="none"/>
                <w:vertAlign w:val="baseline"/>
              </w:rPr>
              <w:t>符合性分析</w:t>
            </w:r>
          </w:p>
          <w:p w14:paraId="30281176">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根据《产业结构调整指导目录（20</w:t>
            </w:r>
            <w:r>
              <w:rPr>
                <w:rFonts w:hint="default" w:ascii="Times New Roman" w:hAnsi="Times New Roman" w:cs="Times New Roman"/>
                <w:b w:val="0"/>
                <w:bCs w:val="0"/>
                <w:color w:val="auto"/>
                <w:kern w:val="0"/>
                <w:sz w:val="24"/>
                <w:szCs w:val="24"/>
                <w:highlight w:val="none"/>
                <w:lang w:val="en-US" w:eastAsia="zh-CN"/>
              </w:rPr>
              <w:t>24</w:t>
            </w:r>
            <w:r>
              <w:rPr>
                <w:rFonts w:hint="default" w:ascii="Times New Roman" w:hAnsi="Times New Roman" w:eastAsia="宋体" w:cs="Times New Roman"/>
                <w:b w:val="0"/>
                <w:bCs w:val="0"/>
                <w:color w:val="auto"/>
                <w:kern w:val="0"/>
                <w:sz w:val="24"/>
                <w:szCs w:val="24"/>
                <w:highlight w:val="none"/>
                <w:lang w:val="en-US" w:eastAsia="zh-CN"/>
              </w:rPr>
              <w:t>年本）》，拟建项目不属于鼓励类、限制类和淘汰类，属于允许类项目，符合国家产业政策。</w:t>
            </w:r>
          </w:p>
          <w:p w14:paraId="23391A29">
            <w:pPr>
              <w:keepNext w:val="0"/>
              <w:keepLines w:val="0"/>
              <w:pageBreakBefore w:val="0"/>
              <w:widowControl w:val="0"/>
              <w:kinsoku/>
              <w:wordWrap w:val="0"/>
              <w:overflowPunct/>
              <w:topLinePunct/>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此外，项目</w:t>
            </w:r>
            <w:r>
              <w:rPr>
                <w:rFonts w:hint="eastAsia" w:cs="Times New Roman"/>
                <w:b w:val="0"/>
                <w:bCs w:val="0"/>
                <w:color w:val="auto"/>
                <w:kern w:val="0"/>
                <w:sz w:val="24"/>
                <w:szCs w:val="24"/>
                <w:highlight w:val="none"/>
                <w:lang w:val="en-US" w:eastAsia="zh-CN"/>
              </w:rPr>
              <w:t>已</w:t>
            </w:r>
            <w:r>
              <w:rPr>
                <w:rFonts w:hint="default" w:ascii="Times New Roman" w:hAnsi="Times New Roman" w:eastAsia="宋体" w:cs="Times New Roman"/>
                <w:b w:val="0"/>
                <w:bCs w:val="0"/>
                <w:color w:val="auto"/>
                <w:kern w:val="0"/>
                <w:sz w:val="24"/>
                <w:szCs w:val="24"/>
                <w:highlight w:val="none"/>
                <w:lang w:val="en-US" w:eastAsia="zh-CN"/>
              </w:rPr>
              <w:t>取得</w:t>
            </w:r>
            <w:r>
              <w:rPr>
                <w:rFonts w:hint="eastAsia" w:ascii="Times New Roman" w:hAnsi="Times New Roman" w:eastAsia="宋体" w:cs="Times New Roman"/>
                <w:b w:val="0"/>
                <w:bCs w:val="0"/>
                <w:color w:val="auto"/>
                <w:kern w:val="0"/>
                <w:sz w:val="24"/>
                <w:szCs w:val="24"/>
                <w:highlight w:val="none"/>
                <w:lang w:val="en-US" w:eastAsia="zh-CN"/>
              </w:rPr>
              <w:t>重庆市九龙坡区发展和改革委员会</w:t>
            </w:r>
            <w:r>
              <w:rPr>
                <w:rFonts w:hint="eastAsia" w:cs="Times New Roman"/>
                <w:b w:val="0"/>
                <w:bCs w:val="0"/>
                <w:color w:val="auto"/>
                <w:kern w:val="0"/>
                <w:sz w:val="24"/>
                <w:szCs w:val="24"/>
                <w:highlight w:val="none"/>
                <w:lang w:val="en-US" w:eastAsia="zh-CN"/>
              </w:rPr>
              <w:t>下发的备案证（</w:t>
            </w:r>
            <w:r>
              <w:rPr>
                <w:rFonts w:hint="default" w:ascii="Times New Roman" w:hAnsi="Times New Roman" w:eastAsia="宋体" w:cs="Times New Roman"/>
                <w:b w:val="0"/>
                <w:bCs w:val="0"/>
                <w:color w:val="auto"/>
                <w:kern w:val="0"/>
                <w:sz w:val="24"/>
                <w:szCs w:val="24"/>
                <w:highlight w:val="none"/>
                <w:lang w:val="en-US" w:eastAsia="zh-CN"/>
              </w:rPr>
              <w:t>2507-500107-04-03-466402</w:t>
            </w:r>
            <w:r>
              <w:rPr>
                <w:rFonts w:hint="eastAsia" w:cs="Times New Roman"/>
                <w:b w:val="0"/>
                <w:bCs w:val="0"/>
                <w:color w:val="auto"/>
                <w:kern w:val="0"/>
                <w:sz w:val="24"/>
                <w:szCs w:val="24"/>
                <w:highlight w:val="none"/>
                <w:lang w:val="en-US" w:eastAsia="zh-CN"/>
              </w:rPr>
              <w:t>）</w:t>
            </w:r>
            <w:r>
              <w:rPr>
                <w:rFonts w:hint="default" w:ascii="Times New Roman" w:hAnsi="Times New Roman" w:eastAsia="宋体" w:cs="Times New Roman"/>
                <w:b w:val="0"/>
                <w:bCs w:val="0"/>
                <w:color w:val="auto"/>
                <w:kern w:val="0"/>
                <w:sz w:val="24"/>
                <w:szCs w:val="24"/>
                <w:highlight w:val="none"/>
                <w:lang w:val="en-US" w:eastAsia="zh-CN"/>
              </w:rPr>
              <w:t>，拟建项目符合产业政策的要求。</w:t>
            </w:r>
          </w:p>
          <w:p w14:paraId="7B65D352">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0" w:firstLineChars="0"/>
              <w:jc w:val="left"/>
              <w:textAlignment w:val="auto"/>
              <w:outlineLvl w:val="0"/>
              <w:rPr>
                <w:rFonts w:hint="default" w:ascii="Times New Roman" w:hAnsi="Times New Roman" w:eastAsia="宋体" w:cs="Times New Roman"/>
                <w:b/>
                <w:bCs/>
                <w:color w:val="000000" w:themeColor="text1"/>
                <w:sz w:val="24"/>
                <w:szCs w:val="24"/>
                <w:highlight w:val="none"/>
                <w:vertAlign w:val="baseline"/>
                <w14:textFill>
                  <w14:solidFill>
                    <w14:schemeClr w14:val="tx1"/>
                  </w14:solidFill>
                </w14:textFill>
              </w:rPr>
            </w:pPr>
            <w:r>
              <w:rPr>
                <w:rFonts w:hint="eastAsia" w:cs="Times New Roman"/>
                <w:b/>
                <w:bCs/>
                <w:color w:val="000000" w:themeColor="text1"/>
                <w:sz w:val="24"/>
                <w:szCs w:val="24"/>
                <w:highlight w:val="none"/>
                <w:vertAlign w:val="baseline"/>
                <w:lang w:val="en-US" w:eastAsia="zh-CN"/>
                <w14:textFill>
                  <w14:solidFill>
                    <w14:schemeClr w14:val="tx1"/>
                  </w14:solidFill>
                </w14:textFill>
              </w:rPr>
              <w:t>其他</w:t>
            </w:r>
            <w:r>
              <w:rPr>
                <w:rFonts w:hint="default" w:ascii="Times New Roman" w:hAnsi="Times New Roman" w:eastAsia="宋体" w:cs="Times New Roman"/>
                <w:b/>
                <w:bCs/>
                <w:color w:val="000000" w:themeColor="text1"/>
                <w:sz w:val="24"/>
                <w:szCs w:val="24"/>
                <w:highlight w:val="none"/>
                <w:vertAlign w:val="baseline"/>
                <w:lang w:val="en-US" w:eastAsia="zh-CN"/>
                <w14:textFill>
                  <w14:solidFill>
                    <w14:schemeClr w14:val="tx1"/>
                  </w14:solidFill>
                </w14:textFill>
              </w:rPr>
              <w:t>政策</w:t>
            </w:r>
            <w:r>
              <w:rPr>
                <w:rFonts w:hint="default" w:ascii="Times New Roman" w:hAnsi="Times New Roman" w:eastAsia="宋体" w:cs="Times New Roman"/>
                <w:b/>
                <w:bCs/>
                <w:color w:val="000000" w:themeColor="text1"/>
                <w:sz w:val="24"/>
                <w:szCs w:val="24"/>
                <w:highlight w:val="none"/>
                <w:vertAlign w:val="baseline"/>
                <w14:textFill>
                  <w14:solidFill>
                    <w14:schemeClr w14:val="tx1"/>
                  </w14:solidFill>
                </w14:textFill>
              </w:rPr>
              <w:t>符合性分析</w:t>
            </w:r>
          </w:p>
          <w:p w14:paraId="4D35134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0" w:firstLineChars="0"/>
              <w:jc w:val="left"/>
              <w:textAlignment w:val="auto"/>
              <w:outlineLvl w:val="0"/>
              <w:rPr>
                <w:rFonts w:hint="default" w:ascii="Times New Roman" w:hAnsi="Times New Roman" w:eastAsia="宋体" w:cs="Times New Roman"/>
                <w:b/>
                <w:bCs/>
                <w:color w:val="000000" w:themeColor="text1"/>
                <w:sz w:val="24"/>
                <w:szCs w:val="24"/>
                <w:highlight w:val="none"/>
                <w:vertAlign w:val="baseli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vertAlign w:val="baseline"/>
                <w14:textFill>
                  <w14:solidFill>
                    <w14:schemeClr w14:val="tx1"/>
                  </w14:solidFill>
                </w14:textFill>
              </w:rPr>
              <w:t>3.1与《重庆市发展和改革委员会关于印发重庆市产业投资准入工作手册的通知》</w:t>
            </w:r>
            <w:r>
              <w:rPr>
                <w:rFonts w:hint="default" w:ascii="Times New Roman" w:hAnsi="Times New Roman" w:eastAsia="宋体" w:cs="Times New Roman"/>
                <w:b/>
                <w:bCs/>
                <w:color w:val="000000" w:themeColor="text1"/>
                <w:sz w:val="24"/>
                <w:szCs w:val="24"/>
                <w:highlight w:val="none"/>
                <w:vertAlign w:val="baseline"/>
                <w:lang w:eastAsia="zh-CN"/>
                <w14:textFill>
                  <w14:solidFill>
                    <w14:schemeClr w14:val="tx1"/>
                  </w14:solidFill>
                </w14:textFill>
              </w:rPr>
              <w:t>（</w:t>
            </w:r>
            <w:r>
              <w:rPr>
                <w:rFonts w:hint="default" w:ascii="Times New Roman" w:hAnsi="Times New Roman" w:eastAsia="宋体" w:cs="Times New Roman"/>
                <w:b/>
                <w:bCs/>
                <w:color w:val="000000" w:themeColor="text1"/>
                <w:sz w:val="24"/>
                <w:szCs w:val="24"/>
                <w:highlight w:val="none"/>
                <w:vertAlign w:val="baseline"/>
                <w14:textFill>
                  <w14:solidFill>
                    <w14:schemeClr w14:val="tx1"/>
                  </w14:solidFill>
                </w14:textFill>
              </w:rPr>
              <w:t>渝发改投资</w:t>
            </w:r>
            <w:r>
              <w:rPr>
                <w:rFonts w:hint="eastAsia" w:cs="Times New Roman"/>
                <w:b/>
                <w:bCs/>
                <w:color w:val="000000" w:themeColor="text1"/>
                <w:sz w:val="24"/>
                <w:szCs w:val="24"/>
                <w:highlight w:val="none"/>
                <w:vertAlign w:val="baseline"/>
                <w:lang w:eastAsia="zh-CN"/>
                <w14:textFill>
                  <w14:solidFill>
                    <w14:schemeClr w14:val="tx1"/>
                  </w14:solidFill>
                </w14:textFill>
              </w:rPr>
              <w:t>〔2022〕1436号</w:t>
            </w:r>
            <w:r>
              <w:rPr>
                <w:rFonts w:hint="default" w:ascii="Times New Roman" w:hAnsi="Times New Roman" w:eastAsia="宋体" w:cs="Times New Roman"/>
                <w:b/>
                <w:bCs/>
                <w:color w:val="000000" w:themeColor="text1"/>
                <w:sz w:val="24"/>
                <w:szCs w:val="24"/>
                <w:highlight w:val="none"/>
                <w:vertAlign w:val="baseline"/>
                <w:lang w:eastAsia="zh-CN"/>
                <w14:textFill>
                  <w14:solidFill>
                    <w14:schemeClr w14:val="tx1"/>
                  </w14:solidFill>
                </w14:textFill>
              </w:rPr>
              <w:t>）</w:t>
            </w:r>
            <w:r>
              <w:rPr>
                <w:rFonts w:hint="default" w:ascii="Times New Roman" w:hAnsi="Times New Roman" w:eastAsia="宋体" w:cs="Times New Roman"/>
                <w:b/>
                <w:bCs/>
                <w:color w:val="000000" w:themeColor="text1"/>
                <w:sz w:val="24"/>
                <w:szCs w:val="24"/>
                <w:highlight w:val="none"/>
                <w:vertAlign w:val="baseline"/>
                <w14:textFill>
                  <w14:solidFill>
                    <w14:schemeClr w14:val="tx1"/>
                  </w14:solidFill>
                </w14:textFill>
              </w:rPr>
              <w:t>符合性分析</w:t>
            </w:r>
          </w:p>
          <w:p w14:paraId="2DB3815C">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拟建项目与重庆市产业投资准入工作手册符合性分析见表1</w:t>
            </w:r>
            <w:r>
              <w:rPr>
                <w:rFonts w:hint="eastAsia" w:cs="Times New Roman"/>
                <w:b w:val="0"/>
                <w:bCs w:val="0"/>
                <w:color w:val="000000" w:themeColor="text1"/>
                <w:kern w:val="0"/>
                <w:sz w:val="24"/>
                <w:szCs w:val="24"/>
                <w:highlight w:val="none"/>
                <w:lang w:val="en-US" w:eastAsia="zh-CN"/>
                <w14:textFill>
                  <w14:solidFill>
                    <w14:schemeClr w14:val="tx1"/>
                  </w14:solidFill>
                </w14:textFill>
              </w:rPr>
              <w:t>.3-1</w:t>
            </w:r>
            <w:r>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w:t>
            </w:r>
          </w:p>
          <w:p w14:paraId="44F8913A">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kern w:val="0"/>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t>表1</w:t>
            </w:r>
            <w:r>
              <w:rPr>
                <w:rFonts w:hint="eastAsia" w:cs="Times New Roman"/>
                <w:b/>
                <w:bCs/>
                <w:color w:val="000000" w:themeColor="text1"/>
                <w:kern w:val="0"/>
                <w:sz w:val="24"/>
                <w:szCs w:val="24"/>
                <w:highlight w:val="none"/>
                <w:lang w:val="en-US" w:eastAsia="zh-CN"/>
                <w14:textFill>
                  <w14:solidFill>
                    <w14:schemeClr w14:val="tx1"/>
                  </w14:solidFill>
                </w14:textFill>
              </w:rPr>
              <w:t xml:space="preserve">.3-1 </w:t>
            </w:r>
            <w:r>
              <w:rPr>
                <w:rFonts w:hint="default"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t>重庆市产业投资准入工作手册符合性分析</w:t>
            </w:r>
          </w:p>
          <w:tbl>
            <w:tblPr>
              <w:tblStyle w:val="2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90"/>
              <w:gridCol w:w="3976"/>
              <w:gridCol w:w="1464"/>
              <w:gridCol w:w="825"/>
            </w:tblGrid>
            <w:tr w14:paraId="1C0052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tcBorders>
                    <w:tl2br w:val="nil"/>
                    <w:tr2bl w:val="nil"/>
                  </w:tcBorders>
                  <w:noWrap w:val="0"/>
                  <w:vAlign w:val="center"/>
                </w:tcPr>
                <w:p w14:paraId="5D336AE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项目</w:t>
                  </w:r>
                </w:p>
              </w:tc>
              <w:tc>
                <w:tcPr>
                  <w:tcW w:w="2899" w:type="pct"/>
                  <w:tcBorders>
                    <w:tl2br w:val="nil"/>
                    <w:tr2bl w:val="nil"/>
                  </w:tcBorders>
                  <w:noWrap w:val="0"/>
                  <w:vAlign w:val="center"/>
                </w:tcPr>
                <w:p w14:paraId="1BD4018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相关准入条件（摘录）</w:t>
                  </w:r>
                </w:p>
              </w:tc>
              <w:tc>
                <w:tcPr>
                  <w:tcW w:w="1068" w:type="pct"/>
                  <w:tcBorders>
                    <w:tl2br w:val="nil"/>
                    <w:tr2bl w:val="nil"/>
                  </w:tcBorders>
                  <w:noWrap w:val="0"/>
                  <w:vAlign w:val="center"/>
                </w:tcPr>
                <w:p w14:paraId="0C4BD40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拟建项目情况</w:t>
                  </w:r>
                </w:p>
              </w:tc>
              <w:tc>
                <w:tcPr>
                  <w:tcW w:w="601" w:type="pct"/>
                  <w:tcBorders>
                    <w:tl2br w:val="nil"/>
                    <w:tr2bl w:val="nil"/>
                  </w:tcBorders>
                  <w:noWrap w:val="0"/>
                  <w:vAlign w:val="center"/>
                </w:tcPr>
                <w:p w14:paraId="732A67B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符合性</w:t>
                  </w:r>
                </w:p>
              </w:tc>
            </w:tr>
            <w:tr w14:paraId="0037E5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4"/>
                  <w:tcBorders>
                    <w:tl2br w:val="nil"/>
                    <w:tr2bl w:val="nil"/>
                  </w:tcBorders>
                  <w:noWrap w:val="0"/>
                  <w:vAlign w:val="center"/>
                </w:tcPr>
                <w:p w14:paraId="089EE81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一、全市范围内不予准入的产业</w:t>
                  </w:r>
                </w:p>
              </w:tc>
            </w:tr>
            <w:tr w14:paraId="4AD05B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tcBorders>
                    <w:tl2br w:val="nil"/>
                    <w:tr2bl w:val="nil"/>
                  </w:tcBorders>
                  <w:noWrap w:val="0"/>
                  <w:vAlign w:val="center"/>
                </w:tcPr>
                <w:p w14:paraId="5AA3529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1</w:t>
                  </w:r>
                </w:p>
              </w:tc>
              <w:tc>
                <w:tcPr>
                  <w:tcW w:w="2899" w:type="pct"/>
                  <w:tcBorders>
                    <w:tl2br w:val="nil"/>
                    <w:tr2bl w:val="nil"/>
                  </w:tcBorders>
                  <w:noWrap w:val="0"/>
                  <w:vAlign w:val="center"/>
                </w:tcPr>
                <w:p w14:paraId="34AC721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国家产业结构调整指导目录中的淘汰类</w:t>
                  </w:r>
                </w:p>
              </w:tc>
              <w:tc>
                <w:tcPr>
                  <w:tcW w:w="1068" w:type="pct"/>
                  <w:tcBorders>
                    <w:tl2br w:val="nil"/>
                    <w:tr2bl w:val="nil"/>
                  </w:tcBorders>
                  <w:noWrap w:val="0"/>
                  <w:vAlign w:val="center"/>
                </w:tcPr>
                <w:p w14:paraId="455C925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项目为O822</w:t>
                  </w:r>
                  <w:r>
                    <w:rPr>
                      <w:rFonts w:hint="eastAsia" w:cs="Times New Roman"/>
                      <w:b w:val="0"/>
                      <w:bCs w:val="0"/>
                      <w:color w:val="000000" w:themeColor="text1"/>
                      <w:kern w:val="0"/>
                      <w:sz w:val="21"/>
                      <w:szCs w:val="21"/>
                      <w:highlight w:val="none"/>
                      <w:vertAlign w:val="baseline"/>
                      <w:lang w:val="en-US" w:eastAsia="zh-CN"/>
                      <w14:textFill>
                        <w14:solidFill>
                          <w14:schemeClr w14:val="tx1"/>
                        </w14:solidFill>
                      </w14:textFill>
                    </w:rPr>
                    <w:t>2宠物医院</w:t>
                  </w: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服务，属于《产业结构调整指导目录（20</w:t>
                  </w:r>
                  <w:r>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t>24</w:t>
                  </w: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年本）》允许类</w:t>
                  </w:r>
                </w:p>
              </w:tc>
              <w:tc>
                <w:tcPr>
                  <w:tcW w:w="601" w:type="pct"/>
                  <w:tcBorders>
                    <w:tl2br w:val="nil"/>
                    <w:tr2bl w:val="nil"/>
                  </w:tcBorders>
                  <w:noWrap w:val="0"/>
                  <w:vAlign w:val="center"/>
                </w:tcPr>
                <w:p w14:paraId="76317D2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符合</w:t>
                  </w:r>
                </w:p>
              </w:tc>
            </w:tr>
            <w:tr w14:paraId="276EDC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tcBorders>
                    <w:tl2br w:val="nil"/>
                    <w:tr2bl w:val="nil"/>
                  </w:tcBorders>
                  <w:noWrap w:val="0"/>
                  <w:vAlign w:val="center"/>
                </w:tcPr>
                <w:p w14:paraId="0279F48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2</w:t>
                  </w:r>
                </w:p>
              </w:tc>
              <w:tc>
                <w:tcPr>
                  <w:tcW w:w="2899" w:type="pct"/>
                  <w:tcBorders>
                    <w:tl2br w:val="nil"/>
                    <w:tr2bl w:val="nil"/>
                  </w:tcBorders>
                  <w:noWrap w:val="0"/>
                  <w:vAlign w:val="center"/>
                </w:tcPr>
                <w:p w14:paraId="115FF46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天然林商业性采伐</w:t>
                  </w:r>
                </w:p>
              </w:tc>
              <w:tc>
                <w:tcPr>
                  <w:tcW w:w="1068" w:type="pct"/>
                  <w:tcBorders>
                    <w:tl2br w:val="nil"/>
                    <w:tr2bl w:val="nil"/>
                  </w:tcBorders>
                  <w:noWrap w:val="0"/>
                  <w:vAlign w:val="center"/>
                </w:tcPr>
                <w:p w14:paraId="12C7F05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拟建项目不属于天然林商业性采伐</w:t>
                  </w:r>
                </w:p>
              </w:tc>
              <w:tc>
                <w:tcPr>
                  <w:tcW w:w="601" w:type="pct"/>
                  <w:tcBorders>
                    <w:tl2br w:val="nil"/>
                    <w:tr2bl w:val="nil"/>
                  </w:tcBorders>
                  <w:noWrap w:val="0"/>
                  <w:vAlign w:val="center"/>
                </w:tcPr>
                <w:p w14:paraId="4B4C835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符合</w:t>
                  </w:r>
                </w:p>
              </w:tc>
            </w:tr>
            <w:tr w14:paraId="73B593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tcBorders>
                    <w:tl2br w:val="nil"/>
                    <w:tr2bl w:val="nil"/>
                  </w:tcBorders>
                  <w:noWrap w:val="0"/>
                  <w:vAlign w:val="center"/>
                </w:tcPr>
                <w:p w14:paraId="4FCB53D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3</w:t>
                  </w:r>
                </w:p>
              </w:tc>
              <w:tc>
                <w:tcPr>
                  <w:tcW w:w="2899" w:type="pct"/>
                  <w:tcBorders>
                    <w:tl2br w:val="nil"/>
                    <w:tr2bl w:val="nil"/>
                  </w:tcBorders>
                  <w:noWrap w:val="0"/>
                  <w:vAlign w:val="center"/>
                </w:tcPr>
                <w:p w14:paraId="725250B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法律法规和相关政策明令不予准入的其他项目</w:t>
                  </w:r>
                </w:p>
              </w:tc>
              <w:tc>
                <w:tcPr>
                  <w:tcW w:w="1068" w:type="pct"/>
                  <w:tcBorders>
                    <w:tl2br w:val="nil"/>
                    <w:tr2bl w:val="nil"/>
                  </w:tcBorders>
                  <w:noWrap w:val="0"/>
                  <w:vAlign w:val="center"/>
                </w:tcPr>
                <w:p w14:paraId="4F0B1FF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拟建项目不属于法律法规和相关政策明令不予准入的其他项目</w:t>
                  </w:r>
                </w:p>
              </w:tc>
              <w:tc>
                <w:tcPr>
                  <w:tcW w:w="601" w:type="pct"/>
                  <w:tcBorders>
                    <w:tl2br w:val="nil"/>
                    <w:tr2bl w:val="nil"/>
                  </w:tcBorders>
                  <w:noWrap w:val="0"/>
                  <w:vAlign w:val="center"/>
                </w:tcPr>
                <w:p w14:paraId="6F70F42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符合</w:t>
                  </w:r>
                </w:p>
              </w:tc>
            </w:tr>
            <w:tr w14:paraId="211C90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4"/>
                  <w:tcBorders>
                    <w:tl2br w:val="nil"/>
                    <w:tr2bl w:val="nil"/>
                  </w:tcBorders>
                  <w:noWrap w:val="0"/>
                  <w:vAlign w:val="center"/>
                </w:tcPr>
                <w:p w14:paraId="5968B91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二、重点区域范围内不予准入的产业</w:t>
                  </w:r>
                </w:p>
              </w:tc>
            </w:tr>
            <w:tr w14:paraId="4763B0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tcBorders>
                    <w:tl2br w:val="nil"/>
                    <w:tr2bl w:val="nil"/>
                  </w:tcBorders>
                  <w:noWrap w:val="0"/>
                  <w:vAlign w:val="center"/>
                </w:tcPr>
                <w:p w14:paraId="70AA539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1</w:t>
                  </w:r>
                </w:p>
              </w:tc>
              <w:tc>
                <w:tcPr>
                  <w:tcW w:w="2899" w:type="pct"/>
                  <w:tcBorders>
                    <w:tl2br w:val="nil"/>
                    <w:tr2bl w:val="nil"/>
                  </w:tcBorders>
                  <w:noWrap w:val="0"/>
                  <w:vAlign w:val="center"/>
                </w:tcPr>
                <w:p w14:paraId="5181953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外环绕城高速公路以内长江、嘉陵江水域采砂。</w:t>
                  </w:r>
                </w:p>
              </w:tc>
              <w:tc>
                <w:tcPr>
                  <w:tcW w:w="1068" w:type="pct"/>
                  <w:tcBorders>
                    <w:tl2br w:val="nil"/>
                    <w:tr2bl w:val="nil"/>
                  </w:tcBorders>
                  <w:noWrap w:val="0"/>
                  <w:vAlign w:val="center"/>
                </w:tcPr>
                <w:p w14:paraId="759305F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拟建项目不属于左列项目</w:t>
                  </w:r>
                </w:p>
              </w:tc>
              <w:tc>
                <w:tcPr>
                  <w:tcW w:w="601" w:type="pct"/>
                  <w:tcBorders>
                    <w:tl2br w:val="nil"/>
                    <w:tr2bl w:val="nil"/>
                  </w:tcBorders>
                  <w:noWrap w:val="0"/>
                  <w:vAlign w:val="center"/>
                </w:tcPr>
                <w:p w14:paraId="5C327C9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符合</w:t>
                  </w:r>
                </w:p>
              </w:tc>
            </w:tr>
            <w:tr w14:paraId="3D1102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tcBorders>
                    <w:tl2br w:val="nil"/>
                    <w:tr2bl w:val="nil"/>
                  </w:tcBorders>
                  <w:noWrap w:val="0"/>
                  <w:vAlign w:val="center"/>
                </w:tcPr>
                <w:p w14:paraId="412FD10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2</w:t>
                  </w:r>
                </w:p>
              </w:tc>
              <w:tc>
                <w:tcPr>
                  <w:tcW w:w="2899" w:type="pct"/>
                  <w:tcBorders>
                    <w:tl2br w:val="nil"/>
                    <w:tr2bl w:val="nil"/>
                  </w:tcBorders>
                  <w:noWrap w:val="0"/>
                  <w:vAlign w:val="center"/>
                </w:tcPr>
                <w:p w14:paraId="3F02BB5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二十五度以上陡坡地开垦种植农作物。</w:t>
                  </w:r>
                </w:p>
              </w:tc>
              <w:tc>
                <w:tcPr>
                  <w:tcW w:w="1068" w:type="pct"/>
                  <w:tcBorders>
                    <w:tl2br w:val="nil"/>
                    <w:tr2bl w:val="nil"/>
                  </w:tcBorders>
                  <w:noWrap w:val="0"/>
                  <w:vAlign w:val="center"/>
                </w:tcPr>
                <w:p w14:paraId="3A29122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拟建项目不涉及</w:t>
                  </w:r>
                </w:p>
              </w:tc>
              <w:tc>
                <w:tcPr>
                  <w:tcW w:w="601" w:type="pct"/>
                  <w:tcBorders>
                    <w:tl2br w:val="nil"/>
                    <w:tr2bl w:val="nil"/>
                  </w:tcBorders>
                  <w:noWrap w:val="0"/>
                  <w:vAlign w:val="center"/>
                </w:tcPr>
                <w:p w14:paraId="649E6AF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符合</w:t>
                  </w:r>
                </w:p>
              </w:tc>
            </w:tr>
            <w:tr w14:paraId="76A422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tcBorders>
                    <w:tl2br w:val="nil"/>
                    <w:tr2bl w:val="nil"/>
                  </w:tcBorders>
                  <w:noWrap w:val="0"/>
                  <w:vAlign w:val="center"/>
                </w:tcPr>
                <w:p w14:paraId="06CE6F2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3</w:t>
                  </w:r>
                </w:p>
              </w:tc>
              <w:tc>
                <w:tcPr>
                  <w:tcW w:w="2899" w:type="pct"/>
                  <w:tcBorders>
                    <w:tl2br w:val="nil"/>
                    <w:tr2bl w:val="nil"/>
                  </w:tcBorders>
                  <w:noWrap w:val="0"/>
                  <w:vAlign w:val="center"/>
                </w:tcPr>
                <w:p w14:paraId="1624A6E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在自然保护区核心区、缓冲区的岸线和河段范围内投资建设旅游和生产经营项目。</w:t>
                  </w:r>
                </w:p>
              </w:tc>
              <w:tc>
                <w:tcPr>
                  <w:tcW w:w="1068" w:type="pct"/>
                  <w:tcBorders>
                    <w:tl2br w:val="nil"/>
                    <w:tr2bl w:val="nil"/>
                  </w:tcBorders>
                  <w:noWrap w:val="0"/>
                  <w:vAlign w:val="center"/>
                </w:tcPr>
                <w:p w14:paraId="1FB514B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拟建项目不涉及</w:t>
                  </w:r>
                </w:p>
              </w:tc>
              <w:tc>
                <w:tcPr>
                  <w:tcW w:w="601" w:type="pct"/>
                  <w:tcBorders>
                    <w:tl2br w:val="nil"/>
                    <w:tr2bl w:val="nil"/>
                  </w:tcBorders>
                  <w:noWrap w:val="0"/>
                  <w:vAlign w:val="center"/>
                </w:tcPr>
                <w:p w14:paraId="2E0DBE7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符合</w:t>
                  </w:r>
                </w:p>
              </w:tc>
            </w:tr>
            <w:tr w14:paraId="7B3A1F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tcBorders>
                    <w:tl2br w:val="nil"/>
                    <w:tr2bl w:val="nil"/>
                  </w:tcBorders>
                  <w:noWrap w:val="0"/>
                  <w:vAlign w:val="center"/>
                </w:tcPr>
                <w:p w14:paraId="685A578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4</w:t>
                  </w:r>
                </w:p>
              </w:tc>
              <w:tc>
                <w:tcPr>
                  <w:tcW w:w="2899" w:type="pct"/>
                  <w:tcBorders>
                    <w:tl2br w:val="nil"/>
                    <w:tr2bl w:val="nil"/>
                  </w:tcBorders>
                  <w:noWrap w:val="0"/>
                  <w:vAlign w:val="center"/>
                </w:tcPr>
                <w:p w14:paraId="7A10938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饮用水水源一级保护区的岸线和河段范围内新建、改建、与供水设施和保护水源无关的项目，以及网箱养殖、畜禽养殖、放养畜禽、旅游等可能污染饮用水水体的投资建设项目。在饮用水水源二级保护区的岸线和河段范围内新建、改建、排放污染物的投资建设项目。</w:t>
                  </w:r>
                </w:p>
              </w:tc>
              <w:tc>
                <w:tcPr>
                  <w:tcW w:w="1068" w:type="pct"/>
                  <w:tcBorders>
                    <w:tl2br w:val="nil"/>
                    <w:tr2bl w:val="nil"/>
                  </w:tcBorders>
                  <w:noWrap w:val="0"/>
                  <w:vAlign w:val="center"/>
                </w:tcPr>
                <w:p w14:paraId="28C6B90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拟建项目不涉及饮用水水源</w:t>
                  </w:r>
                </w:p>
              </w:tc>
              <w:tc>
                <w:tcPr>
                  <w:tcW w:w="601" w:type="pct"/>
                  <w:tcBorders>
                    <w:tl2br w:val="nil"/>
                    <w:tr2bl w:val="nil"/>
                  </w:tcBorders>
                  <w:noWrap w:val="0"/>
                  <w:vAlign w:val="center"/>
                </w:tcPr>
                <w:p w14:paraId="5B7EF86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符合</w:t>
                  </w:r>
                </w:p>
              </w:tc>
            </w:tr>
            <w:tr w14:paraId="54D3E8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tcBorders>
                    <w:tl2br w:val="nil"/>
                    <w:tr2bl w:val="nil"/>
                  </w:tcBorders>
                  <w:noWrap w:val="0"/>
                  <w:vAlign w:val="center"/>
                </w:tcPr>
                <w:p w14:paraId="31B7B1B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5</w:t>
                  </w:r>
                </w:p>
              </w:tc>
              <w:tc>
                <w:tcPr>
                  <w:tcW w:w="2899" w:type="pct"/>
                  <w:tcBorders>
                    <w:tl2br w:val="nil"/>
                    <w:tr2bl w:val="nil"/>
                  </w:tcBorders>
                  <w:noWrap w:val="0"/>
                  <w:vAlign w:val="center"/>
                </w:tcPr>
                <w:p w14:paraId="72990C6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长江干流岸线3公里范围内和重要支流岸线1公里范围内新建、改建、扩建尾矿库、冶炼渣库和磷石膏库（以提升安全、生态环境保护水平为目的的改建除外）</w:t>
                  </w:r>
                </w:p>
              </w:tc>
              <w:tc>
                <w:tcPr>
                  <w:tcW w:w="1068" w:type="pct"/>
                  <w:tcBorders>
                    <w:tl2br w:val="nil"/>
                    <w:tr2bl w:val="nil"/>
                  </w:tcBorders>
                  <w:noWrap w:val="0"/>
                  <w:vAlign w:val="center"/>
                </w:tcPr>
                <w:p w14:paraId="239BEDE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拟建项目不属于左列项目</w:t>
                  </w:r>
                </w:p>
              </w:tc>
              <w:tc>
                <w:tcPr>
                  <w:tcW w:w="601" w:type="pct"/>
                  <w:tcBorders>
                    <w:tl2br w:val="nil"/>
                    <w:tr2bl w:val="nil"/>
                  </w:tcBorders>
                  <w:noWrap w:val="0"/>
                  <w:vAlign w:val="center"/>
                </w:tcPr>
                <w:p w14:paraId="00D1242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符合</w:t>
                  </w:r>
                </w:p>
              </w:tc>
            </w:tr>
            <w:tr w14:paraId="7C1315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tcBorders>
                    <w:tl2br w:val="nil"/>
                    <w:tr2bl w:val="nil"/>
                  </w:tcBorders>
                  <w:noWrap w:val="0"/>
                  <w:vAlign w:val="center"/>
                </w:tcPr>
                <w:p w14:paraId="2295421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6</w:t>
                  </w:r>
                </w:p>
              </w:tc>
              <w:tc>
                <w:tcPr>
                  <w:tcW w:w="2899" w:type="pct"/>
                  <w:tcBorders>
                    <w:tl2br w:val="nil"/>
                    <w:tr2bl w:val="nil"/>
                  </w:tcBorders>
                  <w:noWrap w:val="0"/>
                  <w:vAlign w:val="center"/>
                </w:tcPr>
                <w:p w14:paraId="2D57C49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在风景名胜区核心景区的岸线和河段范围内投资建设与风景名胜资源保护无关的项目。</w:t>
                  </w:r>
                </w:p>
              </w:tc>
              <w:tc>
                <w:tcPr>
                  <w:tcW w:w="1068" w:type="pct"/>
                  <w:tcBorders>
                    <w:tl2br w:val="nil"/>
                    <w:tr2bl w:val="nil"/>
                  </w:tcBorders>
                  <w:noWrap w:val="0"/>
                  <w:vAlign w:val="center"/>
                </w:tcPr>
                <w:p w14:paraId="6BE49DB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拟建项目不涉及</w:t>
                  </w:r>
                </w:p>
              </w:tc>
              <w:tc>
                <w:tcPr>
                  <w:tcW w:w="601" w:type="pct"/>
                  <w:tcBorders>
                    <w:tl2br w:val="nil"/>
                    <w:tr2bl w:val="nil"/>
                  </w:tcBorders>
                  <w:noWrap w:val="0"/>
                  <w:vAlign w:val="center"/>
                </w:tcPr>
                <w:p w14:paraId="378E78C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符合</w:t>
                  </w:r>
                </w:p>
              </w:tc>
            </w:tr>
            <w:tr w14:paraId="24C57D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tcBorders>
                    <w:tl2br w:val="nil"/>
                    <w:tr2bl w:val="nil"/>
                  </w:tcBorders>
                  <w:noWrap w:val="0"/>
                  <w:vAlign w:val="center"/>
                </w:tcPr>
                <w:p w14:paraId="48B6B05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7</w:t>
                  </w:r>
                </w:p>
              </w:tc>
              <w:tc>
                <w:tcPr>
                  <w:tcW w:w="2899" w:type="pct"/>
                  <w:tcBorders>
                    <w:tl2br w:val="nil"/>
                    <w:tr2bl w:val="nil"/>
                  </w:tcBorders>
                  <w:noWrap w:val="0"/>
                  <w:vAlign w:val="center"/>
                </w:tcPr>
                <w:p w14:paraId="6825CFB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在国家湿地公园的岸线和河段范围内挖沙、采矿，以及任何不符合主体功能定位的投资建设项目。</w:t>
                  </w:r>
                </w:p>
              </w:tc>
              <w:tc>
                <w:tcPr>
                  <w:tcW w:w="1068" w:type="pct"/>
                  <w:tcBorders>
                    <w:tl2br w:val="nil"/>
                    <w:tr2bl w:val="nil"/>
                  </w:tcBorders>
                  <w:noWrap w:val="0"/>
                  <w:vAlign w:val="center"/>
                </w:tcPr>
                <w:p w14:paraId="3ACDCBF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拟建项目不涉及</w:t>
                  </w:r>
                </w:p>
              </w:tc>
              <w:tc>
                <w:tcPr>
                  <w:tcW w:w="601" w:type="pct"/>
                  <w:tcBorders>
                    <w:tl2br w:val="nil"/>
                    <w:tr2bl w:val="nil"/>
                  </w:tcBorders>
                  <w:noWrap w:val="0"/>
                  <w:vAlign w:val="center"/>
                </w:tcPr>
                <w:p w14:paraId="22227FA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符合</w:t>
                  </w:r>
                </w:p>
              </w:tc>
            </w:tr>
            <w:tr w14:paraId="43EAE8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tcBorders>
                    <w:tl2br w:val="nil"/>
                    <w:tr2bl w:val="nil"/>
                  </w:tcBorders>
                  <w:noWrap w:val="0"/>
                  <w:vAlign w:val="center"/>
                </w:tcPr>
                <w:p w14:paraId="631B937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8</w:t>
                  </w:r>
                </w:p>
              </w:tc>
              <w:tc>
                <w:tcPr>
                  <w:tcW w:w="2899" w:type="pct"/>
                  <w:tcBorders>
                    <w:tl2br w:val="nil"/>
                    <w:tr2bl w:val="nil"/>
                  </w:tcBorders>
                  <w:noWrap w:val="0"/>
                  <w:vAlign w:val="center"/>
                </w:tcPr>
                <w:p w14:paraId="5322499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在《长江岸线保护和开发利用总体规划》划定的岸线保护区和保留区内投资建设除事关公共安全及公众利益的防洪护岸、河道治理、供水、生态环境保护、航道整治、国家重要基础设施以外的项目。</w:t>
                  </w:r>
                </w:p>
              </w:tc>
              <w:tc>
                <w:tcPr>
                  <w:tcW w:w="1068" w:type="pct"/>
                  <w:tcBorders>
                    <w:tl2br w:val="nil"/>
                    <w:tr2bl w:val="nil"/>
                  </w:tcBorders>
                  <w:noWrap w:val="0"/>
                  <w:vAlign w:val="center"/>
                </w:tcPr>
                <w:p w14:paraId="61DBCD4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拟建项目不涉及</w:t>
                  </w:r>
                </w:p>
              </w:tc>
              <w:tc>
                <w:tcPr>
                  <w:tcW w:w="601" w:type="pct"/>
                  <w:tcBorders>
                    <w:tl2br w:val="nil"/>
                    <w:tr2bl w:val="nil"/>
                  </w:tcBorders>
                  <w:noWrap w:val="0"/>
                  <w:vAlign w:val="center"/>
                </w:tcPr>
                <w:p w14:paraId="6023FAD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符合</w:t>
                  </w:r>
                </w:p>
              </w:tc>
            </w:tr>
            <w:tr w14:paraId="159CE6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tcBorders>
                    <w:tl2br w:val="nil"/>
                    <w:tr2bl w:val="nil"/>
                  </w:tcBorders>
                  <w:noWrap w:val="0"/>
                  <w:vAlign w:val="center"/>
                </w:tcPr>
                <w:p w14:paraId="5FB492A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9</w:t>
                  </w:r>
                </w:p>
              </w:tc>
              <w:tc>
                <w:tcPr>
                  <w:tcW w:w="2899" w:type="pct"/>
                  <w:tcBorders>
                    <w:tl2br w:val="nil"/>
                    <w:tr2bl w:val="nil"/>
                  </w:tcBorders>
                  <w:noWrap w:val="0"/>
                  <w:vAlign w:val="center"/>
                </w:tcPr>
                <w:p w14:paraId="21EED3E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在《全国重要江河湖泊水功能区划》划定的河段及湖泊保护区、保留区内投资建设不利于水资源及自然生态保护的项目。</w:t>
                  </w:r>
                </w:p>
              </w:tc>
              <w:tc>
                <w:tcPr>
                  <w:tcW w:w="1068" w:type="pct"/>
                  <w:tcBorders>
                    <w:tl2br w:val="nil"/>
                    <w:tr2bl w:val="nil"/>
                  </w:tcBorders>
                  <w:noWrap w:val="0"/>
                  <w:vAlign w:val="center"/>
                </w:tcPr>
                <w:p w14:paraId="2CD3F0A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拟建项目不涉及</w:t>
                  </w:r>
                </w:p>
              </w:tc>
              <w:tc>
                <w:tcPr>
                  <w:tcW w:w="601" w:type="pct"/>
                  <w:tcBorders>
                    <w:tl2br w:val="nil"/>
                    <w:tr2bl w:val="nil"/>
                  </w:tcBorders>
                  <w:noWrap w:val="0"/>
                  <w:vAlign w:val="center"/>
                </w:tcPr>
                <w:p w14:paraId="119E506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符合</w:t>
                  </w:r>
                </w:p>
              </w:tc>
            </w:tr>
            <w:tr w14:paraId="71030E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4"/>
                  <w:tcBorders>
                    <w:tl2br w:val="nil"/>
                    <w:tr2bl w:val="nil"/>
                  </w:tcBorders>
                  <w:noWrap w:val="0"/>
                  <w:vAlign w:val="center"/>
                </w:tcPr>
                <w:p w14:paraId="1ABCB48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三、全市范围内限制准入的产业</w:t>
                  </w:r>
                </w:p>
              </w:tc>
            </w:tr>
            <w:tr w14:paraId="0AF063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98" w:hRule="atLeast"/>
              </w:trPr>
              <w:tc>
                <w:tcPr>
                  <w:tcW w:w="3330" w:type="pct"/>
                  <w:gridSpan w:val="2"/>
                  <w:tcBorders>
                    <w:tl2br w:val="nil"/>
                    <w:tr2bl w:val="nil"/>
                  </w:tcBorders>
                  <w:noWrap w:val="0"/>
                  <w:vAlign w:val="center"/>
                </w:tcPr>
                <w:p w14:paraId="4A12801B">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1、新建、不符合国家产能置换要求的严重过剩产能行业的项目。新建、不符合要求的高耗能高排放项目。</w:t>
                  </w:r>
                </w:p>
                <w:p w14:paraId="1BF23BB1">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2、新建、不符合国家石化、现代煤化工等产业布局规划的项目。</w:t>
                  </w:r>
                </w:p>
                <w:p w14:paraId="4859ABC4">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3、在合规园区外新建、钢铁、石化、化工、焦化、建材、有色、制浆造纸等高污染项目。</w:t>
                  </w:r>
                </w:p>
                <w:p w14:paraId="5539BF3D">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4、《汽车产业投资管理规定》（国家发展和改革委员会令第22号）明确禁止建设的汽车投资项目。</w:t>
                  </w:r>
                </w:p>
              </w:tc>
              <w:tc>
                <w:tcPr>
                  <w:tcW w:w="1068" w:type="pct"/>
                  <w:tcBorders>
                    <w:tl2br w:val="nil"/>
                    <w:tr2bl w:val="nil"/>
                  </w:tcBorders>
                  <w:noWrap w:val="0"/>
                  <w:vAlign w:val="center"/>
                </w:tcPr>
                <w:p w14:paraId="0C6F12C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1、项目属于宠物医院扩建项目，不属于高耗能高排放项目</w:t>
                  </w:r>
                  <w:r>
                    <w:rPr>
                      <w:rFonts w:hint="eastAsia" w:cs="Times New Roman"/>
                      <w:b w:val="0"/>
                      <w:bCs w:val="0"/>
                      <w:color w:val="000000" w:themeColor="text1"/>
                      <w:kern w:val="0"/>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2、项目不属于石化、现代煤化工项目</w:t>
                  </w:r>
                  <w:r>
                    <w:rPr>
                      <w:rFonts w:hint="eastAsia" w:cs="Times New Roman"/>
                      <w:b w:val="0"/>
                      <w:bCs w:val="0"/>
                      <w:color w:val="000000" w:themeColor="text1"/>
                      <w:kern w:val="0"/>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3、项目不属于新建、钢铁、石化、化工、焦化、建材、有色、制浆造纸等高污染项目</w:t>
                  </w:r>
                  <w:r>
                    <w:rPr>
                      <w:rFonts w:hint="eastAsia" w:cs="Times New Roman"/>
                      <w:b w:val="0"/>
                      <w:bCs w:val="0"/>
                      <w:color w:val="000000" w:themeColor="text1"/>
                      <w:kern w:val="0"/>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4、项目不属于文件规定的禁止投资的项目。</w:t>
                  </w:r>
                </w:p>
              </w:tc>
              <w:tc>
                <w:tcPr>
                  <w:tcW w:w="601" w:type="pct"/>
                  <w:tcBorders>
                    <w:tl2br w:val="nil"/>
                    <w:tr2bl w:val="nil"/>
                  </w:tcBorders>
                  <w:noWrap w:val="0"/>
                  <w:vAlign w:val="center"/>
                </w:tcPr>
                <w:p w14:paraId="762D9D1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符合</w:t>
                  </w:r>
                </w:p>
              </w:tc>
            </w:tr>
            <w:tr w14:paraId="14FDAA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4"/>
                  <w:tcBorders>
                    <w:tl2br w:val="nil"/>
                    <w:tr2bl w:val="nil"/>
                  </w:tcBorders>
                  <w:noWrap w:val="0"/>
                  <w:vAlign w:val="center"/>
                </w:tcPr>
                <w:p w14:paraId="3621534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四、重点区域范围内限制准入的产业</w:t>
                  </w:r>
                </w:p>
              </w:tc>
            </w:tr>
            <w:tr w14:paraId="47979B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30" w:type="pct"/>
                  <w:gridSpan w:val="2"/>
                  <w:tcBorders>
                    <w:tl2br w:val="nil"/>
                    <w:tr2bl w:val="nil"/>
                  </w:tcBorders>
                  <w:noWrap w:val="0"/>
                  <w:vAlign w:val="center"/>
                </w:tcPr>
                <w:p w14:paraId="1137D7CF">
                  <w:pPr>
                    <w:keepNext w:val="0"/>
                    <w:keepLines w:val="0"/>
                    <w:pageBreakBefore w:val="0"/>
                    <w:widowControl w:val="0"/>
                    <w:numPr>
                      <w:ilvl w:val="0"/>
                      <w:numId w:val="2"/>
                    </w:numPr>
                    <w:kinsoku/>
                    <w:wordWrap/>
                    <w:overflowPunct/>
                    <w:topLinePunct w:val="0"/>
                    <w:autoSpaceDE w:val="0"/>
                    <w:autoSpaceDN w:val="0"/>
                    <w:bidi w:val="0"/>
                    <w:adjustRightInd w:val="0"/>
                    <w:snapToGrid w:val="0"/>
                    <w:spacing w:line="240" w:lineRule="auto"/>
                    <w:jc w:val="left"/>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长江干支流、重要湖泊岸线1公里范围内新建、化工园区和化工项目，长江、嘉陵江、乌江岸线1公里范围内布局新建纸浆制造、印染等存在环境风险的项目。</w:t>
                  </w:r>
                </w:p>
                <w:p w14:paraId="21BAEE95">
                  <w:pPr>
                    <w:keepNext w:val="0"/>
                    <w:keepLines w:val="0"/>
                    <w:pageBreakBefore w:val="0"/>
                    <w:widowControl w:val="0"/>
                    <w:numPr>
                      <w:ilvl w:val="0"/>
                      <w:numId w:val="2"/>
                    </w:numPr>
                    <w:kinsoku/>
                    <w:wordWrap/>
                    <w:overflowPunct/>
                    <w:topLinePunct w:val="0"/>
                    <w:autoSpaceDE w:val="0"/>
                    <w:autoSpaceDN w:val="0"/>
                    <w:bidi w:val="0"/>
                    <w:adjustRightInd w:val="0"/>
                    <w:snapToGrid w:val="0"/>
                    <w:spacing w:line="240" w:lineRule="auto"/>
                    <w:jc w:val="left"/>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在水产种质资源保护区的岸线和河段范围内新建围湖造田等投资建设项目。</w:t>
                  </w:r>
                </w:p>
              </w:tc>
              <w:tc>
                <w:tcPr>
                  <w:tcW w:w="1068" w:type="pct"/>
                  <w:tcBorders>
                    <w:tl2br w:val="nil"/>
                    <w:tr2bl w:val="nil"/>
                  </w:tcBorders>
                  <w:noWrap w:val="0"/>
                  <w:vAlign w:val="center"/>
                </w:tcPr>
                <w:p w14:paraId="7B5A684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项目属于宠物医院扩建项目，项目不属于新建、化工园区和化工项目，不属于新建纸浆制造、印染等存在环境风险的项目</w:t>
                  </w:r>
                  <w:r>
                    <w:rPr>
                      <w:rFonts w:hint="eastAsia" w:cs="Times New Roman"/>
                      <w:b w:val="0"/>
                      <w:bCs w:val="0"/>
                      <w:color w:val="000000" w:themeColor="text1"/>
                      <w:kern w:val="0"/>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不属于围湖造田等项目</w:t>
                  </w:r>
                </w:p>
              </w:tc>
              <w:tc>
                <w:tcPr>
                  <w:tcW w:w="601" w:type="pct"/>
                  <w:tcBorders>
                    <w:tl2br w:val="nil"/>
                    <w:tr2bl w:val="nil"/>
                  </w:tcBorders>
                  <w:noWrap w:val="0"/>
                  <w:vAlign w:val="center"/>
                </w:tcPr>
                <w:p w14:paraId="06C9611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符合</w:t>
                  </w:r>
                </w:p>
              </w:tc>
            </w:tr>
          </w:tbl>
          <w:p w14:paraId="63A81FC7">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b/>
                <w:bCs/>
                <w:color w:val="000000" w:themeColor="text1"/>
                <w:kern w:val="0"/>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由表1</w:t>
            </w:r>
            <w:r>
              <w:rPr>
                <w:rFonts w:hint="eastAsia" w:cs="Times New Roman"/>
                <w:b w:val="0"/>
                <w:bCs w:val="0"/>
                <w:color w:val="000000" w:themeColor="text1"/>
                <w:kern w:val="0"/>
                <w:sz w:val="24"/>
                <w:szCs w:val="24"/>
                <w:highlight w:val="none"/>
                <w:lang w:val="en-US" w:eastAsia="zh-CN"/>
                <w14:textFill>
                  <w14:solidFill>
                    <w14:schemeClr w14:val="tx1"/>
                  </w14:solidFill>
                </w14:textFill>
              </w:rPr>
              <w:t>.3-1</w:t>
            </w:r>
            <w:r>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可见，拟建项目的建设符合《重庆市发展和改革委员会重庆市经济和信息化委员会关于严格工业布局和准入的通知》的相关要求。</w:t>
            </w:r>
          </w:p>
          <w:p w14:paraId="2F9F7AE4">
            <w:pPr>
              <w:keepNext w:val="0"/>
              <w:keepLines w:val="0"/>
              <w:pageBreakBefore w:val="0"/>
              <w:widowControl w:val="0"/>
              <w:kinsoku/>
              <w:wordWrap/>
              <w:overflowPunct/>
              <w:topLinePunct w:val="0"/>
              <w:autoSpaceDE w:val="0"/>
              <w:autoSpaceDN w:val="0"/>
              <w:bidi w:val="0"/>
              <w:adjustRightInd w:val="0"/>
              <w:snapToGrid w:val="0"/>
              <w:spacing w:line="360" w:lineRule="auto"/>
              <w:ind w:firstLine="0" w:firstLineChars="0"/>
              <w:jc w:val="center"/>
              <w:textAlignment w:val="auto"/>
              <w:rPr>
                <w:rFonts w:hint="default" w:ascii="Times New Roman" w:hAnsi="Times New Roman" w:eastAsia="宋体" w:cs="Times New Roman"/>
                <w:b/>
                <w:bCs/>
                <w:color w:val="000000" w:themeColor="text1"/>
                <w:kern w:val="0"/>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vertAlign w:val="baseline"/>
                <w:lang w:val="en-US" w:eastAsia="zh-CN"/>
                <w14:textFill>
                  <w14:solidFill>
                    <w14:schemeClr w14:val="tx1"/>
                  </w14:solidFill>
                </w14:textFill>
              </w:rPr>
              <w:t>3.2与《长江经济带发展负面清单指南（试行，2022年版）》（长江办（2022）</w:t>
            </w:r>
          </w:p>
          <w:p w14:paraId="64708965">
            <w:pPr>
              <w:keepNext w:val="0"/>
              <w:keepLines w:val="0"/>
              <w:pageBreakBefore w:val="0"/>
              <w:widowControl w:val="0"/>
              <w:kinsoku/>
              <w:wordWrap/>
              <w:overflowPunct/>
              <w:topLinePunct w:val="0"/>
              <w:autoSpaceDE w:val="0"/>
              <w:autoSpaceDN w:val="0"/>
              <w:bidi w:val="0"/>
              <w:adjustRightInd w:val="0"/>
              <w:snapToGrid w:val="0"/>
              <w:spacing w:line="360" w:lineRule="auto"/>
              <w:ind w:firstLine="0" w:firstLineChars="0"/>
              <w:jc w:val="left"/>
              <w:textAlignment w:val="auto"/>
              <w:rPr>
                <w:rFonts w:hint="default" w:ascii="Times New Roman" w:hAnsi="Times New Roman" w:eastAsia="宋体" w:cs="Times New Roman"/>
                <w:b/>
                <w:bCs/>
                <w:color w:val="000000" w:themeColor="text1"/>
                <w:kern w:val="0"/>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vertAlign w:val="baseline"/>
                <w:lang w:val="en-US" w:eastAsia="zh-CN"/>
                <w14:textFill>
                  <w14:solidFill>
                    <w14:schemeClr w14:val="tx1"/>
                  </w14:solidFill>
                </w14:textFill>
              </w:rPr>
              <w:t>7号）的符合性</w:t>
            </w:r>
          </w:p>
          <w:p w14:paraId="43878353">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根据推动长江经济带发展领导小组办公室</w:t>
            </w:r>
            <w:r>
              <w:rPr>
                <w:rFonts w:hint="eastAsia" w:cs="Times New Roman"/>
                <w:b w:val="0"/>
                <w:bCs w:val="0"/>
                <w:color w:val="000000" w:themeColor="text1"/>
                <w:kern w:val="0"/>
                <w:sz w:val="24"/>
                <w:szCs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关于印发《长江经济带发展负面清单指南（试行，2022年版）》的通知</w:t>
            </w:r>
            <w:r>
              <w:rPr>
                <w:rFonts w:hint="eastAsia" w:cs="Times New Roman"/>
                <w:b w:val="0"/>
                <w:bCs w:val="0"/>
                <w:color w:val="000000" w:themeColor="text1"/>
                <w:kern w:val="0"/>
                <w:sz w:val="24"/>
                <w:szCs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(长江办</w:t>
            </w:r>
            <w:r>
              <w:rPr>
                <w:rFonts w:hint="eastAsia" w:cs="Times New Roman"/>
                <w:b w:val="0"/>
                <w:bCs w:val="0"/>
                <w:color w:val="000000" w:themeColor="text1"/>
                <w:kern w:val="0"/>
                <w:sz w:val="24"/>
                <w:szCs w:val="24"/>
                <w:highlight w:val="none"/>
                <w:lang w:val="en-US" w:eastAsia="zh-CN"/>
                <w14:textFill>
                  <w14:solidFill>
                    <w14:schemeClr w14:val="tx1"/>
                  </w14:solidFill>
                </w14:textFill>
              </w:rPr>
              <w:t>〔2022〕7号</w:t>
            </w:r>
            <w:r>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)，拟建项目与文件符合性见表</w:t>
            </w:r>
            <w:r>
              <w:rPr>
                <w:rFonts w:hint="eastAsia" w:cs="Times New Roman"/>
                <w:b w:val="0"/>
                <w:bCs w:val="0"/>
                <w:color w:val="000000" w:themeColor="text1"/>
                <w:kern w:val="0"/>
                <w:sz w:val="24"/>
                <w:szCs w:val="24"/>
                <w:highlight w:val="none"/>
                <w:lang w:val="en-US" w:eastAsia="zh-CN"/>
                <w14:textFill>
                  <w14:solidFill>
                    <w14:schemeClr w14:val="tx1"/>
                  </w14:solidFill>
                </w14:textFill>
              </w:rPr>
              <w:t>1.3-2</w:t>
            </w:r>
            <w:r>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w:t>
            </w:r>
          </w:p>
          <w:p w14:paraId="1027C51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kern w:val="0"/>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t>表1</w:t>
            </w:r>
            <w:r>
              <w:rPr>
                <w:rFonts w:hint="eastAsia" w:cs="Times New Roman"/>
                <w:b/>
                <w:bCs/>
                <w:color w:val="000000" w:themeColor="text1"/>
                <w:kern w:val="0"/>
                <w:sz w:val="24"/>
                <w:szCs w:val="24"/>
                <w:highlight w:val="none"/>
                <w:lang w:val="en-US" w:eastAsia="zh-CN"/>
                <w14:textFill>
                  <w14:solidFill>
                    <w14:schemeClr w14:val="tx1"/>
                  </w14:solidFill>
                </w14:textFill>
              </w:rPr>
              <w:t>.3-2</w:t>
            </w:r>
            <w:r>
              <w:rPr>
                <w:rFonts w:hint="default"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t>《长江经济带发展负面清单指南（试行，2022年版）》符合性分析表</w:t>
            </w:r>
          </w:p>
          <w:tbl>
            <w:tblPr>
              <w:tblStyle w:val="2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6"/>
              <w:gridCol w:w="3382"/>
              <w:gridCol w:w="1911"/>
              <w:gridCol w:w="876"/>
            </w:tblGrid>
            <w:tr w14:paraId="24D752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 w:type="pct"/>
                  <w:tcBorders>
                    <w:tl2br w:val="nil"/>
                    <w:tr2bl w:val="nil"/>
                  </w:tcBorders>
                  <w:noWrap w:val="0"/>
                  <w:vAlign w:val="center"/>
                </w:tcPr>
                <w:p w14:paraId="162CF46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序号</w:t>
                  </w:r>
                </w:p>
              </w:tc>
              <w:tc>
                <w:tcPr>
                  <w:tcW w:w="2466" w:type="pct"/>
                  <w:tcBorders>
                    <w:tl2br w:val="nil"/>
                    <w:tr2bl w:val="nil"/>
                  </w:tcBorders>
                  <w:noWrap w:val="0"/>
                  <w:vAlign w:val="center"/>
                </w:tcPr>
                <w:p w14:paraId="709D6B0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《长江经济带发展负面清单指南（试行，2022年版）》</w:t>
                  </w:r>
                </w:p>
              </w:tc>
              <w:tc>
                <w:tcPr>
                  <w:tcW w:w="1393" w:type="pct"/>
                  <w:tcBorders>
                    <w:tl2br w:val="nil"/>
                    <w:tr2bl w:val="nil"/>
                  </w:tcBorders>
                  <w:noWrap w:val="0"/>
                  <w:vAlign w:val="center"/>
                </w:tcPr>
                <w:p w14:paraId="0D32269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项目情况</w:t>
                  </w:r>
                </w:p>
              </w:tc>
              <w:tc>
                <w:tcPr>
                  <w:tcW w:w="639" w:type="pct"/>
                  <w:tcBorders>
                    <w:tl2br w:val="nil"/>
                    <w:tr2bl w:val="nil"/>
                  </w:tcBorders>
                  <w:noWrap w:val="0"/>
                  <w:vAlign w:val="center"/>
                </w:tcPr>
                <w:p w14:paraId="03BB513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符合性</w:t>
                  </w:r>
                </w:p>
              </w:tc>
            </w:tr>
            <w:tr w14:paraId="53F3C2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 w:type="pct"/>
                  <w:tcBorders>
                    <w:tl2br w:val="nil"/>
                    <w:tr2bl w:val="nil"/>
                  </w:tcBorders>
                  <w:noWrap w:val="0"/>
                  <w:vAlign w:val="center"/>
                </w:tcPr>
                <w:p w14:paraId="17B15B7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1</w:t>
                  </w:r>
                </w:p>
              </w:tc>
              <w:tc>
                <w:tcPr>
                  <w:tcW w:w="2466" w:type="pct"/>
                  <w:tcBorders>
                    <w:tl2br w:val="nil"/>
                    <w:tr2bl w:val="nil"/>
                  </w:tcBorders>
                  <w:noWrap w:val="0"/>
                  <w:vAlign w:val="center"/>
                </w:tcPr>
                <w:p w14:paraId="6977ADB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禁止建设不符合全国和省级港口布局规划以及港口总体规划的码头项目，禁止建设不符合《长江干线过江通道布局规划》的过长江通道项目</w:t>
                  </w:r>
                </w:p>
              </w:tc>
              <w:tc>
                <w:tcPr>
                  <w:tcW w:w="1393" w:type="pct"/>
                  <w:tcBorders>
                    <w:tl2br w:val="nil"/>
                    <w:tr2bl w:val="nil"/>
                  </w:tcBorders>
                  <w:noWrap w:val="0"/>
                  <w:vAlign w:val="center"/>
                </w:tcPr>
                <w:p w14:paraId="3620D67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项目不建设码头、长江通道</w:t>
                  </w:r>
                </w:p>
              </w:tc>
              <w:tc>
                <w:tcPr>
                  <w:tcW w:w="639" w:type="pct"/>
                  <w:tcBorders>
                    <w:tl2br w:val="nil"/>
                    <w:tr2bl w:val="nil"/>
                  </w:tcBorders>
                  <w:noWrap w:val="0"/>
                  <w:vAlign w:val="center"/>
                </w:tcPr>
                <w:p w14:paraId="53EE128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符合</w:t>
                  </w:r>
                </w:p>
              </w:tc>
            </w:tr>
            <w:tr w14:paraId="765BBF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 w:type="pct"/>
                  <w:tcBorders>
                    <w:tl2br w:val="nil"/>
                    <w:tr2bl w:val="nil"/>
                  </w:tcBorders>
                  <w:noWrap w:val="0"/>
                  <w:vAlign w:val="center"/>
                </w:tcPr>
                <w:p w14:paraId="5FCAA0E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2</w:t>
                  </w:r>
                </w:p>
              </w:tc>
              <w:tc>
                <w:tcPr>
                  <w:tcW w:w="2466" w:type="pct"/>
                  <w:tcBorders>
                    <w:tl2br w:val="nil"/>
                    <w:tr2bl w:val="nil"/>
                  </w:tcBorders>
                  <w:noWrap w:val="0"/>
                  <w:vAlign w:val="center"/>
                </w:tcPr>
                <w:p w14:paraId="5289F18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禁止在自然保护区核心区、缓冲区的岸线和河段范围内投资建设旅游和生产经营项目。禁止在风景名胜区核心景区的岸线和河段范围内投资建设与风景名胜资源保护无关的项目。</w:t>
                  </w:r>
                </w:p>
              </w:tc>
              <w:tc>
                <w:tcPr>
                  <w:tcW w:w="1393" w:type="pct"/>
                  <w:tcBorders>
                    <w:tl2br w:val="nil"/>
                    <w:tr2bl w:val="nil"/>
                  </w:tcBorders>
                  <w:noWrap w:val="0"/>
                  <w:vAlign w:val="center"/>
                </w:tcPr>
                <w:p w14:paraId="1E39876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项目不涉及上述区域</w:t>
                  </w:r>
                </w:p>
              </w:tc>
              <w:tc>
                <w:tcPr>
                  <w:tcW w:w="639" w:type="pct"/>
                  <w:tcBorders>
                    <w:tl2br w:val="nil"/>
                    <w:tr2bl w:val="nil"/>
                  </w:tcBorders>
                  <w:noWrap w:val="0"/>
                  <w:vAlign w:val="center"/>
                </w:tcPr>
                <w:p w14:paraId="5C47B69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符合</w:t>
                  </w:r>
                </w:p>
              </w:tc>
            </w:tr>
            <w:tr w14:paraId="19F509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 w:type="pct"/>
                  <w:tcBorders>
                    <w:tl2br w:val="nil"/>
                    <w:tr2bl w:val="nil"/>
                  </w:tcBorders>
                  <w:noWrap w:val="0"/>
                  <w:vAlign w:val="center"/>
                </w:tcPr>
                <w:p w14:paraId="7469C52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3</w:t>
                  </w:r>
                </w:p>
              </w:tc>
              <w:tc>
                <w:tcPr>
                  <w:tcW w:w="2466" w:type="pct"/>
                  <w:tcBorders>
                    <w:tl2br w:val="nil"/>
                    <w:tr2bl w:val="nil"/>
                  </w:tcBorders>
                  <w:noWrap w:val="0"/>
                  <w:vAlign w:val="center"/>
                </w:tcPr>
                <w:p w14:paraId="109B2C6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1393" w:type="pct"/>
                  <w:tcBorders>
                    <w:tl2br w:val="nil"/>
                    <w:tr2bl w:val="nil"/>
                  </w:tcBorders>
                  <w:noWrap w:val="0"/>
                  <w:vAlign w:val="center"/>
                </w:tcPr>
                <w:p w14:paraId="197E4F1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项目不涉及上述区域</w:t>
                  </w:r>
                </w:p>
              </w:tc>
              <w:tc>
                <w:tcPr>
                  <w:tcW w:w="639" w:type="pct"/>
                  <w:tcBorders>
                    <w:tl2br w:val="nil"/>
                    <w:tr2bl w:val="nil"/>
                  </w:tcBorders>
                  <w:noWrap w:val="0"/>
                  <w:vAlign w:val="center"/>
                </w:tcPr>
                <w:p w14:paraId="0FA356F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符合</w:t>
                  </w:r>
                </w:p>
              </w:tc>
            </w:tr>
            <w:tr w14:paraId="1DA43B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 w:type="pct"/>
                  <w:tcBorders>
                    <w:tl2br w:val="nil"/>
                    <w:tr2bl w:val="nil"/>
                  </w:tcBorders>
                  <w:noWrap w:val="0"/>
                  <w:vAlign w:val="center"/>
                </w:tcPr>
                <w:p w14:paraId="5F0C1F4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4</w:t>
                  </w:r>
                </w:p>
              </w:tc>
              <w:tc>
                <w:tcPr>
                  <w:tcW w:w="2466" w:type="pct"/>
                  <w:tcBorders>
                    <w:tl2br w:val="nil"/>
                    <w:tr2bl w:val="nil"/>
                  </w:tcBorders>
                  <w:noWrap w:val="0"/>
                  <w:vAlign w:val="center"/>
                </w:tcPr>
                <w:p w14:paraId="05A8BE8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禁止在水产种质资源保护区的岸线和河段范围内新建围湖造田、图海造地或围填海等投资建设项目。禁止在国家湿地公园的岸线和河段范围内挖沙、采矿，以及任何不符合主体功能定位的投资建设项目。</w:t>
                  </w:r>
                </w:p>
              </w:tc>
              <w:tc>
                <w:tcPr>
                  <w:tcW w:w="1393" w:type="pct"/>
                  <w:tcBorders>
                    <w:tl2br w:val="nil"/>
                    <w:tr2bl w:val="nil"/>
                  </w:tcBorders>
                  <w:noWrap w:val="0"/>
                  <w:vAlign w:val="center"/>
                </w:tcPr>
                <w:p w14:paraId="40F545B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项目不涉及上述区域</w:t>
                  </w:r>
                </w:p>
              </w:tc>
              <w:tc>
                <w:tcPr>
                  <w:tcW w:w="639" w:type="pct"/>
                  <w:tcBorders>
                    <w:tl2br w:val="nil"/>
                    <w:tr2bl w:val="nil"/>
                  </w:tcBorders>
                  <w:noWrap w:val="0"/>
                  <w:vAlign w:val="center"/>
                </w:tcPr>
                <w:p w14:paraId="6785F62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符合</w:t>
                  </w:r>
                </w:p>
              </w:tc>
            </w:tr>
            <w:tr w14:paraId="28B4C9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 w:type="pct"/>
                  <w:tcBorders>
                    <w:tl2br w:val="nil"/>
                    <w:tr2bl w:val="nil"/>
                  </w:tcBorders>
                  <w:noWrap w:val="0"/>
                  <w:vAlign w:val="center"/>
                </w:tcPr>
                <w:p w14:paraId="5A06806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5</w:t>
                  </w:r>
                </w:p>
              </w:tc>
              <w:tc>
                <w:tcPr>
                  <w:tcW w:w="2466" w:type="pct"/>
                  <w:tcBorders>
                    <w:tl2br w:val="nil"/>
                    <w:tr2bl w:val="nil"/>
                  </w:tcBorders>
                  <w:noWrap w:val="0"/>
                  <w:vAlign w:val="center"/>
                </w:tcPr>
                <w:p w14:paraId="23EEDB4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禁止违法利用、占用长江流域河湖岸线。禁止在《长江岸线保护和开发利用总体规划》划定的岸线保护区和保留区内投资建设除事关公共安全及公众利益的离洪护岸、河道治理、供水、生态环境保护、航道整治、国家重要基础设施以外的项目。禁止在《全国重要江河湖泊水功能区划》划定的河段及湖泊保护区、保留区内投资建设不利于水资源及自然生态保护的项目。</w:t>
                  </w:r>
                </w:p>
              </w:tc>
              <w:tc>
                <w:tcPr>
                  <w:tcW w:w="1393" w:type="pct"/>
                  <w:tcBorders>
                    <w:tl2br w:val="nil"/>
                    <w:tr2bl w:val="nil"/>
                  </w:tcBorders>
                  <w:noWrap w:val="0"/>
                  <w:vAlign w:val="center"/>
                </w:tcPr>
                <w:p w14:paraId="01A1FA5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项目为动物医院，位于</w:t>
                  </w:r>
                  <w:r>
                    <w:rPr>
                      <w:rFonts w:hint="eastAsia" w:cs="Times New Roman"/>
                      <w:color w:val="000000" w:themeColor="text1"/>
                      <w:szCs w:val="21"/>
                      <w:highlight w:val="none"/>
                      <w:lang w:val="en-US" w:eastAsia="zh-CN"/>
                      <w14:textFill>
                        <w14:solidFill>
                          <w14:schemeClr w14:val="tx1"/>
                        </w14:solidFill>
                      </w14:textFill>
                    </w:rPr>
                    <w:t>重庆市九龙坡区二郎街道火炬大道100号附24号及附23-2号</w:t>
                  </w: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，不涉及上述区域</w:t>
                  </w:r>
                </w:p>
              </w:tc>
              <w:tc>
                <w:tcPr>
                  <w:tcW w:w="639" w:type="pct"/>
                  <w:tcBorders>
                    <w:tl2br w:val="nil"/>
                    <w:tr2bl w:val="nil"/>
                  </w:tcBorders>
                  <w:noWrap w:val="0"/>
                  <w:vAlign w:val="center"/>
                </w:tcPr>
                <w:p w14:paraId="5A54BD3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符合</w:t>
                  </w:r>
                </w:p>
              </w:tc>
            </w:tr>
            <w:tr w14:paraId="347DCA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 w:type="pct"/>
                  <w:tcBorders>
                    <w:tl2br w:val="nil"/>
                    <w:tr2bl w:val="nil"/>
                  </w:tcBorders>
                  <w:noWrap w:val="0"/>
                  <w:vAlign w:val="center"/>
                </w:tcPr>
                <w:p w14:paraId="7DFC6CF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6</w:t>
                  </w:r>
                </w:p>
              </w:tc>
              <w:tc>
                <w:tcPr>
                  <w:tcW w:w="2466" w:type="pct"/>
                  <w:tcBorders>
                    <w:tl2br w:val="nil"/>
                    <w:tr2bl w:val="nil"/>
                  </w:tcBorders>
                  <w:noWrap w:val="0"/>
                  <w:vAlign w:val="center"/>
                </w:tcPr>
                <w:p w14:paraId="28E94AF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禁止未经许可在长江干支流及湖泊新设、改设或扩大排污口。</w:t>
                  </w:r>
                </w:p>
              </w:tc>
              <w:tc>
                <w:tcPr>
                  <w:tcW w:w="1393" w:type="pct"/>
                  <w:tcBorders>
                    <w:tl2br w:val="nil"/>
                    <w:tr2bl w:val="nil"/>
                  </w:tcBorders>
                  <w:noWrap w:val="0"/>
                  <w:vAlign w:val="center"/>
                </w:tcPr>
                <w:p w14:paraId="78A5E54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项目不涉及排污口工程</w:t>
                  </w:r>
                </w:p>
              </w:tc>
              <w:tc>
                <w:tcPr>
                  <w:tcW w:w="639" w:type="pct"/>
                  <w:tcBorders>
                    <w:tl2br w:val="nil"/>
                    <w:tr2bl w:val="nil"/>
                  </w:tcBorders>
                  <w:noWrap w:val="0"/>
                  <w:vAlign w:val="center"/>
                </w:tcPr>
                <w:p w14:paraId="5CCF6F1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符合</w:t>
                  </w:r>
                </w:p>
              </w:tc>
            </w:tr>
            <w:tr w14:paraId="5CA8F0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 w:type="pct"/>
                  <w:tcBorders>
                    <w:tl2br w:val="nil"/>
                    <w:tr2bl w:val="nil"/>
                  </w:tcBorders>
                  <w:noWrap w:val="0"/>
                  <w:vAlign w:val="center"/>
                </w:tcPr>
                <w:p w14:paraId="7DDDE55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7</w:t>
                  </w:r>
                </w:p>
              </w:tc>
              <w:tc>
                <w:tcPr>
                  <w:tcW w:w="2466" w:type="pct"/>
                  <w:tcBorders>
                    <w:tl2br w:val="nil"/>
                    <w:tr2bl w:val="nil"/>
                  </w:tcBorders>
                  <w:noWrap w:val="0"/>
                  <w:vAlign w:val="center"/>
                </w:tcPr>
                <w:p w14:paraId="37B4AA8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禁止在</w:t>
                  </w:r>
                  <w:r>
                    <w:rPr>
                      <w:rFonts w:hint="eastAsia" w:cs="Times New Roman"/>
                      <w:b w:val="0"/>
                      <w:bCs w:val="0"/>
                      <w:color w:val="000000" w:themeColor="text1"/>
                      <w:kern w:val="0"/>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一江一口两湖七河</w:t>
                  </w:r>
                  <w:r>
                    <w:rPr>
                      <w:rFonts w:hint="eastAsia" w:cs="Times New Roman"/>
                      <w:b w:val="0"/>
                      <w:bCs w:val="0"/>
                      <w:color w:val="000000" w:themeColor="text1"/>
                      <w:kern w:val="0"/>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和332个水生生物保护区开展生产性捕捞。</w:t>
                  </w:r>
                </w:p>
              </w:tc>
              <w:tc>
                <w:tcPr>
                  <w:tcW w:w="1393" w:type="pct"/>
                  <w:tcBorders>
                    <w:tl2br w:val="nil"/>
                    <w:tr2bl w:val="nil"/>
                  </w:tcBorders>
                  <w:noWrap w:val="0"/>
                  <w:vAlign w:val="center"/>
                </w:tcPr>
                <w:p w14:paraId="79AA680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项目不进行生产性捕捞</w:t>
                  </w:r>
                </w:p>
              </w:tc>
              <w:tc>
                <w:tcPr>
                  <w:tcW w:w="639" w:type="pct"/>
                  <w:tcBorders>
                    <w:tl2br w:val="nil"/>
                    <w:tr2bl w:val="nil"/>
                  </w:tcBorders>
                  <w:noWrap w:val="0"/>
                  <w:vAlign w:val="center"/>
                </w:tcPr>
                <w:p w14:paraId="1518A66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符合</w:t>
                  </w:r>
                </w:p>
              </w:tc>
            </w:tr>
            <w:tr w14:paraId="7D0DE7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 w:type="pct"/>
                  <w:tcBorders>
                    <w:tl2br w:val="nil"/>
                    <w:tr2bl w:val="nil"/>
                  </w:tcBorders>
                  <w:noWrap w:val="0"/>
                  <w:vAlign w:val="center"/>
                </w:tcPr>
                <w:p w14:paraId="459FE5E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8</w:t>
                  </w:r>
                </w:p>
              </w:tc>
              <w:tc>
                <w:tcPr>
                  <w:tcW w:w="2466" w:type="pct"/>
                  <w:tcBorders>
                    <w:tl2br w:val="nil"/>
                    <w:tr2bl w:val="nil"/>
                  </w:tcBorders>
                  <w:noWrap w:val="0"/>
                  <w:vAlign w:val="center"/>
                </w:tcPr>
                <w:p w14:paraId="5597678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禁止在长江干支流、重要湖泊</w:t>
                  </w:r>
                  <w:r>
                    <w:rPr>
                      <w:rFonts w:hint="eastAsia" w:cs="Times New Roman"/>
                      <w:b w:val="0"/>
                      <w:bCs w:val="0"/>
                      <w:color w:val="000000" w:themeColor="text1"/>
                      <w:kern w:val="0"/>
                      <w:sz w:val="21"/>
                      <w:szCs w:val="21"/>
                      <w:highlight w:val="none"/>
                      <w:vertAlign w:val="baseline"/>
                      <w:lang w:val="en-US" w:eastAsia="zh-CN"/>
                      <w14:textFill>
                        <w14:solidFill>
                          <w14:schemeClr w14:val="tx1"/>
                        </w14:solidFill>
                      </w14:textFill>
                    </w:rPr>
                    <w:t>沿线</w:t>
                  </w: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1393" w:type="pct"/>
                  <w:tcBorders>
                    <w:tl2br w:val="nil"/>
                    <w:tr2bl w:val="nil"/>
                  </w:tcBorders>
                  <w:noWrap w:val="0"/>
                  <w:vAlign w:val="center"/>
                </w:tcPr>
                <w:p w14:paraId="7E4F3BA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项目不属于化工园区及化工项目</w:t>
                  </w:r>
                  <w:r>
                    <w:rPr>
                      <w:rFonts w:hint="eastAsia" w:cs="Times New Roman"/>
                      <w:b w:val="0"/>
                      <w:bCs w:val="0"/>
                      <w:color w:val="000000" w:themeColor="text1"/>
                      <w:kern w:val="0"/>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项目不属于尾矿库、冶炼渣车、磷石膏库。</w:t>
                  </w:r>
                </w:p>
              </w:tc>
              <w:tc>
                <w:tcPr>
                  <w:tcW w:w="639" w:type="pct"/>
                  <w:tcBorders>
                    <w:tl2br w:val="nil"/>
                    <w:tr2bl w:val="nil"/>
                  </w:tcBorders>
                  <w:noWrap w:val="0"/>
                  <w:vAlign w:val="center"/>
                </w:tcPr>
                <w:p w14:paraId="2187A36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符合</w:t>
                  </w:r>
                </w:p>
              </w:tc>
            </w:tr>
            <w:tr w14:paraId="0EFF71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36" w:hRule="atLeast"/>
              </w:trPr>
              <w:tc>
                <w:tcPr>
                  <w:tcW w:w="500" w:type="pct"/>
                  <w:tcBorders>
                    <w:tl2br w:val="nil"/>
                    <w:tr2bl w:val="nil"/>
                  </w:tcBorders>
                  <w:noWrap w:val="0"/>
                  <w:vAlign w:val="center"/>
                </w:tcPr>
                <w:p w14:paraId="18BD4BF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9</w:t>
                  </w:r>
                </w:p>
              </w:tc>
              <w:tc>
                <w:tcPr>
                  <w:tcW w:w="2466" w:type="pct"/>
                  <w:tcBorders>
                    <w:tl2br w:val="nil"/>
                    <w:tr2bl w:val="nil"/>
                  </w:tcBorders>
                  <w:noWrap w:val="0"/>
                  <w:vAlign w:val="center"/>
                </w:tcPr>
                <w:p w14:paraId="00421CD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禁止在合规园区外新建、扩建钢铁、石化、化工、焦化、建材、有色、制浆造纸等高污染项目。</w:t>
                  </w:r>
                </w:p>
              </w:tc>
              <w:tc>
                <w:tcPr>
                  <w:tcW w:w="1393" w:type="pct"/>
                  <w:tcBorders>
                    <w:tl2br w:val="nil"/>
                    <w:tr2bl w:val="nil"/>
                  </w:tcBorders>
                  <w:noWrap w:val="0"/>
                  <w:vAlign w:val="center"/>
                </w:tcPr>
                <w:p w14:paraId="3F8DBBF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项目为动物医院，不涉及</w:t>
                  </w:r>
                </w:p>
              </w:tc>
              <w:tc>
                <w:tcPr>
                  <w:tcW w:w="639" w:type="pct"/>
                  <w:vMerge w:val="restart"/>
                  <w:tcBorders>
                    <w:tl2br w:val="nil"/>
                    <w:tr2bl w:val="nil"/>
                  </w:tcBorders>
                  <w:noWrap w:val="0"/>
                  <w:vAlign w:val="center"/>
                </w:tcPr>
                <w:p w14:paraId="078017D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符合</w:t>
                  </w:r>
                </w:p>
              </w:tc>
            </w:tr>
            <w:tr w14:paraId="29CB23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 w:type="pct"/>
                  <w:tcBorders>
                    <w:tl2br w:val="nil"/>
                    <w:tr2bl w:val="nil"/>
                  </w:tcBorders>
                  <w:noWrap w:val="0"/>
                  <w:vAlign w:val="center"/>
                </w:tcPr>
                <w:p w14:paraId="42FEAE4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10</w:t>
                  </w:r>
                </w:p>
              </w:tc>
              <w:tc>
                <w:tcPr>
                  <w:tcW w:w="2466" w:type="pct"/>
                  <w:tcBorders>
                    <w:tl2br w:val="nil"/>
                    <w:tr2bl w:val="nil"/>
                  </w:tcBorders>
                  <w:noWrap w:val="0"/>
                  <w:vAlign w:val="center"/>
                </w:tcPr>
                <w:p w14:paraId="7FC2A8B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禁止新建、扩建不符合国家石化、现代煤化工等产业布局规划的项目。</w:t>
                  </w:r>
                </w:p>
              </w:tc>
              <w:tc>
                <w:tcPr>
                  <w:tcW w:w="1393" w:type="pct"/>
                  <w:tcBorders>
                    <w:tl2br w:val="nil"/>
                    <w:tr2bl w:val="nil"/>
                  </w:tcBorders>
                  <w:noWrap w:val="0"/>
                  <w:vAlign w:val="center"/>
                </w:tcPr>
                <w:p w14:paraId="79E64EE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项目为动物医院，不涉及</w:t>
                  </w:r>
                </w:p>
              </w:tc>
              <w:tc>
                <w:tcPr>
                  <w:tcW w:w="639" w:type="pct"/>
                  <w:vMerge w:val="continue"/>
                  <w:tcBorders>
                    <w:tl2br w:val="nil"/>
                    <w:tr2bl w:val="nil"/>
                  </w:tcBorders>
                  <w:noWrap w:val="0"/>
                  <w:vAlign w:val="center"/>
                </w:tcPr>
                <w:p w14:paraId="5F1BE84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p>
              </w:tc>
            </w:tr>
            <w:tr w14:paraId="0AED0D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 w:type="pct"/>
                  <w:tcBorders>
                    <w:tl2br w:val="nil"/>
                    <w:tr2bl w:val="nil"/>
                  </w:tcBorders>
                  <w:noWrap w:val="0"/>
                  <w:vAlign w:val="center"/>
                </w:tcPr>
                <w:p w14:paraId="4193D21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11</w:t>
                  </w:r>
                </w:p>
              </w:tc>
              <w:tc>
                <w:tcPr>
                  <w:tcW w:w="2466" w:type="pct"/>
                  <w:tcBorders>
                    <w:tl2br w:val="nil"/>
                    <w:tr2bl w:val="nil"/>
                  </w:tcBorders>
                  <w:noWrap w:val="0"/>
                  <w:vAlign w:val="center"/>
                </w:tcPr>
                <w:p w14:paraId="190438B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禁止新建、扩建法律法规和相关政策明令禁止的落后产能项目。禁止新建、扩建不符合国家产能置换要求的严重过剩产能行业的项目。禁止新建、扩建不符合要求的高耗能高排放项目。</w:t>
                  </w:r>
                </w:p>
              </w:tc>
              <w:tc>
                <w:tcPr>
                  <w:tcW w:w="1393" w:type="pct"/>
                  <w:tcBorders>
                    <w:tl2br w:val="nil"/>
                    <w:tr2bl w:val="nil"/>
                  </w:tcBorders>
                  <w:noWrap w:val="0"/>
                  <w:vAlign w:val="center"/>
                </w:tcPr>
                <w:p w14:paraId="1FA6F81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项目为动物医院，不涉及，不属于过剩产能行业和高耗能高</w:t>
                  </w:r>
                </w:p>
                <w:p w14:paraId="421FAC7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排放项目</w:t>
                  </w:r>
                </w:p>
              </w:tc>
              <w:tc>
                <w:tcPr>
                  <w:tcW w:w="639" w:type="pct"/>
                  <w:tcBorders>
                    <w:tl2br w:val="nil"/>
                    <w:tr2bl w:val="nil"/>
                  </w:tcBorders>
                  <w:noWrap w:val="0"/>
                  <w:vAlign w:val="center"/>
                </w:tcPr>
                <w:p w14:paraId="28C26C6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符合</w:t>
                  </w:r>
                </w:p>
              </w:tc>
            </w:tr>
            <w:tr w14:paraId="13D536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 w:type="pct"/>
                  <w:tcBorders>
                    <w:tl2br w:val="nil"/>
                    <w:tr2bl w:val="nil"/>
                  </w:tcBorders>
                  <w:noWrap w:val="0"/>
                  <w:vAlign w:val="center"/>
                </w:tcPr>
                <w:p w14:paraId="434504F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12</w:t>
                  </w:r>
                </w:p>
              </w:tc>
              <w:tc>
                <w:tcPr>
                  <w:tcW w:w="2466" w:type="pct"/>
                  <w:tcBorders>
                    <w:tl2br w:val="nil"/>
                    <w:tr2bl w:val="nil"/>
                  </w:tcBorders>
                  <w:noWrap w:val="0"/>
                  <w:vAlign w:val="center"/>
                </w:tcPr>
                <w:p w14:paraId="0526528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法律法规及相关政策文件有更加严格规定的从其规定。</w:t>
                  </w:r>
                </w:p>
              </w:tc>
              <w:tc>
                <w:tcPr>
                  <w:tcW w:w="1393" w:type="pct"/>
                  <w:tcBorders>
                    <w:tl2br w:val="nil"/>
                    <w:tr2bl w:val="nil"/>
                  </w:tcBorders>
                  <w:noWrap w:val="0"/>
                  <w:vAlign w:val="center"/>
                </w:tcPr>
                <w:p w14:paraId="35F99B1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拟建项目将严格执行法律法规及相关政策文件要求</w:t>
                  </w:r>
                </w:p>
              </w:tc>
              <w:tc>
                <w:tcPr>
                  <w:tcW w:w="639" w:type="pct"/>
                  <w:tcBorders>
                    <w:tl2br w:val="nil"/>
                    <w:tr2bl w:val="nil"/>
                  </w:tcBorders>
                  <w:noWrap w:val="0"/>
                  <w:vAlign w:val="center"/>
                </w:tcPr>
                <w:p w14:paraId="267E7ED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符合</w:t>
                  </w:r>
                </w:p>
              </w:tc>
            </w:tr>
          </w:tbl>
          <w:p w14:paraId="2F45142F">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由上表1</w:t>
            </w:r>
            <w:r>
              <w:rPr>
                <w:rFonts w:hint="eastAsia" w:cs="Times New Roman"/>
                <w:b w:val="0"/>
                <w:bCs w:val="0"/>
                <w:color w:val="000000" w:themeColor="text1"/>
                <w:kern w:val="0"/>
                <w:sz w:val="24"/>
                <w:szCs w:val="24"/>
                <w:highlight w:val="none"/>
                <w:lang w:val="en-US" w:eastAsia="zh-CN"/>
                <w14:textFill>
                  <w14:solidFill>
                    <w14:schemeClr w14:val="tx1"/>
                  </w14:solidFill>
                </w14:textFill>
              </w:rPr>
              <w:t>.3-2</w:t>
            </w:r>
            <w:r>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知，拟建项目符合推动长江经济带发展领导小组办公室</w:t>
            </w:r>
            <w:r>
              <w:rPr>
                <w:rFonts w:hint="eastAsia" w:cs="Times New Roman"/>
                <w:b w:val="0"/>
                <w:bCs w:val="0"/>
                <w:color w:val="000000" w:themeColor="text1"/>
                <w:kern w:val="0"/>
                <w:sz w:val="24"/>
                <w:szCs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关于印发《长江经济带发展负面清单指南（试行，2022年版）》的通知</w:t>
            </w:r>
            <w:r>
              <w:rPr>
                <w:rFonts w:hint="eastAsia" w:cs="Times New Roman"/>
                <w:b w:val="0"/>
                <w:bCs w:val="0"/>
                <w:color w:val="000000" w:themeColor="text1"/>
                <w:kern w:val="0"/>
                <w:sz w:val="24"/>
                <w:szCs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（长江办</w:t>
            </w:r>
            <w:r>
              <w:rPr>
                <w:rFonts w:hint="eastAsia" w:cs="Times New Roman"/>
                <w:b w:val="0"/>
                <w:bCs w:val="0"/>
                <w:color w:val="000000" w:themeColor="text1"/>
                <w:kern w:val="0"/>
                <w:sz w:val="24"/>
                <w:szCs w:val="24"/>
                <w:highlight w:val="none"/>
                <w:lang w:val="en-US" w:eastAsia="zh-CN"/>
                <w14:textFill>
                  <w14:solidFill>
                    <w14:schemeClr w14:val="tx1"/>
                  </w14:solidFill>
                </w14:textFill>
              </w:rPr>
              <w:t>〔2022〕7号</w:t>
            </w:r>
            <w:r>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）相关要求。</w:t>
            </w:r>
          </w:p>
          <w:p w14:paraId="14A9A4DA">
            <w:pPr>
              <w:keepNext w:val="0"/>
              <w:keepLines w:val="0"/>
              <w:pageBreakBefore w:val="0"/>
              <w:widowControl w:val="0"/>
              <w:kinsoku/>
              <w:wordWrap/>
              <w:overflowPunct/>
              <w:topLinePunct w:val="0"/>
              <w:autoSpaceDE w:val="0"/>
              <w:autoSpaceDN w:val="0"/>
              <w:bidi w:val="0"/>
              <w:adjustRightInd w:val="0"/>
              <w:snapToGrid w:val="0"/>
              <w:spacing w:line="360" w:lineRule="auto"/>
              <w:ind w:firstLine="0" w:firstLineChars="0"/>
              <w:jc w:val="left"/>
              <w:textAlignment w:val="auto"/>
              <w:rPr>
                <w:rFonts w:hint="default" w:ascii="Times New Roman" w:hAnsi="Times New Roman" w:eastAsia="宋体" w:cs="Times New Roman"/>
                <w:b/>
                <w:bCs/>
                <w:color w:val="000000" w:themeColor="text1"/>
                <w:kern w:val="0"/>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vertAlign w:val="baseline"/>
                <w:lang w:val="en-US" w:eastAsia="zh-CN"/>
                <w14:textFill>
                  <w14:solidFill>
                    <w14:schemeClr w14:val="tx1"/>
                  </w14:solidFill>
                </w14:textFill>
              </w:rPr>
              <w:t>3.3与《四川省、重庆市长江经济带发展负面清单实施细则（试行2022年版）》符合性分析</w:t>
            </w:r>
          </w:p>
          <w:p w14:paraId="46FA02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0" w:firstLineChars="0"/>
              <w:jc w:val="center"/>
              <w:textAlignment w:val="auto"/>
              <w:outlineLvl w:val="0"/>
              <w:rPr>
                <w:rFonts w:hint="default" w:ascii="Times New Roman" w:hAnsi="Times New Roman" w:eastAsia="宋体" w:cs="Times New Roman"/>
                <w:b/>
                <w:bCs/>
                <w:color w:val="000000" w:themeColor="text1"/>
                <w:sz w:val="20"/>
                <w:szCs w:val="20"/>
                <w:highlight w:val="none"/>
                <w:vertAlign w:val="baseline"/>
                <w14:textFill>
                  <w14:solidFill>
                    <w14:schemeClr w14:val="tx1"/>
                  </w14:solidFill>
                </w14:textFill>
              </w:rPr>
            </w:pPr>
            <w:r>
              <w:rPr>
                <w:rFonts w:hint="default" w:ascii="Times New Roman" w:hAnsi="Times New Roman" w:eastAsia="宋体" w:cs="Times New Roman"/>
                <w:b/>
                <w:bCs/>
                <w:color w:val="000000" w:themeColor="text1"/>
                <w:kern w:val="0"/>
                <w:sz w:val="20"/>
                <w:szCs w:val="20"/>
                <w:highlight w:val="none"/>
                <w:lang w:val="en-US" w:eastAsia="zh-CN"/>
                <w14:textFill>
                  <w14:solidFill>
                    <w14:schemeClr w14:val="tx1"/>
                  </w14:solidFill>
                </w14:textFill>
              </w:rPr>
              <w:t>表</w:t>
            </w:r>
            <w:r>
              <w:rPr>
                <w:rFonts w:hint="eastAsia" w:cs="Times New Roman"/>
                <w:b/>
                <w:bCs/>
                <w:color w:val="000000" w:themeColor="text1"/>
                <w:kern w:val="0"/>
                <w:sz w:val="20"/>
                <w:szCs w:val="20"/>
                <w:highlight w:val="none"/>
                <w:lang w:val="en-US" w:eastAsia="zh-CN"/>
                <w14:textFill>
                  <w14:solidFill>
                    <w14:schemeClr w14:val="tx1"/>
                  </w14:solidFill>
                </w14:textFill>
              </w:rPr>
              <w:t>1.3-3</w:t>
            </w:r>
            <w:r>
              <w:rPr>
                <w:rFonts w:hint="default" w:ascii="Times New Roman" w:hAnsi="Times New Roman" w:eastAsia="宋体" w:cs="Times New Roman"/>
                <w:b/>
                <w:bCs/>
                <w:color w:val="000000" w:themeColor="text1"/>
                <w:kern w:val="0"/>
                <w:sz w:val="20"/>
                <w:szCs w:val="20"/>
                <w:highlight w:val="none"/>
                <w:lang w:val="en-US" w:eastAsia="zh-CN"/>
                <w14:textFill>
                  <w14:solidFill>
                    <w14:schemeClr w14:val="tx1"/>
                  </w14:solidFill>
                </w14:textFill>
              </w:rPr>
              <w:t>四川省、重庆市长江经济带发展负面清单实施细则（试行，2022年版）》符合性分析表</w:t>
            </w:r>
          </w:p>
          <w:tbl>
            <w:tblPr>
              <w:tblStyle w:val="2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39"/>
              <w:gridCol w:w="3789"/>
              <w:gridCol w:w="1578"/>
              <w:gridCol w:w="849"/>
            </w:tblGrid>
            <w:tr w14:paraId="2A78FA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6" w:type="pct"/>
                  <w:tcBorders>
                    <w:tl2br w:val="nil"/>
                    <w:tr2bl w:val="nil"/>
                  </w:tcBorders>
                  <w:noWrap w:val="0"/>
                  <w:vAlign w:val="center"/>
                </w:tcPr>
                <w:p w14:paraId="0300832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序号</w:t>
                  </w:r>
                </w:p>
              </w:tc>
              <w:tc>
                <w:tcPr>
                  <w:tcW w:w="2763" w:type="pct"/>
                  <w:tcBorders>
                    <w:tl2br w:val="nil"/>
                    <w:tr2bl w:val="nil"/>
                  </w:tcBorders>
                  <w:noWrap w:val="0"/>
                  <w:vAlign w:val="center"/>
                </w:tcPr>
                <w:p w14:paraId="5D3CBF3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相关管控内容要求</w:t>
                  </w:r>
                </w:p>
              </w:tc>
              <w:tc>
                <w:tcPr>
                  <w:tcW w:w="1151" w:type="pct"/>
                  <w:tcBorders>
                    <w:tl2br w:val="nil"/>
                    <w:tr2bl w:val="nil"/>
                  </w:tcBorders>
                  <w:noWrap w:val="0"/>
                  <w:vAlign w:val="center"/>
                </w:tcPr>
                <w:p w14:paraId="509030E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项目情况</w:t>
                  </w:r>
                </w:p>
              </w:tc>
              <w:tc>
                <w:tcPr>
                  <w:tcW w:w="619" w:type="pct"/>
                  <w:tcBorders>
                    <w:tl2br w:val="nil"/>
                    <w:tr2bl w:val="nil"/>
                  </w:tcBorders>
                  <w:noWrap w:val="0"/>
                  <w:vAlign w:val="center"/>
                </w:tcPr>
                <w:p w14:paraId="52C922A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符合性</w:t>
                  </w:r>
                </w:p>
              </w:tc>
            </w:tr>
            <w:tr w14:paraId="3865E0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6" w:type="pct"/>
                  <w:tcBorders>
                    <w:tl2br w:val="nil"/>
                    <w:tr2bl w:val="nil"/>
                  </w:tcBorders>
                  <w:noWrap w:val="0"/>
                  <w:vAlign w:val="center"/>
                </w:tcPr>
                <w:p w14:paraId="1FCC735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1</w:t>
                  </w:r>
                </w:p>
              </w:tc>
              <w:tc>
                <w:tcPr>
                  <w:tcW w:w="2763" w:type="pct"/>
                  <w:tcBorders>
                    <w:tl2br w:val="nil"/>
                    <w:tr2bl w:val="nil"/>
                  </w:tcBorders>
                  <w:noWrap w:val="0"/>
                  <w:vAlign w:val="center"/>
                </w:tcPr>
                <w:p w14:paraId="3E62336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第五条 禁止新建、改建和扩建不符合全国港口布局规划，以及《四川省内河水运发展规划》 《泸州一宜宾一乐山港口群布局规划》《重庆港总体规划(2035年)》等省级港口布局规划及市级港口总体规划的码头项目。</w:t>
                  </w:r>
                </w:p>
              </w:tc>
              <w:tc>
                <w:tcPr>
                  <w:tcW w:w="1151" w:type="pct"/>
                  <w:tcBorders>
                    <w:tl2br w:val="nil"/>
                    <w:tr2bl w:val="nil"/>
                  </w:tcBorders>
                  <w:noWrap w:val="0"/>
                  <w:vAlign w:val="center"/>
                </w:tcPr>
                <w:p w14:paraId="5E06805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非上述港口建设</w:t>
                  </w:r>
                </w:p>
                <w:p w14:paraId="0E34A04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项目</w:t>
                  </w:r>
                </w:p>
              </w:tc>
              <w:tc>
                <w:tcPr>
                  <w:tcW w:w="619" w:type="pct"/>
                  <w:vMerge w:val="restart"/>
                  <w:tcBorders>
                    <w:tl2br w:val="nil"/>
                    <w:tr2bl w:val="nil"/>
                  </w:tcBorders>
                  <w:noWrap w:val="0"/>
                  <w:vAlign w:val="center"/>
                </w:tcPr>
                <w:p w14:paraId="2ED3F51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符合</w:t>
                  </w:r>
                </w:p>
              </w:tc>
            </w:tr>
            <w:tr w14:paraId="69718E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6" w:type="pct"/>
                  <w:tcBorders>
                    <w:tl2br w:val="nil"/>
                    <w:tr2bl w:val="nil"/>
                  </w:tcBorders>
                  <w:noWrap w:val="0"/>
                  <w:vAlign w:val="center"/>
                </w:tcPr>
                <w:p w14:paraId="254DDD2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2</w:t>
                  </w:r>
                </w:p>
              </w:tc>
              <w:tc>
                <w:tcPr>
                  <w:tcW w:w="2763" w:type="pct"/>
                  <w:tcBorders>
                    <w:tl2br w:val="nil"/>
                    <w:tr2bl w:val="nil"/>
                  </w:tcBorders>
                  <w:noWrap w:val="0"/>
                  <w:vAlign w:val="center"/>
                </w:tcPr>
                <w:p w14:paraId="0A2E9E3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第六条 禁止新建、改建和扩建不符合《长江干线过江通道布局规划（2020-2035年）》的过长江通道项目（含桥梁、隧道），国家发展改革委同意过长江通道线位调整的除外。</w:t>
                  </w:r>
                </w:p>
              </w:tc>
              <w:tc>
                <w:tcPr>
                  <w:tcW w:w="1151" w:type="pct"/>
                  <w:tcBorders>
                    <w:tl2br w:val="nil"/>
                    <w:tr2bl w:val="nil"/>
                  </w:tcBorders>
                  <w:noWrap w:val="0"/>
                  <w:vAlign w:val="center"/>
                </w:tcPr>
                <w:p w14:paraId="6695446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不属于过长江通道项目（含桥梁、隧道）</w:t>
                  </w:r>
                </w:p>
              </w:tc>
              <w:tc>
                <w:tcPr>
                  <w:tcW w:w="619" w:type="pct"/>
                  <w:vMerge w:val="continue"/>
                  <w:tcBorders>
                    <w:tl2br w:val="nil"/>
                    <w:tr2bl w:val="nil"/>
                  </w:tcBorders>
                  <w:noWrap w:val="0"/>
                  <w:vAlign w:val="center"/>
                </w:tcPr>
                <w:p w14:paraId="781F556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p>
              </w:tc>
            </w:tr>
            <w:tr w14:paraId="24D152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6" w:type="pct"/>
                  <w:tcBorders>
                    <w:tl2br w:val="nil"/>
                    <w:tr2bl w:val="nil"/>
                  </w:tcBorders>
                  <w:noWrap w:val="0"/>
                  <w:vAlign w:val="center"/>
                </w:tcPr>
                <w:p w14:paraId="06BC6A2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3</w:t>
                  </w:r>
                </w:p>
              </w:tc>
              <w:tc>
                <w:tcPr>
                  <w:tcW w:w="2763" w:type="pct"/>
                  <w:tcBorders>
                    <w:tl2br w:val="nil"/>
                    <w:tr2bl w:val="nil"/>
                  </w:tcBorders>
                  <w:noWrap w:val="0"/>
                  <w:vAlign w:val="center"/>
                </w:tcPr>
                <w:p w14:paraId="6A29C60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第七条 禁止在自然保护区核心区、缓冲区的岸线和河段范围内投资建设旅游和生产经营项目。自然保护区的内部未分区的，依照核心区和缓冲区的规定管控。</w:t>
                  </w:r>
                </w:p>
              </w:tc>
              <w:tc>
                <w:tcPr>
                  <w:tcW w:w="1151" w:type="pct"/>
                  <w:tcBorders>
                    <w:tl2br w:val="nil"/>
                    <w:tr2bl w:val="nil"/>
                  </w:tcBorders>
                  <w:noWrap w:val="0"/>
                  <w:vAlign w:val="center"/>
                </w:tcPr>
                <w:p w14:paraId="7EBAF65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项目不涉及</w:t>
                  </w:r>
                </w:p>
              </w:tc>
              <w:tc>
                <w:tcPr>
                  <w:tcW w:w="619" w:type="pct"/>
                  <w:tcBorders>
                    <w:tl2br w:val="nil"/>
                    <w:tr2bl w:val="nil"/>
                  </w:tcBorders>
                  <w:noWrap w:val="0"/>
                  <w:vAlign w:val="center"/>
                </w:tcPr>
                <w:p w14:paraId="69D6315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符合</w:t>
                  </w:r>
                </w:p>
              </w:tc>
            </w:tr>
            <w:tr w14:paraId="63D4AF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6" w:type="pct"/>
                  <w:tcBorders>
                    <w:tl2br w:val="nil"/>
                    <w:tr2bl w:val="nil"/>
                  </w:tcBorders>
                  <w:noWrap w:val="0"/>
                  <w:vAlign w:val="center"/>
                </w:tcPr>
                <w:p w14:paraId="32B0F3D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4</w:t>
                  </w:r>
                </w:p>
              </w:tc>
              <w:tc>
                <w:tcPr>
                  <w:tcW w:w="2763" w:type="pct"/>
                  <w:tcBorders>
                    <w:tl2br w:val="nil"/>
                    <w:tr2bl w:val="nil"/>
                  </w:tcBorders>
                  <w:noWrap w:val="0"/>
                  <w:vAlign w:val="center"/>
                </w:tcPr>
                <w:p w14:paraId="49640A4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第八条 禁止违反风景名胜区规划，在风景名胜区内设立各类开发区。禁止在风景名胜区核心景区的岸线和河段范围内建设宾馆、招待所、培训中心、疗养院以及与风景名胜资源保护无关的项目。</w:t>
                  </w:r>
                </w:p>
              </w:tc>
              <w:tc>
                <w:tcPr>
                  <w:tcW w:w="1151" w:type="pct"/>
                  <w:tcBorders>
                    <w:tl2br w:val="nil"/>
                    <w:tr2bl w:val="nil"/>
                  </w:tcBorders>
                  <w:noWrap w:val="0"/>
                  <w:vAlign w:val="center"/>
                </w:tcPr>
                <w:p w14:paraId="1031E28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项目不涉及</w:t>
                  </w:r>
                </w:p>
              </w:tc>
              <w:tc>
                <w:tcPr>
                  <w:tcW w:w="619" w:type="pct"/>
                  <w:tcBorders>
                    <w:tl2br w:val="nil"/>
                    <w:tr2bl w:val="nil"/>
                  </w:tcBorders>
                  <w:noWrap w:val="0"/>
                  <w:vAlign w:val="center"/>
                </w:tcPr>
                <w:p w14:paraId="3CEB0BD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符合</w:t>
                  </w:r>
                </w:p>
              </w:tc>
            </w:tr>
            <w:tr w14:paraId="1BECB6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6" w:type="pct"/>
                  <w:tcBorders>
                    <w:tl2br w:val="nil"/>
                    <w:tr2bl w:val="nil"/>
                  </w:tcBorders>
                  <w:noWrap w:val="0"/>
                  <w:vAlign w:val="center"/>
                </w:tcPr>
                <w:p w14:paraId="2180B6F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5</w:t>
                  </w:r>
                </w:p>
              </w:tc>
              <w:tc>
                <w:tcPr>
                  <w:tcW w:w="2763" w:type="pct"/>
                  <w:tcBorders>
                    <w:tl2br w:val="nil"/>
                    <w:tr2bl w:val="nil"/>
                  </w:tcBorders>
                  <w:noWrap w:val="0"/>
                  <w:vAlign w:val="center"/>
                </w:tcPr>
                <w:p w14:paraId="0F5C053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第九条 禁止在饮用水水源准保护区的岸线和河段范围内新建、扩建对水体污染严重的建设项目，禁止改建增加排污量的建设项目。</w:t>
                  </w:r>
                </w:p>
              </w:tc>
              <w:tc>
                <w:tcPr>
                  <w:tcW w:w="1151" w:type="pct"/>
                  <w:tcBorders>
                    <w:tl2br w:val="nil"/>
                    <w:tr2bl w:val="nil"/>
                  </w:tcBorders>
                  <w:noWrap w:val="0"/>
                  <w:vAlign w:val="center"/>
                </w:tcPr>
                <w:p w14:paraId="358F062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项目不涉及</w:t>
                  </w:r>
                </w:p>
              </w:tc>
              <w:tc>
                <w:tcPr>
                  <w:tcW w:w="619" w:type="pct"/>
                  <w:tcBorders>
                    <w:tl2br w:val="nil"/>
                    <w:tr2bl w:val="nil"/>
                  </w:tcBorders>
                  <w:noWrap w:val="0"/>
                  <w:vAlign w:val="center"/>
                </w:tcPr>
                <w:p w14:paraId="0190446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符合</w:t>
                  </w:r>
                </w:p>
              </w:tc>
            </w:tr>
            <w:tr w14:paraId="703AA3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6" w:type="pct"/>
                  <w:tcBorders>
                    <w:tl2br w:val="nil"/>
                    <w:tr2bl w:val="nil"/>
                  </w:tcBorders>
                  <w:noWrap w:val="0"/>
                  <w:vAlign w:val="center"/>
                </w:tcPr>
                <w:p w14:paraId="66C67CA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6</w:t>
                  </w:r>
                </w:p>
              </w:tc>
              <w:tc>
                <w:tcPr>
                  <w:tcW w:w="2763" w:type="pct"/>
                  <w:tcBorders>
                    <w:tl2br w:val="nil"/>
                    <w:tr2bl w:val="nil"/>
                  </w:tcBorders>
                  <w:noWrap w:val="0"/>
                  <w:vAlign w:val="center"/>
                </w:tcPr>
                <w:p w14:paraId="613C7E7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第十条 饮用水水源二级保护区的岸线和河段范围内，除遵守准保护区规定外，禁止新建、改建、扩建排放污染物的投资建设项目</w:t>
                  </w:r>
                  <w:r>
                    <w:rPr>
                      <w:rFonts w:hint="eastAsia" w:cs="Times New Roman"/>
                      <w:b w:val="0"/>
                      <w:bCs w:val="0"/>
                      <w:color w:val="000000" w:themeColor="text1"/>
                      <w:kern w:val="0"/>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禁止从事对水体有污染的水产养殖等活动。</w:t>
                  </w:r>
                </w:p>
              </w:tc>
              <w:tc>
                <w:tcPr>
                  <w:tcW w:w="1151" w:type="pct"/>
                  <w:tcBorders>
                    <w:tl2br w:val="nil"/>
                    <w:tr2bl w:val="nil"/>
                  </w:tcBorders>
                  <w:noWrap w:val="0"/>
                  <w:vAlign w:val="center"/>
                </w:tcPr>
                <w:p w14:paraId="1C92ACD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项目不涉及</w:t>
                  </w:r>
                </w:p>
              </w:tc>
              <w:tc>
                <w:tcPr>
                  <w:tcW w:w="619" w:type="pct"/>
                  <w:tcBorders>
                    <w:tl2br w:val="nil"/>
                    <w:tr2bl w:val="nil"/>
                  </w:tcBorders>
                  <w:noWrap w:val="0"/>
                  <w:vAlign w:val="center"/>
                </w:tcPr>
                <w:p w14:paraId="384938B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符合</w:t>
                  </w:r>
                </w:p>
              </w:tc>
            </w:tr>
            <w:tr w14:paraId="1B9A56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6" w:type="pct"/>
                  <w:tcBorders>
                    <w:tl2br w:val="nil"/>
                    <w:tr2bl w:val="nil"/>
                  </w:tcBorders>
                  <w:noWrap w:val="0"/>
                  <w:vAlign w:val="center"/>
                </w:tcPr>
                <w:p w14:paraId="0BB00DA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7</w:t>
                  </w:r>
                </w:p>
              </w:tc>
              <w:tc>
                <w:tcPr>
                  <w:tcW w:w="2763" w:type="pct"/>
                  <w:tcBorders>
                    <w:tl2br w:val="nil"/>
                    <w:tr2bl w:val="nil"/>
                  </w:tcBorders>
                  <w:noWrap w:val="0"/>
                  <w:vAlign w:val="center"/>
                </w:tcPr>
                <w:p w14:paraId="1B2430D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第十一条 饮用水水源一级保护区的岸线和河段范围内，除遵守二级保护区规定外，禁止新建、改建、扩建与供水设施和保护水源无关的项目，以及网箱养殖、畜禽养殖、旅游等可能污染饮用水水体的投资建设项目。</w:t>
                  </w:r>
                </w:p>
              </w:tc>
              <w:tc>
                <w:tcPr>
                  <w:tcW w:w="1151" w:type="pct"/>
                  <w:tcBorders>
                    <w:tl2br w:val="nil"/>
                    <w:tr2bl w:val="nil"/>
                  </w:tcBorders>
                  <w:noWrap w:val="0"/>
                  <w:vAlign w:val="center"/>
                </w:tcPr>
                <w:p w14:paraId="14CB398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项目不涉及</w:t>
                  </w:r>
                </w:p>
              </w:tc>
              <w:tc>
                <w:tcPr>
                  <w:tcW w:w="619" w:type="pct"/>
                  <w:tcBorders>
                    <w:tl2br w:val="nil"/>
                    <w:tr2bl w:val="nil"/>
                  </w:tcBorders>
                  <w:noWrap w:val="0"/>
                  <w:vAlign w:val="center"/>
                </w:tcPr>
                <w:p w14:paraId="27F1BCB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符合</w:t>
                  </w:r>
                </w:p>
              </w:tc>
            </w:tr>
            <w:tr w14:paraId="4A8351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6" w:type="pct"/>
                  <w:tcBorders>
                    <w:tl2br w:val="nil"/>
                    <w:tr2bl w:val="nil"/>
                  </w:tcBorders>
                  <w:noWrap w:val="0"/>
                  <w:vAlign w:val="center"/>
                </w:tcPr>
                <w:p w14:paraId="7B3CA6F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8</w:t>
                  </w:r>
                </w:p>
              </w:tc>
              <w:tc>
                <w:tcPr>
                  <w:tcW w:w="2763" w:type="pct"/>
                  <w:tcBorders>
                    <w:tl2br w:val="nil"/>
                    <w:tr2bl w:val="nil"/>
                  </w:tcBorders>
                  <w:noWrap w:val="0"/>
                  <w:vAlign w:val="center"/>
                </w:tcPr>
                <w:p w14:paraId="0260BE3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第十二条 禁止在水产种质资源保护区岸线和河段范围内新建围湖造田、围湖造地或挖沙采石等投资建设项目。</w:t>
                  </w:r>
                </w:p>
              </w:tc>
              <w:tc>
                <w:tcPr>
                  <w:tcW w:w="1151" w:type="pct"/>
                  <w:tcBorders>
                    <w:tl2br w:val="nil"/>
                    <w:tr2bl w:val="nil"/>
                  </w:tcBorders>
                  <w:noWrap w:val="0"/>
                  <w:vAlign w:val="center"/>
                </w:tcPr>
                <w:p w14:paraId="539F528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项目不涉及</w:t>
                  </w:r>
                </w:p>
              </w:tc>
              <w:tc>
                <w:tcPr>
                  <w:tcW w:w="619" w:type="pct"/>
                  <w:tcBorders>
                    <w:tl2br w:val="nil"/>
                    <w:tr2bl w:val="nil"/>
                  </w:tcBorders>
                  <w:noWrap w:val="0"/>
                  <w:vAlign w:val="center"/>
                </w:tcPr>
                <w:p w14:paraId="4BB9713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符合</w:t>
                  </w:r>
                </w:p>
              </w:tc>
            </w:tr>
            <w:tr w14:paraId="3B20F7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6" w:type="pct"/>
                  <w:tcBorders>
                    <w:tl2br w:val="nil"/>
                    <w:tr2bl w:val="nil"/>
                  </w:tcBorders>
                  <w:noWrap w:val="0"/>
                  <w:vAlign w:val="center"/>
                </w:tcPr>
                <w:p w14:paraId="336A226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9</w:t>
                  </w:r>
                </w:p>
              </w:tc>
              <w:tc>
                <w:tcPr>
                  <w:tcW w:w="2763" w:type="pct"/>
                  <w:tcBorders>
                    <w:tl2br w:val="nil"/>
                    <w:tr2bl w:val="nil"/>
                  </w:tcBorders>
                  <w:noWrap w:val="0"/>
                  <w:vAlign w:val="center"/>
                </w:tcPr>
                <w:p w14:paraId="68E3188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第十三条 禁止在国家湿地公园的岸线和河段范围内开(围)垦、填埋或者排干湿地，截断湿地水源，挖沙、采矿，倾倒有毒有害物质、废弃物、垃圾，从事房地产、度假村、高尔夫球场、风力发电、光伏发电等任何不符合主体功能定位的建设项目和开发活动，破坏野生动物栖息地和迁徙通道、鱼类</w:t>
                  </w:r>
                  <w:r>
                    <w:rPr>
                      <w:rFonts w:hint="eastAsia" w:cs="Times New Roman"/>
                      <w:b w:val="0"/>
                      <w:bCs w:val="0"/>
                      <w:color w:val="000000" w:themeColor="text1"/>
                      <w:kern w:val="0"/>
                      <w:sz w:val="21"/>
                      <w:szCs w:val="21"/>
                      <w:highlight w:val="none"/>
                      <w:vertAlign w:val="baseline"/>
                      <w:lang w:val="en-US" w:eastAsia="zh-CN"/>
                      <w14:textFill>
                        <w14:solidFill>
                          <w14:schemeClr w14:val="tx1"/>
                        </w14:solidFill>
                      </w14:textFill>
                    </w:rPr>
                    <w:t>洄游</w:t>
                  </w: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通道。</w:t>
                  </w:r>
                </w:p>
              </w:tc>
              <w:tc>
                <w:tcPr>
                  <w:tcW w:w="1151" w:type="pct"/>
                  <w:tcBorders>
                    <w:tl2br w:val="nil"/>
                    <w:tr2bl w:val="nil"/>
                  </w:tcBorders>
                  <w:noWrap w:val="0"/>
                  <w:vAlign w:val="center"/>
                </w:tcPr>
                <w:p w14:paraId="060FE5F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项目不涉及</w:t>
                  </w:r>
                </w:p>
              </w:tc>
              <w:tc>
                <w:tcPr>
                  <w:tcW w:w="619" w:type="pct"/>
                  <w:tcBorders>
                    <w:tl2br w:val="nil"/>
                    <w:tr2bl w:val="nil"/>
                  </w:tcBorders>
                  <w:noWrap w:val="0"/>
                  <w:vAlign w:val="center"/>
                </w:tcPr>
                <w:p w14:paraId="7A99CE8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符合</w:t>
                  </w:r>
                </w:p>
              </w:tc>
            </w:tr>
            <w:tr w14:paraId="393936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6" w:type="pct"/>
                  <w:tcBorders>
                    <w:tl2br w:val="nil"/>
                    <w:tr2bl w:val="nil"/>
                  </w:tcBorders>
                  <w:noWrap w:val="0"/>
                  <w:vAlign w:val="center"/>
                </w:tcPr>
                <w:p w14:paraId="6E441F0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10</w:t>
                  </w:r>
                </w:p>
              </w:tc>
              <w:tc>
                <w:tcPr>
                  <w:tcW w:w="2763" w:type="pct"/>
                  <w:tcBorders>
                    <w:tl2br w:val="nil"/>
                    <w:tr2bl w:val="nil"/>
                  </w:tcBorders>
                  <w:noWrap w:val="0"/>
                  <w:vAlign w:val="center"/>
                </w:tcPr>
                <w:p w14:paraId="245CE91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第十四条 禁止违法利用、占用长江流域河湖岸线。禁止在《长江岸线保护和开发利用总体规划》划定的岸线保护区和岸线保留区内投资建设除事关公共安全及公众利益的防洪护岸、河道治理、供水、生态环境保护、航道整治、国家重要基础设施以外的项目。</w:t>
                  </w:r>
                </w:p>
              </w:tc>
              <w:tc>
                <w:tcPr>
                  <w:tcW w:w="1151" w:type="pct"/>
                  <w:tcBorders>
                    <w:tl2br w:val="nil"/>
                    <w:tr2bl w:val="nil"/>
                  </w:tcBorders>
                  <w:noWrap w:val="0"/>
                  <w:vAlign w:val="center"/>
                </w:tcPr>
                <w:p w14:paraId="0700B15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项目不涉及</w:t>
                  </w:r>
                </w:p>
              </w:tc>
              <w:tc>
                <w:tcPr>
                  <w:tcW w:w="619" w:type="pct"/>
                  <w:tcBorders>
                    <w:tl2br w:val="nil"/>
                    <w:tr2bl w:val="nil"/>
                  </w:tcBorders>
                  <w:noWrap w:val="0"/>
                  <w:vAlign w:val="center"/>
                </w:tcPr>
                <w:p w14:paraId="7AF822F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符合</w:t>
                  </w:r>
                </w:p>
              </w:tc>
            </w:tr>
            <w:tr w14:paraId="6FF96C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6" w:type="pct"/>
                  <w:tcBorders>
                    <w:tl2br w:val="nil"/>
                    <w:tr2bl w:val="nil"/>
                  </w:tcBorders>
                  <w:noWrap w:val="0"/>
                  <w:vAlign w:val="center"/>
                </w:tcPr>
                <w:p w14:paraId="577B86D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11</w:t>
                  </w:r>
                </w:p>
              </w:tc>
              <w:tc>
                <w:tcPr>
                  <w:tcW w:w="2763" w:type="pct"/>
                  <w:tcBorders>
                    <w:tl2br w:val="nil"/>
                    <w:tr2bl w:val="nil"/>
                  </w:tcBorders>
                  <w:noWrap w:val="0"/>
                  <w:vAlign w:val="center"/>
                </w:tcPr>
                <w:p w14:paraId="0255D7F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第十五条禁止在《全国重要江河湖泊水功能区划》划定的河段及湖泊保护区、保留区内投资建设不利于水资源及自然生态保护的项目</w:t>
                  </w:r>
                </w:p>
              </w:tc>
              <w:tc>
                <w:tcPr>
                  <w:tcW w:w="1151" w:type="pct"/>
                  <w:tcBorders>
                    <w:tl2br w:val="nil"/>
                    <w:tr2bl w:val="nil"/>
                  </w:tcBorders>
                  <w:noWrap w:val="0"/>
                  <w:vAlign w:val="center"/>
                </w:tcPr>
                <w:p w14:paraId="0DEEBF4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项目不涉及新增</w:t>
                  </w:r>
                </w:p>
                <w:p w14:paraId="47DFD70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排污口。</w:t>
                  </w:r>
                </w:p>
              </w:tc>
              <w:tc>
                <w:tcPr>
                  <w:tcW w:w="619" w:type="pct"/>
                  <w:tcBorders>
                    <w:tl2br w:val="nil"/>
                    <w:tr2bl w:val="nil"/>
                  </w:tcBorders>
                  <w:noWrap w:val="0"/>
                  <w:vAlign w:val="center"/>
                </w:tcPr>
                <w:p w14:paraId="796CF56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符合</w:t>
                  </w:r>
                </w:p>
              </w:tc>
            </w:tr>
            <w:tr w14:paraId="636D8C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6" w:type="pct"/>
                  <w:tcBorders>
                    <w:tl2br w:val="nil"/>
                    <w:tr2bl w:val="nil"/>
                  </w:tcBorders>
                  <w:noWrap w:val="0"/>
                  <w:vAlign w:val="center"/>
                </w:tcPr>
                <w:p w14:paraId="6954FBB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12</w:t>
                  </w:r>
                </w:p>
              </w:tc>
              <w:tc>
                <w:tcPr>
                  <w:tcW w:w="2763" w:type="pct"/>
                  <w:tcBorders>
                    <w:tl2br w:val="nil"/>
                    <w:tr2bl w:val="nil"/>
                  </w:tcBorders>
                  <w:noWrap w:val="0"/>
                  <w:vAlign w:val="center"/>
                </w:tcPr>
                <w:p w14:paraId="376B938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第十六条禁止在长江流域江河、湖泊新设、改设或者扩大排污口，经有管辖权的生态环境主管部门或者长江流域生态环境监督管理机构同意的除外。</w:t>
                  </w:r>
                </w:p>
              </w:tc>
              <w:tc>
                <w:tcPr>
                  <w:tcW w:w="1151" w:type="pct"/>
                  <w:tcBorders>
                    <w:tl2br w:val="nil"/>
                    <w:tr2bl w:val="nil"/>
                  </w:tcBorders>
                  <w:noWrap w:val="0"/>
                  <w:vAlign w:val="center"/>
                </w:tcPr>
                <w:p w14:paraId="5EE2564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项目不涉及</w:t>
                  </w:r>
                </w:p>
              </w:tc>
              <w:tc>
                <w:tcPr>
                  <w:tcW w:w="619" w:type="pct"/>
                  <w:tcBorders>
                    <w:tl2br w:val="nil"/>
                    <w:tr2bl w:val="nil"/>
                  </w:tcBorders>
                  <w:noWrap w:val="0"/>
                  <w:vAlign w:val="center"/>
                </w:tcPr>
                <w:p w14:paraId="14C2353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符合</w:t>
                  </w:r>
                </w:p>
              </w:tc>
            </w:tr>
            <w:tr w14:paraId="228C2D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6" w:type="pct"/>
                  <w:tcBorders>
                    <w:tl2br w:val="nil"/>
                    <w:tr2bl w:val="nil"/>
                  </w:tcBorders>
                  <w:noWrap w:val="0"/>
                  <w:vAlign w:val="center"/>
                </w:tcPr>
                <w:p w14:paraId="64C8A4B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13</w:t>
                  </w:r>
                </w:p>
              </w:tc>
              <w:tc>
                <w:tcPr>
                  <w:tcW w:w="2763" w:type="pct"/>
                  <w:tcBorders>
                    <w:tl2br w:val="nil"/>
                    <w:tr2bl w:val="nil"/>
                  </w:tcBorders>
                  <w:noWrap w:val="0"/>
                  <w:vAlign w:val="center"/>
                </w:tcPr>
                <w:p w14:paraId="4F6C18B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第十七条禁止在长江干流、大渡河、岷江、赤水河、</w:t>
                  </w:r>
                  <w:r>
                    <w:rPr>
                      <w:rFonts w:hint="eastAsia" w:cs="Times New Roman"/>
                      <w:b w:val="0"/>
                      <w:bCs w:val="0"/>
                      <w:color w:val="000000" w:themeColor="text1"/>
                      <w:kern w:val="0"/>
                      <w:sz w:val="21"/>
                      <w:szCs w:val="21"/>
                      <w:highlight w:val="none"/>
                      <w:vertAlign w:val="baseline"/>
                      <w:lang w:val="en-US" w:eastAsia="zh-CN"/>
                      <w14:textFill>
                        <w14:solidFill>
                          <w14:schemeClr w14:val="tx1"/>
                        </w14:solidFill>
                      </w14:textFill>
                    </w:rPr>
                    <w:t>沱江</w:t>
                  </w: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、嘉陵江、乌江、汉江和 51个（四川省45个、重庆市6个）水生生物保护区开展生产性捕捞。</w:t>
                  </w:r>
                </w:p>
              </w:tc>
              <w:tc>
                <w:tcPr>
                  <w:tcW w:w="1151" w:type="pct"/>
                  <w:tcBorders>
                    <w:tl2br w:val="nil"/>
                    <w:tr2bl w:val="nil"/>
                  </w:tcBorders>
                  <w:noWrap w:val="0"/>
                  <w:vAlign w:val="center"/>
                </w:tcPr>
                <w:p w14:paraId="35CDBD3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拟建项目不涉及左列水域。</w:t>
                  </w:r>
                </w:p>
              </w:tc>
              <w:tc>
                <w:tcPr>
                  <w:tcW w:w="619" w:type="pct"/>
                  <w:tcBorders>
                    <w:tl2br w:val="nil"/>
                    <w:tr2bl w:val="nil"/>
                  </w:tcBorders>
                  <w:noWrap w:val="0"/>
                  <w:vAlign w:val="center"/>
                </w:tcPr>
                <w:p w14:paraId="08D51A2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符合</w:t>
                  </w:r>
                </w:p>
              </w:tc>
            </w:tr>
            <w:tr w14:paraId="6E2C38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6" w:type="pct"/>
                  <w:tcBorders>
                    <w:tl2br w:val="nil"/>
                    <w:tr2bl w:val="nil"/>
                  </w:tcBorders>
                  <w:noWrap w:val="0"/>
                  <w:vAlign w:val="center"/>
                </w:tcPr>
                <w:p w14:paraId="2B4E216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14</w:t>
                  </w:r>
                </w:p>
              </w:tc>
              <w:tc>
                <w:tcPr>
                  <w:tcW w:w="2763" w:type="pct"/>
                  <w:tcBorders>
                    <w:tl2br w:val="nil"/>
                    <w:tr2bl w:val="nil"/>
                  </w:tcBorders>
                  <w:noWrap w:val="0"/>
                  <w:vAlign w:val="center"/>
                </w:tcPr>
                <w:p w14:paraId="2E16A59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第十八条 禁止在长江千支流、重要湖泊岸线一公里范围内新建、扩建化工园区和化工项目。</w:t>
                  </w:r>
                </w:p>
              </w:tc>
              <w:tc>
                <w:tcPr>
                  <w:tcW w:w="1151" w:type="pct"/>
                  <w:vMerge w:val="restart"/>
                  <w:tcBorders>
                    <w:tl2br w:val="nil"/>
                    <w:tr2bl w:val="nil"/>
                  </w:tcBorders>
                  <w:noWrap w:val="0"/>
                  <w:vAlign w:val="center"/>
                </w:tcPr>
                <w:p w14:paraId="01AA270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项目不属于化工园区及化工项目</w:t>
                  </w:r>
                  <w:r>
                    <w:rPr>
                      <w:rFonts w:hint="eastAsia" w:cs="Times New Roman"/>
                      <w:b w:val="0"/>
                      <w:bCs w:val="0"/>
                      <w:color w:val="000000" w:themeColor="text1"/>
                      <w:kern w:val="0"/>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项目不属于尾矿库、冶炼渣车、磷石膏库。</w:t>
                  </w:r>
                </w:p>
              </w:tc>
              <w:tc>
                <w:tcPr>
                  <w:tcW w:w="619" w:type="pct"/>
                  <w:vMerge w:val="restart"/>
                  <w:tcBorders>
                    <w:tl2br w:val="nil"/>
                    <w:tr2bl w:val="nil"/>
                  </w:tcBorders>
                  <w:noWrap w:val="0"/>
                  <w:vAlign w:val="center"/>
                </w:tcPr>
                <w:p w14:paraId="6758790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符合</w:t>
                  </w:r>
                </w:p>
              </w:tc>
            </w:tr>
            <w:tr w14:paraId="453605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6" w:type="pct"/>
                  <w:tcBorders>
                    <w:tl2br w:val="nil"/>
                    <w:tr2bl w:val="nil"/>
                  </w:tcBorders>
                  <w:noWrap w:val="0"/>
                  <w:vAlign w:val="center"/>
                </w:tcPr>
                <w:p w14:paraId="5FC51B7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15</w:t>
                  </w:r>
                </w:p>
              </w:tc>
              <w:tc>
                <w:tcPr>
                  <w:tcW w:w="2763" w:type="pct"/>
                  <w:tcBorders>
                    <w:tl2br w:val="nil"/>
                    <w:tr2bl w:val="nil"/>
                  </w:tcBorders>
                  <w:noWrap w:val="0"/>
                  <w:vAlign w:val="center"/>
                </w:tcPr>
                <w:p w14:paraId="3C0EA4E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第十九条 禁止在长江干流岸线三公里范围内和重要支流岸线一公里范围内新建、改建、扩建尾矿库、冶炼渣库、磷石膏库，以提升安全、生态环境保护水平为目的的改建除外。</w:t>
                  </w:r>
                </w:p>
              </w:tc>
              <w:tc>
                <w:tcPr>
                  <w:tcW w:w="1151" w:type="pct"/>
                  <w:vMerge w:val="continue"/>
                  <w:tcBorders>
                    <w:tl2br w:val="nil"/>
                    <w:tr2bl w:val="nil"/>
                  </w:tcBorders>
                  <w:noWrap w:val="0"/>
                  <w:vAlign w:val="center"/>
                </w:tcPr>
                <w:p w14:paraId="269DA3D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p>
              </w:tc>
              <w:tc>
                <w:tcPr>
                  <w:tcW w:w="619" w:type="pct"/>
                  <w:vMerge w:val="continue"/>
                  <w:tcBorders>
                    <w:tl2br w:val="nil"/>
                    <w:tr2bl w:val="nil"/>
                  </w:tcBorders>
                  <w:noWrap w:val="0"/>
                  <w:vAlign w:val="center"/>
                </w:tcPr>
                <w:p w14:paraId="10DE2A8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p>
              </w:tc>
            </w:tr>
            <w:tr w14:paraId="7D4D9E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6" w:type="pct"/>
                  <w:tcBorders>
                    <w:tl2br w:val="nil"/>
                    <w:tr2bl w:val="nil"/>
                  </w:tcBorders>
                  <w:noWrap w:val="0"/>
                  <w:vAlign w:val="center"/>
                </w:tcPr>
                <w:p w14:paraId="3945390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16</w:t>
                  </w:r>
                </w:p>
              </w:tc>
              <w:tc>
                <w:tcPr>
                  <w:tcW w:w="2763" w:type="pct"/>
                  <w:tcBorders>
                    <w:tl2br w:val="nil"/>
                    <w:tr2bl w:val="nil"/>
                  </w:tcBorders>
                  <w:noWrap w:val="0"/>
                  <w:vAlign w:val="center"/>
                </w:tcPr>
                <w:p w14:paraId="6183FDD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第二十条 禁止在生态保护红线区域、永久基本农田集中区域和其他需要特别保护的区域内选址建设尾矿库、冶炼渣库、磷石膏库。</w:t>
                  </w:r>
                </w:p>
              </w:tc>
              <w:tc>
                <w:tcPr>
                  <w:tcW w:w="1151" w:type="pct"/>
                  <w:tcBorders>
                    <w:tl2br w:val="nil"/>
                    <w:tr2bl w:val="nil"/>
                  </w:tcBorders>
                  <w:noWrap w:val="0"/>
                  <w:vAlign w:val="center"/>
                </w:tcPr>
                <w:p w14:paraId="34A8C80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项目不涉及，且不属于上述项目</w:t>
                  </w:r>
                </w:p>
              </w:tc>
              <w:tc>
                <w:tcPr>
                  <w:tcW w:w="619" w:type="pct"/>
                  <w:tcBorders>
                    <w:tl2br w:val="nil"/>
                    <w:tr2bl w:val="nil"/>
                  </w:tcBorders>
                  <w:noWrap w:val="0"/>
                  <w:vAlign w:val="center"/>
                </w:tcPr>
                <w:p w14:paraId="65C9367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符合</w:t>
                  </w:r>
                </w:p>
              </w:tc>
            </w:tr>
            <w:tr w14:paraId="1A319F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6" w:type="pct"/>
                  <w:tcBorders>
                    <w:tl2br w:val="nil"/>
                    <w:tr2bl w:val="nil"/>
                  </w:tcBorders>
                  <w:noWrap w:val="0"/>
                  <w:vAlign w:val="center"/>
                </w:tcPr>
                <w:p w14:paraId="020D0E7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17</w:t>
                  </w:r>
                </w:p>
              </w:tc>
              <w:tc>
                <w:tcPr>
                  <w:tcW w:w="2763" w:type="pct"/>
                  <w:tcBorders>
                    <w:tl2br w:val="nil"/>
                    <w:tr2bl w:val="nil"/>
                  </w:tcBorders>
                  <w:noWrap w:val="0"/>
                  <w:vAlign w:val="center"/>
                </w:tcPr>
                <w:p w14:paraId="5EF8CBC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第二十一条 禁止在合规园区外新建、扩建钢铁、石化、化工、焦化、建材、有色、制浆造纸等高污染项目。</w:t>
                  </w:r>
                </w:p>
              </w:tc>
              <w:tc>
                <w:tcPr>
                  <w:tcW w:w="1151" w:type="pct"/>
                  <w:tcBorders>
                    <w:tl2br w:val="nil"/>
                    <w:tr2bl w:val="nil"/>
                  </w:tcBorders>
                  <w:noWrap w:val="0"/>
                  <w:vAlign w:val="center"/>
                </w:tcPr>
                <w:p w14:paraId="4F93FC5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项目属于宠物医院扩建项目，不属于以上高污染项目</w:t>
                  </w:r>
                </w:p>
              </w:tc>
              <w:tc>
                <w:tcPr>
                  <w:tcW w:w="619" w:type="pct"/>
                  <w:tcBorders>
                    <w:tl2br w:val="nil"/>
                    <w:tr2bl w:val="nil"/>
                  </w:tcBorders>
                  <w:noWrap w:val="0"/>
                  <w:vAlign w:val="center"/>
                </w:tcPr>
                <w:p w14:paraId="6E3566F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符合</w:t>
                  </w:r>
                </w:p>
              </w:tc>
            </w:tr>
            <w:tr w14:paraId="264289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6" w:type="pct"/>
                  <w:tcBorders>
                    <w:tl2br w:val="nil"/>
                    <w:tr2bl w:val="nil"/>
                  </w:tcBorders>
                  <w:noWrap w:val="0"/>
                  <w:vAlign w:val="center"/>
                </w:tcPr>
                <w:p w14:paraId="2FAD155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18</w:t>
                  </w:r>
                </w:p>
              </w:tc>
              <w:tc>
                <w:tcPr>
                  <w:tcW w:w="2763" w:type="pct"/>
                  <w:tcBorders>
                    <w:tl2br w:val="nil"/>
                    <w:tr2bl w:val="nil"/>
                  </w:tcBorders>
                  <w:noWrap w:val="0"/>
                  <w:vAlign w:val="center"/>
                </w:tcPr>
                <w:p w14:paraId="1EA6231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第二十二条 禁止新建、扩建不符合国家石化、现代煤化工等产业布局规划的项目</w:t>
                  </w:r>
                </w:p>
                <w:p w14:paraId="6B74060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（一）严格控制新增炼油产能，未列入《石化产业规划布局方案（修订版）》的新增炼油产能一律不得建设。</w:t>
                  </w:r>
                </w:p>
                <w:p w14:paraId="5732E81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（二）新建煤制烯烃、煤制芳烃项目必须列入《现代煤化工产业创新发展布局方案》，必须符合《现代煤化工建设项目环境准入条件（试行）》要求。</w:t>
                  </w:r>
                </w:p>
              </w:tc>
              <w:tc>
                <w:tcPr>
                  <w:tcW w:w="1151" w:type="pct"/>
                  <w:tcBorders>
                    <w:tl2br w:val="nil"/>
                    <w:tr2bl w:val="nil"/>
                  </w:tcBorders>
                  <w:noWrap w:val="0"/>
                  <w:vAlign w:val="center"/>
                </w:tcPr>
                <w:p w14:paraId="4EF5109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不属于石化、现代煤化工项目。</w:t>
                  </w:r>
                </w:p>
              </w:tc>
              <w:tc>
                <w:tcPr>
                  <w:tcW w:w="619" w:type="pct"/>
                  <w:tcBorders>
                    <w:tl2br w:val="nil"/>
                    <w:tr2bl w:val="nil"/>
                  </w:tcBorders>
                  <w:noWrap w:val="0"/>
                  <w:vAlign w:val="center"/>
                </w:tcPr>
                <w:p w14:paraId="5621A2B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符合</w:t>
                  </w:r>
                </w:p>
              </w:tc>
            </w:tr>
            <w:tr w14:paraId="6C77D1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6" w:type="pct"/>
                  <w:tcBorders>
                    <w:tl2br w:val="nil"/>
                    <w:tr2bl w:val="nil"/>
                  </w:tcBorders>
                  <w:noWrap w:val="0"/>
                  <w:vAlign w:val="center"/>
                </w:tcPr>
                <w:p w14:paraId="4FAA4D7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19</w:t>
                  </w:r>
                </w:p>
              </w:tc>
              <w:tc>
                <w:tcPr>
                  <w:tcW w:w="2763" w:type="pct"/>
                  <w:tcBorders>
                    <w:tl2br w:val="nil"/>
                    <w:tr2bl w:val="nil"/>
                  </w:tcBorders>
                  <w:noWrap w:val="0"/>
                  <w:vAlign w:val="center"/>
                </w:tcPr>
                <w:p w14:paraId="798E463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第二十三条 禁止新建、扩建法律法规和相关政策明令禁止的落后产能项目。对《产业结构调整指导目录》中淘汰类项目，禁止投资限制类的新建项目，禁止投资，对属于限制类的现有生产能力，允许企业在一定期限内采取措施改造升级。</w:t>
                  </w:r>
                </w:p>
              </w:tc>
              <w:tc>
                <w:tcPr>
                  <w:tcW w:w="1151" w:type="pct"/>
                  <w:tcBorders>
                    <w:tl2br w:val="nil"/>
                    <w:tr2bl w:val="nil"/>
                  </w:tcBorders>
                  <w:noWrap w:val="0"/>
                  <w:vAlign w:val="center"/>
                </w:tcPr>
                <w:p w14:paraId="07469DF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项目属于允许类项目</w:t>
                  </w:r>
                </w:p>
              </w:tc>
              <w:tc>
                <w:tcPr>
                  <w:tcW w:w="619" w:type="pct"/>
                  <w:vMerge w:val="restart"/>
                  <w:tcBorders>
                    <w:tl2br w:val="nil"/>
                    <w:tr2bl w:val="nil"/>
                  </w:tcBorders>
                  <w:noWrap w:val="0"/>
                  <w:vAlign w:val="center"/>
                </w:tcPr>
                <w:p w14:paraId="28C350D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符合</w:t>
                  </w:r>
                </w:p>
              </w:tc>
            </w:tr>
            <w:tr w14:paraId="6E6EAA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6" w:type="pct"/>
                  <w:tcBorders>
                    <w:tl2br w:val="nil"/>
                    <w:tr2bl w:val="nil"/>
                  </w:tcBorders>
                  <w:noWrap w:val="0"/>
                  <w:vAlign w:val="center"/>
                </w:tcPr>
                <w:p w14:paraId="6D01D2D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20</w:t>
                  </w:r>
                </w:p>
              </w:tc>
              <w:tc>
                <w:tcPr>
                  <w:tcW w:w="2763" w:type="pct"/>
                  <w:tcBorders>
                    <w:tl2br w:val="nil"/>
                    <w:tr2bl w:val="nil"/>
                  </w:tcBorders>
                  <w:noWrap w:val="0"/>
                  <w:vAlign w:val="center"/>
                </w:tcPr>
                <w:p w14:paraId="2A0C49B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第二十四条 禁止新建、扩建不符合国家产能置换要求的严重过剩产能行业的项目。对于不符合国家产能置换要求的严重过剩产能行业，不得以其他任何名义、任何方式备案新增产能项目。</w:t>
                  </w:r>
                </w:p>
              </w:tc>
              <w:tc>
                <w:tcPr>
                  <w:tcW w:w="1151" w:type="pct"/>
                  <w:tcBorders>
                    <w:tl2br w:val="nil"/>
                    <w:tr2bl w:val="nil"/>
                  </w:tcBorders>
                  <w:noWrap w:val="0"/>
                  <w:vAlign w:val="center"/>
                </w:tcPr>
                <w:p w14:paraId="2472872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不属于产能过剩项目</w:t>
                  </w:r>
                </w:p>
              </w:tc>
              <w:tc>
                <w:tcPr>
                  <w:tcW w:w="619" w:type="pct"/>
                  <w:vMerge w:val="continue"/>
                  <w:tcBorders>
                    <w:tl2br w:val="nil"/>
                    <w:tr2bl w:val="nil"/>
                  </w:tcBorders>
                  <w:noWrap w:val="0"/>
                  <w:vAlign w:val="center"/>
                </w:tcPr>
                <w:p w14:paraId="25B01DC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p>
              </w:tc>
            </w:tr>
            <w:tr w14:paraId="54046C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6" w:type="pct"/>
                  <w:tcBorders>
                    <w:tl2br w:val="nil"/>
                    <w:tr2bl w:val="nil"/>
                  </w:tcBorders>
                  <w:noWrap w:val="0"/>
                  <w:vAlign w:val="center"/>
                </w:tcPr>
                <w:p w14:paraId="7DB92AA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21</w:t>
                  </w:r>
                </w:p>
              </w:tc>
              <w:tc>
                <w:tcPr>
                  <w:tcW w:w="2763" w:type="pct"/>
                  <w:tcBorders>
                    <w:tl2br w:val="nil"/>
                    <w:tr2bl w:val="nil"/>
                  </w:tcBorders>
                  <w:noWrap w:val="0"/>
                  <w:vAlign w:val="center"/>
                </w:tcPr>
                <w:p w14:paraId="2DC96418">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第二十五条 禁止建设以下燃油汽车投资项目（不在中国境内销售产品的投资项目除外）：</w:t>
                  </w:r>
                </w:p>
                <w:p w14:paraId="3B0B9CEB">
                  <w:pPr>
                    <w:keepNext w:val="0"/>
                    <w:keepLines w:val="0"/>
                    <w:pageBreakBefore w:val="0"/>
                    <w:widowControl w:val="0"/>
                    <w:numPr>
                      <w:ilvl w:val="0"/>
                      <w:numId w:val="3"/>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新建独立燃油汽车企业</w:t>
                  </w:r>
                  <w:r>
                    <w:rPr>
                      <w:rFonts w:hint="eastAsia" w:cs="Times New Roman"/>
                      <w:b w:val="0"/>
                      <w:bCs w:val="0"/>
                      <w:color w:val="000000" w:themeColor="text1"/>
                      <w:kern w:val="0"/>
                      <w:sz w:val="21"/>
                      <w:szCs w:val="21"/>
                      <w:highlight w:val="none"/>
                      <w:vertAlign w:val="baseline"/>
                      <w:lang w:val="en-US" w:eastAsia="zh-CN"/>
                      <w14:textFill>
                        <w14:solidFill>
                          <w14:schemeClr w14:val="tx1"/>
                        </w14:solidFill>
                      </w14:textFill>
                    </w:rPr>
                    <w:t>；</w:t>
                  </w:r>
                </w:p>
                <w:p w14:paraId="1AF57BE5">
                  <w:pPr>
                    <w:keepNext w:val="0"/>
                    <w:keepLines w:val="0"/>
                    <w:pageBreakBefore w:val="0"/>
                    <w:widowControl w:val="0"/>
                    <w:numPr>
                      <w:ilvl w:val="0"/>
                      <w:numId w:val="3"/>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现有汽车企业跨乘用车、商用车类别建设燃油汽车生产能力</w:t>
                  </w:r>
                  <w:r>
                    <w:rPr>
                      <w:rFonts w:hint="eastAsia" w:cs="Times New Roman"/>
                      <w:b w:val="0"/>
                      <w:bCs w:val="0"/>
                      <w:color w:val="000000" w:themeColor="text1"/>
                      <w:kern w:val="0"/>
                      <w:sz w:val="21"/>
                      <w:szCs w:val="21"/>
                      <w:highlight w:val="none"/>
                      <w:vertAlign w:val="baseline"/>
                      <w:lang w:val="en-US" w:eastAsia="zh-CN"/>
                      <w14:textFill>
                        <w14:solidFill>
                          <w14:schemeClr w14:val="tx1"/>
                        </w14:solidFill>
                      </w14:textFill>
                    </w:rPr>
                    <w:t>；</w:t>
                  </w:r>
                </w:p>
                <w:p w14:paraId="13F9F413">
                  <w:pPr>
                    <w:keepNext w:val="0"/>
                    <w:keepLines w:val="0"/>
                    <w:pageBreakBefore w:val="0"/>
                    <w:widowControl w:val="0"/>
                    <w:numPr>
                      <w:ilvl w:val="0"/>
                      <w:numId w:val="3"/>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外省现有燃油汽车企业整体搬迁至本省（列入国家级区域发展规划或不改变企业般叔结构的项目除外）</w:t>
                  </w:r>
                  <w:r>
                    <w:rPr>
                      <w:rFonts w:hint="eastAsia" w:cs="Times New Roman"/>
                      <w:b w:val="0"/>
                      <w:bCs w:val="0"/>
                      <w:color w:val="000000" w:themeColor="text1"/>
                      <w:kern w:val="0"/>
                      <w:sz w:val="21"/>
                      <w:szCs w:val="21"/>
                      <w:highlight w:val="none"/>
                      <w:vertAlign w:val="baseline"/>
                      <w:lang w:val="en-US" w:eastAsia="zh-CN"/>
                      <w14:textFill>
                        <w14:solidFill>
                          <w14:schemeClr w14:val="tx1"/>
                        </w14:solidFill>
                      </w14:textFill>
                    </w:rPr>
                    <w:t>；</w:t>
                  </w:r>
                </w:p>
                <w:p w14:paraId="50F60104">
                  <w:pPr>
                    <w:keepNext w:val="0"/>
                    <w:keepLines w:val="0"/>
                    <w:pageBreakBefore w:val="0"/>
                    <w:widowControl w:val="0"/>
                    <w:numPr>
                      <w:ilvl w:val="0"/>
                      <w:numId w:val="3"/>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对行业管理部门特别公示的燃油汽车企业进行投资（企业原有股东投资或将该企业转为非独立法人的投资项目除外）。</w:t>
                  </w:r>
                </w:p>
              </w:tc>
              <w:tc>
                <w:tcPr>
                  <w:tcW w:w="1151" w:type="pct"/>
                  <w:tcBorders>
                    <w:tl2br w:val="nil"/>
                    <w:tr2bl w:val="nil"/>
                  </w:tcBorders>
                  <w:noWrap w:val="0"/>
                  <w:vAlign w:val="center"/>
                </w:tcPr>
                <w:p w14:paraId="71ABB9E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不属于燃油汽车生产项目</w:t>
                  </w:r>
                </w:p>
              </w:tc>
              <w:tc>
                <w:tcPr>
                  <w:tcW w:w="619" w:type="pct"/>
                  <w:vMerge w:val="continue"/>
                  <w:tcBorders>
                    <w:tl2br w:val="nil"/>
                    <w:tr2bl w:val="nil"/>
                  </w:tcBorders>
                  <w:noWrap w:val="0"/>
                  <w:vAlign w:val="center"/>
                </w:tcPr>
                <w:p w14:paraId="07DB42A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p>
              </w:tc>
            </w:tr>
            <w:tr w14:paraId="5323DD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79" w:hRule="atLeast"/>
              </w:trPr>
              <w:tc>
                <w:tcPr>
                  <w:tcW w:w="466" w:type="pct"/>
                  <w:tcBorders>
                    <w:tl2br w:val="nil"/>
                    <w:tr2bl w:val="nil"/>
                  </w:tcBorders>
                  <w:noWrap w:val="0"/>
                  <w:vAlign w:val="center"/>
                </w:tcPr>
                <w:p w14:paraId="47CE80C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22</w:t>
                  </w:r>
                </w:p>
              </w:tc>
              <w:tc>
                <w:tcPr>
                  <w:tcW w:w="2763" w:type="pct"/>
                  <w:tcBorders>
                    <w:tl2br w:val="nil"/>
                    <w:tr2bl w:val="nil"/>
                  </w:tcBorders>
                  <w:noWrap w:val="0"/>
                  <w:vAlign w:val="center"/>
                </w:tcPr>
                <w:p w14:paraId="2CEB016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第二十六条 禁止新建、扩建不符合要求的高耗能、高排放、低水平项目。</w:t>
                  </w:r>
                </w:p>
              </w:tc>
              <w:tc>
                <w:tcPr>
                  <w:tcW w:w="1151" w:type="pct"/>
                  <w:tcBorders>
                    <w:tl2br w:val="nil"/>
                    <w:tr2bl w:val="nil"/>
                  </w:tcBorders>
                  <w:noWrap w:val="0"/>
                  <w:vAlign w:val="center"/>
                </w:tcPr>
                <w:p w14:paraId="14231E1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拟建项目属于O8222宠物医院服务，不属于高耗能、高排放、低水平项目。</w:t>
                  </w:r>
                </w:p>
              </w:tc>
              <w:tc>
                <w:tcPr>
                  <w:tcW w:w="619" w:type="pct"/>
                  <w:tcBorders>
                    <w:tl2br w:val="nil"/>
                    <w:tr2bl w:val="nil"/>
                  </w:tcBorders>
                  <w:noWrap w:val="0"/>
                  <w:vAlign w:val="center"/>
                </w:tcPr>
                <w:p w14:paraId="125F032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符合</w:t>
                  </w:r>
                </w:p>
              </w:tc>
            </w:tr>
          </w:tbl>
          <w:p w14:paraId="45F8CBE6">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由上表</w:t>
            </w:r>
            <w:r>
              <w:rPr>
                <w:rFonts w:hint="eastAsia" w:cs="Times New Roman"/>
                <w:b w:val="0"/>
                <w:bCs w:val="0"/>
                <w:color w:val="000000" w:themeColor="text1"/>
                <w:kern w:val="0"/>
                <w:sz w:val="24"/>
                <w:szCs w:val="24"/>
                <w:highlight w:val="none"/>
                <w:lang w:val="en-US" w:eastAsia="zh-CN"/>
                <w14:textFill>
                  <w14:solidFill>
                    <w14:schemeClr w14:val="tx1"/>
                  </w14:solidFill>
                </w14:textFill>
              </w:rPr>
              <w:t>1.3-3</w:t>
            </w:r>
            <w:r>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知，拟建项目符合《四川省、重庆市长江经济带发展负面清单实施细则（试行，2022年版）》相关要求。</w:t>
            </w:r>
          </w:p>
          <w:p w14:paraId="155E993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0" w:firstLineChars="0"/>
              <w:jc w:val="left"/>
              <w:textAlignment w:val="auto"/>
              <w:outlineLvl w:val="0"/>
              <w:rPr>
                <w:rFonts w:hint="default" w:ascii="Times New Roman" w:hAnsi="Times New Roman" w:eastAsia="宋体" w:cs="Times New Roman"/>
                <w:b/>
                <w:bCs/>
                <w:color w:val="000000" w:themeColor="text1"/>
                <w:sz w:val="24"/>
                <w:szCs w:val="24"/>
                <w:highlight w:val="none"/>
                <w:vertAlign w:val="baseli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vertAlign w:val="baseline"/>
                <w14:textFill>
                  <w14:solidFill>
                    <w14:schemeClr w14:val="tx1"/>
                  </w14:solidFill>
                </w14:textFill>
              </w:rPr>
              <w:t>3.4与《动物诊疗机构管理办法》</w:t>
            </w:r>
            <w:r>
              <w:rPr>
                <w:rFonts w:hint="default" w:ascii="Times New Roman" w:hAnsi="Times New Roman" w:eastAsia="宋体" w:cs="Times New Roman"/>
                <w:b/>
                <w:bCs/>
                <w:color w:val="000000" w:themeColor="text1"/>
                <w:sz w:val="24"/>
                <w:szCs w:val="24"/>
                <w:highlight w:val="none"/>
                <w:vertAlign w:val="baseline"/>
                <w:lang w:eastAsia="zh-CN"/>
                <w14:textFill>
                  <w14:solidFill>
                    <w14:schemeClr w14:val="tx1"/>
                  </w14:solidFill>
                </w14:textFill>
              </w:rPr>
              <w:t>（</w:t>
            </w:r>
            <w:r>
              <w:rPr>
                <w:rFonts w:hint="default" w:ascii="Times New Roman" w:hAnsi="Times New Roman" w:eastAsia="宋体" w:cs="Times New Roman"/>
                <w:b/>
                <w:bCs/>
                <w:color w:val="000000" w:themeColor="text1"/>
                <w:sz w:val="24"/>
                <w:szCs w:val="24"/>
                <w:highlight w:val="none"/>
                <w:vertAlign w:val="baseline"/>
                <w14:textFill>
                  <w14:solidFill>
                    <w14:schemeClr w14:val="tx1"/>
                  </w14:solidFill>
                </w14:textFill>
              </w:rPr>
              <w:t>农业农村部令2022年第5号</w:t>
            </w:r>
            <w:r>
              <w:rPr>
                <w:rFonts w:hint="default" w:ascii="Times New Roman" w:hAnsi="Times New Roman" w:eastAsia="宋体" w:cs="Times New Roman"/>
                <w:b/>
                <w:bCs/>
                <w:color w:val="000000" w:themeColor="text1"/>
                <w:sz w:val="24"/>
                <w:szCs w:val="24"/>
                <w:highlight w:val="none"/>
                <w:vertAlign w:val="baseline"/>
                <w:lang w:eastAsia="zh-CN"/>
                <w14:textFill>
                  <w14:solidFill>
                    <w14:schemeClr w14:val="tx1"/>
                  </w14:solidFill>
                </w14:textFill>
              </w:rPr>
              <w:t>）</w:t>
            </w:r>
            <w:r>
              <w:rPr>
                <w:rFonts w:hint="default" w:ascii="Times New Roman" w:hAnsi="Times New Roman" w:eastAsia="宋体" w:cs="Times New Roman"/>
                <w:b/>
                <w:bCs/>
                <w:color w:val="000000" w:themeColor="text1"/>
                <w:sz w:val="24"/>
                <w:szCs w:val="24"/>
                <w:highlight w:val="none"/>
                <w:vertAlign w:val="baseline"/>
                <w14:textFill>
                  <w14:solidFill>
                    <w14:schemeClr w14:val="tx1"/>
                  </w14:solidFill>
                </w14:textFill>
              </w:rPr>
              <w:t>符合性分析</w:t>
            </w:r>
          </w:p>
          <w:p w14:paraId="1808082A">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项目与《动物诊疗机构管理办法》（农业农村部令2022年第5号）的符合性分析见下表。</w:t>
            </w:r>
          </w:p>
          <w:p w14:paraId="6F6AC774">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kern w:val="0"/>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t>表1</w:t>
            </w:r>
            <w:r>
              <w:rPr>
                <w:rFonts w:hint="eastAsia" w:cs="Times New Roman"/>
                <w:b/>
                <w:bCs/>
                <w:color w:val="000000" w:themeColor="text1"/>
                <w:kern w:val="0"/>
                <w:sz w:val="24"/>
                <w:szCs w:val="24"/>
                <w:highlight w:val="none"/>
                <w:lang w:val="en-US" w:eastAsia="zh-CN"/>
                <w14:textFill>
                  <w14:solidFill>
                    <w14:schemeClr w14:val="tx1"/>
                  </w14:solidFill>
                </w14:textFill>
              </w:rPr>
              <w:t>.3-4</w:t>
            </w:r>
            <w:r>
              <w:rPr>
                <w:rFonts w:hint="default"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t xml:space="preserve"> 与《动物诊疗机构管理办法》符合性分析</w:t>
            </w:r>
          </w:p>
          <w:tbl>
            <w:tblPr>
              <w:tblStyle w:val="2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625"/>
              <w:gridCol w:w="2140"/>
              <w:gridCol w:w="1090"/>
            </w:tblGrid>
            <w:tr w14:paraId="16A906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44" w:type="pct"/>
                  <w:tcBorders>
                    <w:tl2br w:val="nil"/>
                    <w:tr2bl w:val="nil"/>
                  </w:tcBorders>
                  <w:noWrap w:val="0"/>
                  <w:vAlign w:val="center"/>
                </w:tcPr>
                <w:p w14:paraId="1DDA91E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申请设立动物诊疗机构应具备的条件</w:t>
                  </w:r>
                </w:p>
              </w:tc>
              <w:tc>
                <w:tcPr>
                  <w:tcW w:w="1561" w:type="pct"/>
                  <w:tcBorders>
                    <w:tl2br w:val="nil"/>
                    <w:tr2bl w:val="nil"/>
                  </w:tcBorders>
                  <w:noWrap w:val="0"/>
                  <w:vAlign w:val="center"/>
                </w:tcPr>
                <w:p w14:paraId="00B0FB0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项目情况</w:t>
                  </w:r>
                </w:p>
              </w:tc>
              <w:tc>
                <w:tcPr>
                  <w:tcW w:w="794" w:type="pct"/>
                  <w:tcBorders>
                    <w:tl2br w:val="nil"/>
                    <w:tr2bl w:val="nil"/>
                  </w:tcBorders>
                  <w:noWrap w:val="0"/>
                  <w:vAlign w:val="center"/>
                </w:tcPr>
                <w:p w14:paraId="1CADC46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符合性</w:t>
                  </w:r>
                </w:p>
              </w:tc>
            </w:tr>
            <w:tr w14:paraId="2E0EE8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44" w:type="pct"/>
                  <w:tcBorders>
                    <w:tl2br w:val="nil"/>
                    <w:tr2bl w:val="nil"/>
                  </w:tcBorders>
                  <w:noWrap w:val="0"/>
                  <w:vAlign w:val="center"/>
                </w:tcPr>
                <w:p w14:paraId="77D0A51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（一）有固定的动物诊疗场所，且动物诊疗场所使用面积符合省、自治区、直辖市人民政府农业农村主管部门的规定</w:t>
                  </w:r>
                </w:p>
              </w:tc>
              <w:tc>
                <w:tcPr>
                  <w:tcW w:w="1561" w:type="pct"/>
                  <w:tcBorders>
                    <w:tl2br w:val="nil"/>
                    <w:tr2bl w:val="nil"/>
                  </w:tcBorders>
                  <w:noWrap w:val="0"/>
                  <w:vAlign w:val="center"/>
                </w:tcPr>
                <w:p w14:paraId="5A02C62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项目具有固定诊疗场所，设施及配套较为完善。</w:t>
                  </w:r>
                </w:p>
              </w:tc>
              <w:tc>
                <w:tcPr>
                  <w:tcW w:w="794" w:type="pct"/>
                  <w:tcBorders>
                    <w:tl2br w:val="nil"/>
                    <w:tr2bl w:val="nil"/>
                  </w:tcBorders>
                  <w:noWrap w:val="0"/>
                  <w:vAlign w:val="center"/>
                </w:tcPr>
                <w:p w14:paraId="2B068E5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符合</w:t>
                  </w:r>
                </w:p>
              </w:tc>
            </w:tr>
            <w:tr w14:paraId="5A6675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44" w:type="pct"/>
                  <w:tcBorders>
                    <w:tl2br w:val="nil"/>
                    <w:tr2bl w:val="nil"/>
                  </w:tcBorders>
                  <w:noWrap w:val="0"/>
                  <w:vAlign w:val="center"/>
                </w:tcPr>
                <w:p w14:paraId="5F21EDC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（二）动物诊疗场所选址距离动物饲养场、动物屠宰加工场所、经营动物的集贸市场不少于200米</w:t>
                  </w:r>
                </w:p>
              </w:tc>
              <w:tc>
                <w:tcPr>
                  <w:tcW w:w="1561" w:type="pct"/>
                  <w:tcBorders>
                    <w:tl2br w:val="nil"/>
                    <w:tr2bl w:val="nil"/>
                  </w:tcBorders>
                  <w:noWrap w:val="0"/>
                  <w:vAlign w:val="center"/>
                </w:tcPr>
                <w:p w14:paraId="161CF58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项目周边200m范围内无动物饲养场、动物屠宰加工场所、经营动物的集贸市场等</w:t>
                  </w:r>
                </w:p>
              </w:tc>
              <w:tc>
                <w:tcPr>
                  <w:tcW w:w="794" w:type="pct"/>
                  <w:tcBorders>
                    <w:tl2br w:val="nil"/>
                    <w:tr2bl w:val="nil"/>
                  </w:tcBorders>
                  <w:noWrap w:val="0"/>
                  <w:vAlign w:val="center"/>
                </w:tcPr>
                <w:p w14:paraId="0FFEAC3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符合</w:t>
                  </w:r>
                </w:p>
              </w:tc>
            </w:tr>
            <w:tr w14:paraId="24541E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44" w:type="pct"/>
                  <w:tcBorders>
                    <w:tl2br w:val="nil"/>
                    <w:tr2bl w:val="nil"/>
                  </w:tcBorders>
                  <w:noWrap w:val="0"/>
                  <w:vAlign w:val="center"/>
                </w:tcPr>
                <w:p w14:paraId="2ACBFEA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（三）动物诊疗场所设有独立的出入口，出入口不得设在居民住宅楼内或院内，不得与同一建筑物的其他用户共用通道</w:t>
                  </w:r>
                </w:p>
              </w:tc>
              <w:tc>
                <w:tcPr>
                  <w:tcW w:w="1561" w:type="pct"/>
                  <w:tcBorders>
                    <w:tl2br w:val="nil"/>
                    <w:tr2bl w:val="nil"/>
                  </w:tcBorders>
                  <w:noWrap w:val="0"/>
                  <w:vAlign w:val="center"/>
                </w:tcPr>
                <w:p w14:paraId="3328987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项目所在区域为</w:t>
                  </w:r>
                  <w:r>
                    <w:rPr>
                      <w:rFonts w:hint="eastAsia" w:cs="Times New Roman"/>
                      <w:b w:val="0"/>
                      <w:bCs w:val="0"/>
                      <w:color w:val="000000" w:themeColor="text1"/>
                      <w:kern w:val="0"/>
                      <w:sz w:val="21"/>
                      <w:szCs w:val="21"/>
                      <w:highlight w:val="none"/>
                      <w:vertAlign w:val="baseline"/>
                      <w:lang w:val="en-US" w:eastAsia="zh-CN"/>
                      <w14:textFill>
                        <w14:solidFill>
                          <w14:schemeClr w14:val="tx1"/>
                        </w14:solidFill>
                      </w14:textFill>
                    </w:rPr>
                    <w:t>商铺</w:t>
                  </w: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，设置了独立的出入口，没有与其他用户共用通道</w:t>
                  </w:r>
                </w:p>
              </w:tc>
              <w:tc>
                <w:tcPr>
                  <w:tcW w:w="794" w:type="pct"/>
                  <w:tcBorders>
                    <w:tl2br w:val="nil"/>
                    <w:tr2bl w:val="nil"/>
                  </w:tcBorders>
                  <w:noWrap w:val="0"/>
                  <w:vAlign w:val="center"/>
                </w:tcPr>
                <w:p w14:paraId="1EC7F73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符合</w:t>
                  </w:r>
                </w:p>
              </w:tc>
            </w:tr>
            <w:tr w14:paraId="4354D8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44" w:type="pct"/>
                  <w:tcBorders>
                    <w:tl2br w:val="nil"/>
                    <w:tr2bl w:val="nil"/>
                  </w:tcBorders>
                  <w:noWrap w:val="0"/>
                  <w:vAlign w:val="center"/>
                </w:tcPr>
                <w:p w14:paraId="7E179A4D">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（四）具有布局合理的诊疗室、隔离室、药房等设施</w:t>
                  </w:r>
                </w:p>
              </w:tc>
              <w:tc>
                <w:tcPr>
                  <w:tcW w:w="1561" w:type="pct"/>
                  <w:tcBorders>
                    <w:tl2br w:val="nil"/>
                    <w:tr2bl w:val="nil"/>
                  </w:tcBorders>
                  <w:noWrap w:val="0"/>
                  <w:vAlign w:val="center"/>
                </w:tcPr>
                <w:p w14:paraId="53AE17C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医院设置有诊疗室、隔离室、药房等设施。</w:t>
                  </w:r>
                </w:p>
              </w:tc>
              <w:tc>
                <w:tcPr>
                  <w:tcW w:w="794" w:type="pct"/>
                  <w:tcBorders>
                    <w:tl2br w:val="nil"/>
                    <w:tr2bl w:val="nil"/>
                  </w:tcBorders>
                  <w:noWrap w:val="0"/>
                  <w:vAlign w:val="center"/>
                </w:tcPr>
                <w:p w14:paraId="7FB3025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符合</w:t>
                  </w:r>
                </w:p>
              </w:tc>
            </w:tr>
            <w:tr w14:paraId="7896F4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44" w:type="pct"/>
                  <w:tcBorders>
                    <w:tl2br w:val="nil"/>
                    <w:tr2bl w:val="nil"/>
                  </w:tcBorders>
                  <w:noWrap w:val="0"/>
                  <w:vAlign w:val="center"/>
                </w:tcPr>
                <w:p w14:paraId="3E2A7789">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（五）具有诊断、消毒、冷藏、常规化验污水处理等器械设备</w:t>
                  </w:r>
                </w:p>
              </w:tc>
              <w:tc>
                <w:tcPr>
                  <w:tcW w:w="1561" w:type="pct"/>
                  <w:tcBorders>
                    <w:tl2br w:val="nil"/>
                    <w:tr2bl w:val="nil"/>
                  </w:tcBorders>
                  <w:noWrap w:val="0"/>
                  <w:vAlign w:val="center"/>
                </w:tcPr>
                <w:p w14:paraId="4EB6708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项目具有诊断、消毒、冷藏、常规化验、污水处理设施等器械设备</w:t>
                  </w:r>
                </w:p>
              </w:tc>
              <w:tc>
                <w:tcPr>
                  <w:tcW w:w="794" w:type="pct"/>
                  <w:tcBorders>
                    <w:tl2br w:val="nil"/>
                    <w:tr2bl w:val="nil"/>
                  </w:tcBorders>
                  <w:noWrap w:val="0"/>
                  <w:vAlign w:val="center"/>
                </w:tcPr>
                <w:p w14:paraId="520A389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符合</w:t>
                  </w:r>
                </w:p>
              </w:tc>
            </w:tr>
            <w:tr w14:paraId="2BB07A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44" w:type="pct"/>
                  <w:tcBorders>
                    <w:tl2br w:val="nil"/>
                    <w:tr2bl w:val="nil"/>
                  </w:tcBorders>
                  <w:noWrap w:val="0"/>
                  <w:vAlign w:val="center"/>
                </w:tcPr>
                <w:p w14:paraId="68FFD255">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（六）具有诊疗废弃物暂存处理设施，并委托专业处理机构处理</w:t>
                  </w:r>
                </w:p>
              </w:tc>
              <w:tc>
                <w:tcPr>
                  <w:tcW w:w="1561" w:type="pct"/>
                  <w:tcBorders>
                    <w:tl2br w:val="nil"/>
                    <w:tr2bl w:val="nil"/>
                  </w:tcBorders>
                  <w:noWrap w:val="0"/>
                  <w:vAlign w:val="center"/>
                </w:tcPr>
                <w:p w14:paraId="01A7ACB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项目设有医废间，并委托有资质单位进行处理。</w:t>
                  </w:r>
                </w:p>
              </w:tc>
              <w:tc>
                <w:tcPr>
                  <w:tcW w:w="794" w:type="pct"/>
                  <w:tcBorders>
                    <w:tl2br w:val="nil"/>
                    <w:tr2bl w:val="nil"/>
                  </w:tcBorders>
                  <w:noWrap w:val="0"/>
                  <w:vAlign w:val="center"/>
                </w:tcPr>
                <w:p w14:paraId="17413EF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符合</w:t>
                  </w:r>
                </w:p>
              </w:tc>
            </w:tr>
            <w:tr w14:paraId="55CB46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44" w:type="pct"/>
                  <w:tcBorders>
                    <w:tl2br w:val="nil"/>
                    <w:tr2bl w:val="nil"/>
                  </w:tcBorders>
                  <w:noWrap w:val="0"/>
                  <w:vAlign w:val="center"/>
                </w:tcPr>
                <w:p w14:paraId="5CB7032C">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（七）具有染疫或者疑似染疫动物的隔离控制措施及设施设备</w:t>
                  </w:r>
                </w:p>
              </w:tc>
              <w:tc>
                <w:tcPr>
                  <w:tcW w:w="1561" w:type="pct"/>
                  <w:tcBorders>
                    <w:tl2br w:val="nil"/>
                    <w:tr2bl w:val="nil"/>
                  </w:tcBorders>
                  <w:noWrap w:val="0"/>
                  <w:vAlign w:val="center"/>
                </w:tcPr>
                <w:p w14:paraId="6F3790E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项目设有隔离室</w:t>
                  </w:r>
                </w:p>
              </w:tc>
              <w:tc>
                <w:tcPr>
                  <w:tcW w:w="794" w:type="pct"/>
                  <w:tcBorders>
                    <w:tl2br w:val="nil"/>
                    <w:tr2bl w:val="nil"/>
                  </w:tcBorders>
                  <w:noWrap w:val="0"/>
                  <w:vAlign w:val="center"/>
                </w:tcPr>
                <w:p w14:paraId="6D9E55C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符合</w:t>
                  </w:r>
                </w:p>
              </w:tc>
            </w:tr>
            <w:tr w14:paraId="2C0F9B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44" w:type="pct"/>
                  <w:tcBorders>
                    <w:tl2br w:val="nil"/>
                    <w:tr2bl w:val="nil"/>
                  </w:tcBorders>
                  <w:noWrap w:val="0"/>
                  <w:vAlign w:val="center"/>
                </w:tcPr>
                <w:p w14:paraId="09F3C724">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（八）具有与动物诊疗活动相适应的执业兽医</w:t>
                  </w:r>
                </w:p>
              </w:tc>
              <w:tc>
                <w:tcPr>
                  <w:tcW w:w="1561" w:type="pct"/>
                  <w:tcBorders>
                    <w:tl2br w:val="nil"/>
                    <w:tr2bl w:val="nil"/>
                  </w:tcBorders>
                  <w:noWrap w:val="0"/>
                  <w:vAlign w:val="center"/>
                </w:tcPr>
                <w:p w14:paraId="454C04F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项目拥有已取得执业兽医师资格证书的人员</w:t>
                  </w:r>
                </w:p>
              </w:tc>
              <w:tc>
                <w:tcPr>
                  <w:tcW w:w="794" w:type="pct"/>
                  <w:tcBorders>
                    <w:tl2br w:val="nil"/>
                    <w:tr2bl w:val="nil"/>
                  </w:tcBorders>
                  <w:noWrap w:val="0"/>
                  <w:vAlign w:val="center"/>
                </w:tcPr>
                <w:p w14:paraId="340B696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符合</w:t>
                  </w:r>
                </w:p>
              </w:tc>
            </w:tr>
            <w:tr w14:paraId="697AEF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44" w:type="pct"/>
                  <w:tcBorders>
                    <w:tl2br w:val="nil"/>
                    <w:tr2bl w:val="nil"/>
                  </w:tcBorders>
                  <w:noWrap w:val="0"/>
                  <w:vAlign w:val="center"/>
                </w:tcPr>
                <w:p w14:paraId="7077D5C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（九）具有完善的诊疗服务、疫情报告、卫生安全防护、消毒、隔离、诊疗废弃物暂存、兽医器械、兽药处方、药物和无害化处理等管理制度</w:t>
                  </w:r>
                </w:p>
              </w:tc>
              <w:tc>
                <w:tcPr>
                  <w:tcW w:w="1561" w:type="pct"/>
                  <w:tcBorders>
                    <w:tl2br w:val="nil"/>
                    <w:tr2bl w:val="nil"/>
                  </w:tcBorders>
                  <w:noWrap w:val="0"/>
                  <w:vAlign w:val="center"/>
                </w:tcPr>
                <w:p w14:paraId="307A280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项目拥有完善的诊疗服务、疫情报告、卫生安全防护、消毒、隔离、诊疗废弃物暂存、兽医器械、兽药处方、药物和无害化处理等管理制度</w:t>
                  </w:r>
                </w:p>
              </w:tc>
              <w:tc>
                <w:tcPr>
                  <w:tcW w:w="794" w:type="pct"/>
                  <w:tcBorders>
                    <w:tl2br w:val="nil"/>
                    <w:tr2bl w:val="nil"/>
                  </w:tcBorders>
                  <w:noWrap w:val="0"/>
                  <w:vAlign w:val="center"/>
                </w:tcPr>
                <w:p w14:paraId="74E71C0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符合</w:t>
                  </w:r>
                </w:p>
              </w:tc>
            </w:tr>
          </w:tbl>
          <w:p w14:paraId="696D9E24">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综上所述，项目的建设符合《动物诊疗机构管理办法》（农业农村部令2022年第5号）的相关要求。</w:t>
            </w:r>
          </w:p>
          <w:p w14:paraId="520D89E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0" w:firstLineChars="0"/>
              <w:jc w:val="left"/>
              <w:textAlignment w:val="auto"/>
              <w:outlineLvl w:val="0"/>
              <w:rPr>
                <w:rFonts w:hint="default" w:ascii="Times New Roman" w:hAnsi="Times New Roman" w:eastAsia="宋体" w:cs="Times New Roman"/>
                <w:b/>
                <w:bCs/>
                <w:color w:val="000000" w:themeColor="text1"/>
                <w:sz w:val="24"/>
                <w:szCs w:val="24"/>
                <w:highlight w:val="none"/>
                <w:vertAlign w:val="baseli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vertAlign w:val="baseline"/>
                <w14:textFill>
                  <w14:solidFill>
                    <w14:schemeClr w14:val="tx1"/>
                  </w14:solidFill>
                </w14:textFill>
              </w:rPr>
              <w:t>3.</w:t>
            </w:r>
            <w:r>
              <w:rPr>
                <w:rFonts w:hint="default" w:ascii="Times New Roman" w:hAnsi="Times New Roman" w:eastAsia="宋体" w:cs="Times New Roman"/>
                <w:b/>
                <w:bCs/>
                <w:color w:val="000000" w:themeColor="text1"/>
                <w:sz w:val="24"/>
                <w:szCs w:val="24"/>
                <w:highlight w:val="none"/>
                <w:vertAlign w:val="baseline"/>
                <w:lang w:val="en-US" w:eastAsia="zh-CN"/>
                <w14:textFill>
                  <w14:solidFill>
                    <w14:schemeClr w14:val="tx1"/>
                  </w14:solidFill>
                </w14:textFill>
              </w:rPr>
              <w:t>5</w:t>
            </w:r>
            <w:r>
              <w:rPr>
                <w:rFonts w:hint="default" w:ascii="Times New Roman" w:hAnsi="Times New Roman" w:eastAsia="宋体" w:cs="Times New Roman"/>
                <w:b/>
                <w:bCs/>
                <w:color w:val="000000" w:themeColor="text1"/>
                <w:sz w:val="24"/>
                <w:szCs w:val="24"/>
                <w:highlight w:val="none"/>
                <w:vertAlign w:val="baseline"/>
                <w14:textFill>
                  <w14:solidFill>
                    <w14:schemeClr w14:val="tx1"/>
                  </w14:solidFill>
                </w14:textFill>
              </w:rPr>
              <w:t xml:space="preserve"> 与《中华人民共和国动物防疫法》</w:t>
            </w:r>
            <w:r>
              <w:rPr>
                <w:rFonts w:hint="default" w:ascii="Times New Roman" w:hAnsi="Times New Roman" w:eastAsia="宋体" w:cs="Times New Roman"/>
                <w:b/>
                <w:bCs/>
                <w:color w:val="000000" w:themeColor="text1"/>
                <w:sz w:val="24"/>
                <w:szCs w:val="24"/>
                <w:highlight w:val="none"/>
                <w:vertAlign w:val="baseline"/>
                <w:lang w:eastAsia="zh-CN"/>
                <w14:textFill>
                  <w14:solidFill>
                    <w14:schemeClr w14:val="tx1"/>
                  </w14:solidFill>
                </w14:textFill>
              </w:rPr>
              <w:t>（</w:t>
            </w:r>
            <w:r>
              <w:rPr>
                <w:rFonts w:hint="default" w:ascii="Times New Roman" w:hAnsi="Times New Roman" w:eastAsia="宋体" w:cs="Times New Roman"/>
                <w:b/>
                <w:bCs/>
                <w:color w:val="000000" w:themeColor="text1"/>
                <w:sz w:val="24"/>
                <w:szCs w:val="24"/>
                <w:highlight w:val="none"/>
                <w:vertAlign w:val="baseline"/>
                <w14:textFill>
                  <w14:solidFill>
                    <w14:schemeClr w14:val="tx1"/>
                  </w14:solidFill>
                </w14:textFill>
              </w:rPr>
              <w:t>2021版</w:t>
            </w:r>
            <w:r>
              <w:rPr>
                <w:rFonts w:hint="default" w:ascii="Times New Roman" w:hAnsi="Times New Roman" w:eastAsia="宋体" w:cs="Times New Roman"/>
                <w:b/>
                <w:bCs/>
                <w:color w:val="000000" w:themeColor="text1"/>
                <w:sz w:val="24"/>
                <w:szCs w:val="24"/>
                <w:highlight w:val="none"/>
                <w:vertAlign w:val="baseline"/>
                <w:lang w:eastAsia="zh-CN"/>
                <w14:textFill>
                  <w14:solidFill>
                    <w14:schemeClr w14:val="tx1"/>
                  </w14:solidFill>
                </w14:textFill>
              </w:rPr>
              <w:t>）（</w:t>
            </w:r>
            <w:r>
              <w:rPr>
                <w:rFonts w:hint="default" w:ascii="Times New Roman" w:hAnsi="Times New Roman" w:eastAsia="宋体" w:cs="Times New Roman"/>
                <w:b/>
                <w:bCs/>
                <w:color w:val="000000" w:themeColor="text1"/>
                <w:sz w:val="24"/>
                <w:szCs w:val="24"/>
                <w:highlight w:val="none"/>
                <w:vertAlign w:val="baseline"/>
                <w14:textFill>
                  <w14:solidFill>
                    <w14:schemeClr w14:val="tx1"/>
                  </w14:solidFill>
                </w14:textFill>
              </w:rPr>
              <w:t>农业农村部令2022年第5号</w:t>
            </w:r>
            <w:r>
              <w:rPr>
                <w:rFonts w:hint="default" w:ascii="Times New Roman" w:hAnsi="Times New Roman" w:eastAsia="宋体" w:cs="Times New Roman"/>
                <w:b/>
                <w:bCs/>
                <w:color w:val="000000" w:themeColor="text1"/>
                <w:sz w:val="24"/>
                <w:szCs w:val="24"/>
                <w:highlight w:val="none"/>
                <w:vertAlign w:val="baseline"/>
                <w:lang w:eastAsia="zh-CN"/>
                <w14:textFill>
                  <w14:solidFill>
                    <w14:schemeClr w14:val="tx1"/>
                  </w14:solidFill>
                </w14:textFill>
              </w:rPr>
              <w:t>）</w:t>
            </w:r>
            <w:r>
              <w:rPr>
                <w:rFonts w:hint="default" w:ascii="Times New Roman" w:hAnsi="Times New Roman" w:eastAsia="宋体" w:cs="Times New Roman"/>
                <w:b/>
                <w:bCs/>
                <w:color w:val="000000" w:themeColor="text1"/>
                <w:sz w:val="24"/>
                <w:szCs w:val="24"/>
                <w:highlight w:val="none"/>
                <w:vertAlign w:val="baseline"/>
                <w14:textFill>
                  <w14:solidFill>
                    <w14:schemeClr w14:val="tx1"/>
                  </w14:solidFill>
                </w14:textFill>
              </w:rPr>
              <w:t>符合性分析</w:t>
            </w:r>
          </w:p>
          <w:p w14:paraId="56DB28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outlineLvl w:val="0"/>
              <w:rPr>
                <w:rFonts w:hint="default" w:ascii="Times New Roman" w:hAnsi="Times New Roman" w:eastAsia="宋体" w:cs="Times New Roman"/>
                <w:b w:val="0"/>
                <w:bCs w:val="0"/>
                <w:color w:val="000000" w:themeColor="text1"/>
                <w:sz w:val="24"/>
                <w:szCs w:val="24"/>
                <w:highlight w:val="none"/>
                <w:vertAlign w:val="baseline"/>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vertAlign w:val="baseline"/>
                <w14:textFill>
                  <w14:solidFill>
                    <w14:schemeClr w14:val="tx1"/>
                  </w14:solidFill>
                </w14:textFill>
              </w:rPr>
              <w:t>项目与《中华人民共和国动物防疫法》</w:t>
            </w:r>
            <w:r>
              <w:rPr>
                <w:rFonts w:hint="default" w:ascii="Times New Roman" w:hAnsi="Times New Roman" w:eastAsia="宋体" w:cs="Times New Roman"/>
                <w:b w:val="0"/>
                <w:bCs w:val="0"/>
                <w:color w:val="000000" w:themeColor="text1"/>
                <w:sz w:val="24"/>
                <w:szCs w:val="24"/>
                <w:highlight w:val="none"/>
                <w:vertAlign w:val="baseli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vertAlign w:val="baseline"/>
                <w14:textFill>
                  <w14:solidFill>
                    <w14:schemeClr w14:val="tx1"/>
                  </w14:solidFill>
                </w14:textFill>
              </w:rPr>
              <w:t>2021版</w:t>
            </w:r>
            <w:r>
              <w:rPr>
                <w:rFonts w:hint="default" w:ascii="Times New Roman" w:hAnsi="Times New Roman" w:eastAsia="宋体" w:cs="Times New Roman"/>
                <w:b w:val="0"/>
                <w:bCs w:val="0"/>
                <w:color w:val="000000" w:themeColor="text1"/>
                <w:sz w:val="24"/>
                <w:szCs w:val="24"/>
                <w:highlight w:val="none"/>
                <w:vertAlign w:val="baseli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vertAlign w:val="baseline"/>
                <w14:textFill>
                  <w14:solidFill>
                    <w14:schemeClr w14:val="tx1"/>
                  </w14:solidFill>
                </w14:textFill>
              </w:rPr>
              <w:t>的符合性分析详见下表。</w:t>
            </w:r>
          </w:p>
          <w:p w14:paraId="435C918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0" w:firstLineChars="0"/>
              <w:jc w:val="center"/>
              <w:textAlignment w:val="auto"/>
              <w:outlineLvl w:val="0"/>
              <w:rPr>
                <w:rFonts w:hint="default" w:ascii="Times New Roman" w:hAnsi="Times New Roman" w:eastAsia="宋体" w:cs="Times New Roman"/>
                <w:b/>
                <w:bCs/>
                <w:color w:val="000000" w:themeColor="text1"/>
                <w:sz w:val="24"/>
                <w:szCs w:val="24"/>
                <w:highlight w:val="none"/>
                <w:vertAlign w:val="baseli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vertAlign w:val="baseline"/>
                <w14:textFill>
                  <w14:solidFill>
                    <w14:schemeClr w14:val="tx1"/>
                  </w14:solidFill>
                </w14:textFill>
              </w:rPr>
              <w:t>表</w:t>
            </w:r>
            <w:r>
              <w:rPr>
                <w:rFonts w:hint="eastAsia" w:cs="Times New Roman"/>
                <w:b/>
                <w:bCs/>
                <w:color w:val="000000" w:themeColor="text1"/>
                <w:sz w:val="24"/>
                <w:szCs w:val="24"/>
                <w:highlight w:val="none"/>
                <w:vertAlign w:val="baseline"/>
                <w:lang w:val="en-US" w:eastAsia="zh-CN"/>
                <w14:textFill>
                  <w14:solidFill>
                    <w14:schemeClr w14:val="tx1"/>
                  </w14:solidFill>
                </w14:textFill>
              </w:rPr>
              <w:t>1.3-5</w:t>
            </w:r>
            <w:r>
              <w:rPr>
                <w:rFonts w:hint="default" w:ascii="Times New Roman" w:hAnsi="Times New Roman" w:eastAsia="宋体" w:cs="Times New Roman"/>
                <w:b/>
                <w:bCs/>
                <w:color w:val="000000" w:themeColor="text1"/>
                <w:sz w:val="24"/>
                <w:szCs w:val="24"/>
                <w:highlight w:val="none"/>
                <w:vertAlign w:val="baseline"/>
                <w14:textFill>
                  <w14:solidFill>
                    <w14:schemeClr w14:val="tx1"/>
                  </w14:solidFill>
                </w14:textFill>
              </w:rPr>
              <w:t xml:space="preserve"> 项目与《中华人民共和国动物防疫法》符合性分析</w:t>
            </w:r>
          </w:p>
          <w:tbl>
            <w:tblPr>
              <w:tblStyle w:val="2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563"/>
              <w:gridCol w:w="2153"/>
              <w:gridCol w:w="1139"/>
            </w:tblGrid>
            <w:tr w14:paraId="39E218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98" w:type="pct"/>
                  <w:tcBorders>
                    <w:tl2br w:val="nil"/>
                    <w:tr2bl w:val="nil"/>
                  </w:tcBorders>
                  <w:vAlign w:val="center"/>
                </w:tcPr>
                <w:p w14:paraId="1C51D91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《中华人民共和国动物防疫法》（2021版）</w:t>
                  </w:r>
                </w:p>
              </w:tc>
              <w:tc>
                <w:tcPr>
                  <w:tcW w:w="1570" w:type="pct"/>
                  <w:tcBorders>
                    <w:tl2br w:val="nil"/>
                    <w:tr2bl w:val="nil"/>
                  </w:tcBorders>
                  <w:vAlign w:val="center"/>
                </w:tcPr>
                <w:p w14:paraId="473E42C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项目情况</w:t>
                  </w:r>
                </w:p>
              </w:tc>
              <w:tc>
                <w:tcPr>
                  <w:tcW w:w="830" w:type="pct"/>
                  <w:tcBorders>
                    <w:tl2br w:val="nil"/>
                    <w:tr2bl w:val="nil"/>
                  </w:tcBorders>
                  <w:vAlign w:val="center"/>
                </w:tcPr>
                <w:p w14:paraId="4C82CAB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符合性</w:t>
                  </w:r>
                </w:p>
              </w:tc>
            </w:tr>
            <w:tr w14:paraId="08CB5E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98" w:type="pct"/>
                  <w:tcBorders>
                    <w:tl2br w:val="nil"/>
                    <w:tr2bl w:val="nil"/>
                  </w:tcBorders>
                  <w:vAlign w:val="center"/>
                </w:tcPr>
                <w:p w14:paraId="4AA4A6E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从事动物诊疗活动的机构，应当向县级以上地方人民政府农业农村主管部门申请动物诊疗许可证。受理申请的农业农村主管部门应当依照本法和《中华人民共和国行政许可法》的规定进行审查。经审查合格的，发给动物诊疗许可证</w:t>
                  </w:r>
                  <w:r>
                    <w:rPr>
                      <w:rFonts w:hint="eastAsia" w:cs="Times New Roman"/>
                      <w:b w:val="0"/>
                      <w:bCs w:val="0"/>
                      <w:color w:val="000000" w:themeColor="text1"/>
                      <w:kern w:val="0"/>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不合格的，应当通知申请人并说明理由。</w:t>
                  </w:r>
                </w:p>
              </w:tc>
              <w:tc>
                <w:tcPr>
                  <w:tcW w:w="1570" w:type="pct"/>
                  <w:tcBorders>
                    <w:tl2br w:val="nil"/>
                    <w:tr2bl w:val="nil"/>
                  </w:tcBorders>
                  <w:vAlign w:val="center"/>
                </w:tcPr>
                <w:p w14:paraId="59909F6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项目</w:t>
                  </w:r>
                  <w:r>
                    <w:rPr>
                      <w:rFonts w:hint="eastAsia" w:cs="Times New Roman"/>
                      <w:b w:val="0"/>
                      <w:bCs w:val="0"/>
                      <w:color w:val="000000" w:themeColor="text1"/>
                      <w:kern w:val="0"/>
                      <w:sz w:val="21"/>
                      <w:szCs w:val="21"/>
                      <w:highlight w:val="none"/>
                      <w:vertAlign w:val="baseline"/>
                      <w:lang w:val="en-US" w:eastAsia="zh-CN"/>
                      <w14:textFill>
                        <w14:solidFill>
                          <w14:schemeClr w14:val="tx1"/>
                        </w14:solidFill>
                      </w14:textFill>
                    </w:rPr>
                    <w:t>已</w:t>
                  </w: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取得动物诊疗许可证</w:t>
                  </w:r>
                </w:p>
              </w:tc>
              <w:tc>
                <w:tcPr>
                  <w:tcW w:w="830" w:type="pct"/>
                  <w:tcBorders>
                    <w:tl2br w:val="nil"/>
                    <w:tr2bl w:val="nil"/>
                  </w:tcBorders>
                  <w:vAlign w:val="center"/>
                </w:tcPr>
                <w:p w14:paraId="12661D6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符合</w:t>
                  </w:r>
                </w:p>
              </w:tc>
            </w:tr>
            <w:tr w14:paraId="4C438B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98" w:type="pct"/>
                  <w:tcBorders>
                    <w:tl2br w:val="nil"/>
                    <w:tr2bl w:val="nil"/>
                  </w:tcBorders>
                  <w:vAlign w:val="center"/>
                </w:tcPr>
                <w:p w14:paraId="53670A6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动物诊疗机构应当按照国务院农业农村主管部门的规定，做好诊疗活动中的卫生安全防护、消毒、隔离和诊疗废弃物处置等工作。</w:t>
                  </w:r>
                </w:p>
              </w:tc>
              <w:tc>
                <w:tcPr>
                  <w:tcW w:w="1570" w:type="pct"/>
                  <w:tcBorders>
                    <w:tl2br w:val="nil"/>
                    <w:tr2bl w:val="nil"/>
                  </w:tcBorders>
                  <w:vAlign w:val="center"/>
                </w:tcPr>
                <w:p w14:paraId="5525BF36">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项目按相关规定及环评要求做好诊疗活动中的卫生安全防护、消毒、隔离诊疗废弃物处置等</w:t>
                  </w:r>
                </w:p>
              </w:tc>
              <w:tc>
                <w:tcPr>
                  <w:tcW w:w="830" w:type="pct"/>
                  <w:tcBorders>
                    <w:tl2br w:val="nil"/>
                    <w:tr2bl w:val="nil"/>
                  </w:tcBorders>
                  <w:vAlign w:val="center"/>
                </w:tcPr>
                <w:p w14:paraId="35752C5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符合</w:t>
                  </w:r>
                </w:p>
              </w:tc>
            </w:tr>
            <w:tr w14:paraId="3C47FB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98" w:type="pct"/>
                  <w:tcBorders>
                    <w:tl2br w:val="nil"/>
                    <w:tr2bl w:val="nil"/>
                  </w:tcBorders>
                  <w:vAlign w:val="center"/>
                </w:tcPr>
                <w:p w14:paraId="495BF730">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从事动物诊疗活动，应当遵守有关动物诊疗的操作技术规范，使用符合规定的兽药和兽药器械。</w:t>
                  </w:r>
                </w:p>
              </w:tc>
              <w:tc>
                <w:tcPr>
                  <w:tcW w:w="1570" w:type="pct"/>
                  <w:tcBorders>
                    <w:tl2br w:val="nil"/>
                    <w:tr2bl w:val="nil"/>
                  </w:tcBorders>
                  <w:vAlign w:val="center"/>
                </w:tcPr>
                <w:p w14:paraId="62236B8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项目使用符合规定的器械和药品</w:t>
                  </w:r>
                </w:p>
              </w:tc>
              <w:tc>
                <w:tcPr>
                  <w:tcW w:w="830" w:type="pct"/>
                  <w:tcBorders>
                    <w:tl2br w:val="nil"/>
                    <w:tr2bl w:val="nil"/>
                  </w:tcBorders>
                  <w:vAlign w:val="center"/>
                </w:tcPr>
                <w:p w14:paraId="7A129CF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符合</w:t>
                  </w:r>
                </w:p>
              </w:tc>
            </w:tr>
          </w:tbl>
          <w:p w14:paraId="4C9B7F93">
            <w:pPr>
              <w:keepNext w:val="0"/>
              <w:keepLines w:val="0"/>
              <w:pageBreakBefore w:val="0"/>
              <w:widowControl w:val="0"/>
              <w:kinsoku/>
              <w:wordWrap/>
              <w:overflowPunct/>
              <w:topLinePunct w:val="0"/>
              <w:autoSpaceDE w:val="0"/>
              <w:autoSpaceDN w:val="0"/>
              <w:bidi w:val="0"/>
              <w:adjustRightInd w:val="0"/>
              <w:snapToGrid w:val="0"/>
              <w:spacing w:line="360" w:lineRule="auto"/>
              <w:ind w:firstLine="0" w:firstLineChars="0"/>
              <w:jc w:val="left"/>
              <w:textAlignment w:val="auto"/>
              <w:rPr>
                <w:rFonts w:hint="default"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t>3.6 与《重庆市生态环境局重庆市农业农村委员会关于规范动物诊疗机构医疗废物集中无害化处置的通知》渝环</w:t>
            </w:r>
            <w:r>
              <w:rPr>
                <w:rFonts w:hint="eastAsia" w:cs="Times New Roman"/>
                <w:b/>
                <w:bCs/>
                <w:color w:val="000000" w:themeColor="text1"/>
                <w:kern w:val="0"/>
                <w:sz w:val="24"/>
                <w:szCs w:val="24"/>
                <w:highlight w:val="none"/>
                <w:lang w:val="en-US" w:eastAsia="zh-CN"/>
                <w14:textFill>
                  <w14:solidFill>
                    <w14:schemeClr w14:val="tx1"/>
                  </w14:solidFill>
                </w14:textFill>
              </w:rPr>
              <w:t>〔2019〕185号</w:t>
            </w:r>
            <w:r>
              <w:rPr>
                <w:rFonts w:hint="default"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t>的符合性分析</w:t>
            </w:r>
          </w:p>
          <w:p w14:paraId="35B1EC74">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项目与《重庆市生态环境局重庆市农业农村委员会关于规范动物诊疗机构医疗废物集中无害化处置的通知》详见下表。</w:t>
            </w:r>
          </w:p>
          <w:p w14:paraId="5C29022A">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t>表</w:t>
            </w:r>
            <w:r>
              <w:rPr>
                <w:rFonts w:hint="eastAsia" w:cs="Times New Roman"/>
                <w:b/>
                <w:bCs/>
                <w:color w:val="000000" w:themeColor="text1"/>
                <w:kern w:val="0"/>
                <w:sz w:val="24"/>
                <w:szCs w:val="24"/>
                <w:highlight w:val="none"/>
                <w:lang w:val="en-US" w:eastAsia="zh-CN"/>
                <w14:textFill>
                  <w14:solidFill>
                    <w14:schemeClr w14:val="tx1"/>
                  </w14:solidFill>
                </w14:textFill>
              </w:rPr>
              <w:t xml:space="preserve">1.3-6 </w:t>
            </w:r>
            <w:r>
              <w:rPr>
                <w:rFonts w:hint="default"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t>项目与《重庆市生态环境局重庆市农业农村委员会关于规范动物诊疗机构医疗废物集中无害化处置的通知》符合性分析</w:t>
            </w:r>
          </w:p>
          <w:tbl>
            <w:tblPr>
              <w:tblStyle w:val="2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088"/>
              <w:gridCol w:w="1634"/>
              <w:gridCol w:w="1133"/>
            </w:tblGrid>
            <w:tr w14:paraId="1CB351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81" w:type="pct"/>
                  <w:tcBorders>
                    <w:tl2br w:val="nil"/>
                    <w:tr2bl w:val="nil"/>
                  </w:tcBorders>
                  <w:vAlign w:val="center"/>
                </w:tcPr>
                <w:p w14:paraId="091DA60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通知内容</w:t>
                  </w:r>
                </w:p>
              </w:tc>
              <w:tc>
                <w:tcPr>
                  <w:tcW w:w="1192" w:type="pct"/>
                  <w:tcBorders>
                    <w:tl2br w:val="nil"/>
                    <w:tr2bl w:val="nil"/>
                  </w:tcBorders>
                  <w:vAlign w:val="center"/>
                </w:tcPr>
                <w:p w14:paraId="4D9D957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项目情况</w:t>
                  </w:r>
                </w:p>
              </w:tc>
              <w:tc>
                <w:tcPr>
                  <w:tcW w:w="826" w:type="pct"/>
                  <w:tcBorders>
                    <w:tl2br w:val="nil"/>
                    <w:tr2bl w:val="nil"/>
                  </w:tcBorders>
                  <w:vAlign w:val="center"/>
                </w:tcPr>
                <w:p w14:paraId="46924B2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符合性</w:t>
                  </w:r>
                </w:p>
              </w:tc>
            </w:tr>
            <w:tr w14:paraId="6EFA75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81" w:type="pct"/>
                  <w:tcBorders>
                    <w:tl2br w:val="nil"/>
                    <w:tr2bl w:val="nil"/>
                  </w:tcBorders>
                  <w:vAlign w:val="center"/>
                </w:tcPr>
                <w:p w14:paraId="6702D502">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一、根据《国家危险废物名录》和《动物诊疗机构管理办法》，动物诊疗机构为动物诊治产生的废物（不含病死动物和动物病理组织）属于HW01医疗废物，应当参照《医疗废物管理条例》的有关规定交具有相应资质的医疗废物处置单位进行集中处置，不得非法转移、倾倒及处置。</w:t>
                  </w:r>
                </w:p>
              </w:tc>
              <w:tc>
                <w:tcPr>
                  <w:tcW w:w="1192" w:type="pct"/>
                  <w:tcBorders>
                    <w:tl2br w:val="nil"/>
                    <w:tr2bl w:val="nil"/>
                  </w:tcBorders>
                  <w:vAlign w:val="center"/>
                </w:tcPr>
                <w:p w14:paraId="7093D3C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项目产生的医疗废物经医废间暂存后，定期交资质单位进行处置。</w:t>
                  </w:r>
                </w:p>
              </w:tc>
              <w:tc>
                <w:tcPr>
                  <w:tcW w:w="826" w:type="pct"/>
                  <w:tcBorders>
                    <w:tl2br w:val="nil"/>
                    <w:tr2bl w:val="nil"/>
                  </w:tcBorders>
                  <w:vAlign w:val="center"/>
                </w:tcPr>
                <w:p w14:paraId="7DC3970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符合</w:t>
                  </w:r>
                </w:p>
              </w:tc>
            </w:tr>
            <w:tr w14:paraId="19D449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81" w:type="pct"/>
                  <w:tcBorders>
                    <w:tl2br w:val="nil"/>
                    <w:tr2bl w:val="nil"/>
                  </w:tcBorders>
                  <w:vAlign w:val="center"/>
                </w:tcPr>
                <w:p w14:paraId="2D6B981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二、各动物诊疗机构应提高对医疗废物管理工作重要性的认识，建立管理责任制，加强对医疗废物的管理切实履行环境保护主体责任。使用后的针头、一次性输液器、输液管等医疗废物应专门收集，不得混入生活垃圾。各动物诊疗机构应规范医疗废物收集、贮存及移交等工作，建立医疗废物的贮存设施、设备，不得露天存放医疗废物</w:t>
                  </w:r>
                  <w:r>
                    <w:rPr>
                      <w:rFonts w:hint="eastAsia" w:cs="Times New Roman"/>
                      <w:b w:val="0"/>
                      <w:bCs w:val="0"/>
                      <w:color w:val="000000" w:themeColor="text1"/>
                      <w:kern w:val="0"/>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医疗废物应交由医疗废物处置单位进行集中处置，并做好有关交接、登记和统计等工作，转移医疗废物应执行危险废物转移联单制度保证医疗废物的可追溯性。</w:t>
                  </w:r>
                </w:p>
              </w:tc>
              <w:tc>
                <w:tcPr>
                  <w:tcW w:w="1192" w:type="pct"/>
                  <w:tcBorders>
                    <w:tl2br w:val="nil"/>
                    <w:tr2bl w:val="nil"/>
                  </w:tcBorders>
                  <w:vAlign w:val="center"/>
                </w:tcPr>
                <w:p w14:paraId="19AA41A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项目已设置医废间，对产生的医疗废物进行暂存，已与医疗废物资质单位签订协议，定期交资质单位处置。</w:t>
                  </w:r>
                </w:p>
              </w:tc>
              <w:tc>
                <w:tcPr>
                  <w:tcW w:w="826" w:type="pct"/>
                  <w:tcBorders>
                    <w:tl2br w:val="nil"/>
                    <w:tr2bl w:val="nil"/>
                  </w:tcBorders>
                  <w:vAlign w:val="center"/>
                </w:tcPr>
                <w:p w14:paraId="1BDD60B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符合</w:t>
                  </w:r>
                </w:p>
              </w:tc>
            </w:tr>
            <w:tr w14:paraId="6AF498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81" w:type="pct"/>
                  <w:tcBorders>
                    <w:tl2br w:val="nil"/>
                    <w:tr2bl w:val="nil"/>
                  </w:tcBorders>
                  <w:vAlign w:val="center"/>
                </w:tcPr>
                <w:p w14:paraId="0733C76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三、各医疗废物处置单位应严格按照医疗废物处置的有关技术规范开展对动物诊疗机构医疗废物收集、运输、贮存及处置的工作，其中动物诊疗机构医疗废物和医疗卫生机构医疗废物应分类收运、贮存及处置</w:t>
                  </w:r>
                  <w:r>
                    <w:rPr>
                      <w:rFonts w:hint="eastAsia" w:cs="Times New Roman"/>
                      <w:b w:val="0"/>
                      <w:bCs w:val="0"/>
                      <w:color w:val="000000" w:themeColor="text1"/>
                      <w:kern w:val="0"/>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情况，并定期向生态环境部门报告。处置单位要加强对动物诊疗机构医疗废物处置过程的管控，制定并严格执行操作规程，做好处置人员的培训和职业卫生防护;建立危险废物经营情况记录簿，如实记录动物诊疗机构医疗废物的转移、贮存及处置</w:t>
                  </w:r>
                </w:p>
              </w:tc>
              <w:tc>
                <w:tcPr>
                  <w:tcW w:w="1192" w:type="pct"/>
                  <w:tcBorders>
                    <w:tl2br w:val="nil"/>
                    <w:tr2bl w:val="nil"/>
                  </w:tcBorders>
                  <w:vAlign w:val="center"/>
                </w:tcPr>
                <w:p w14:paraId="0E0CD7E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企业建立了管理责任制，使用后的针头、一次性输液器、输液管等医疗废物分类收集于医疗废物收集桶，并分类别置于医废间</w:t>
                  </w:r>
                  <w:r>
                    <w:rPr>
                      <w:rFonts w:hint="eastAsia" w:cs="Times New Roman"/>
                      <w:b w:val="0"/>
                      <w:bCs w:val="0"/>
                      <w:color w:val="000000" w:themeColor="text1"/>
                      <w:kern w:val="0"/>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产生的医疗废物交有资质单位处置，并按照危险废物转移管理办法执行。</w:t>
                  </w:r>
                </w:p>
              </w:tc>
              <w:tc>
                <w:tcPr>
                  <w:tcW w:w="826" w:type="pct"/>
                  <w:tcBorders>
                    <w:tl2br w:val="nil"/>
                    <w:tr2bl w:val="nil"/>
                  </w:tcBorders>
                  <w:vAlign w:val="center"/>
                </w:tcPr>
                <w:p w14:paraId="3CF8B48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符合</w:t>
                  </w:r>
                </w:p>
              </w:tc>
            </w:tr>
          </w:tbl>
          <w:p w14:paraId="1FC44B0B">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综上所述，项目的建设符合《重庆市生态环境局重庆市农业农村委员会关于规范动物诊疗机构医疗废物集中无害化处置的通知》的相关要求。</w:t>
            </w:r>
          </w:p>
          <w:p w14:paraId="1F0BABA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0" w:firstLineChars="0"/>
              <w:jc w:val="left"/>
              <w:textAlignment w:val="auto"/>
              <w:outlineLvl w:val="0"/>
              <w:rPr>
                <w:rFonts w:hint="default" w:ascii="Times New Roman" w:hAnsi="Times New Roman" w:eastAsia="宋体" w:cs="Times New Roman"/>
                <w:b/>
                <w:bCs/>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vertAlign w:val="baseline"/>
                <w:lang w:val="en-US" w:eastAsia="zh-CN"/>
                <w14:textFill>
                  <w14:solidFill>
                    <w14:schemeClr w14:val="tx1"/>
                  </w14:solidFill>
                </w14:textFill>
              </w:rPr>
              <w:t>3.7 与《重庆市动物防疫条例》（2023年9月27日修订）符合性分析</w:t>
            </w:r>
          </w:p>
          <w:p w14:paraId="3A043A6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outlineLvl w:val="0"/>
              <w:rPr>
                <w:rFonts w:hint="default" w:ascii="Times New Roman" w:hAnsi="Times New Roman" w:eastAsia="宋体" w:cs="Times New Roman"/>
                <w:b w:val="0"/>
                <w:bCs w:val="0"/>
                <w:color w:val="000000" w:themeColor="text1"/>
                <w:sz w:val="24"/>
                <w:szCs w:val="24"/>
                <w:highlight w:val="none"/>
                <w:vertAlign w:val="baseline"/>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vertAlign w:val="baseline"/>
                <w14:textFill>
                  <w14:solidFill>
                    <w14:schemeClr w14:val="tx1"/>
                  </w14:solidFill>
                </w14:textFill>
              </w:rPr>
              <w:t>项目与</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《重庆市动物防疫条例》（2023年9月27日修订）</w:t>
            </w:r>
            <w:r>
              <w:rPr>
                <w:rFonts w:hint="default" w:ascii="Times New Roman" w:hAnsi="Times New Roman" w:eastAsia="宋体" w:cs="Times New Roman"/>
                <w:b w:val="0"/>
                <w:bCs w:val="0"/>
                <w:color w:val="000000" w:themeColor="text1"/>
                <w:sz w:val="24"/>
                <w:szCs w:val="24"/>
                <w:highlight w:val="none"/>
                <w:vertAlign w:val="baseline"/>
                <w14:textFill>
                  <w14:solidFill>
                    <w14:schemeClr w14:val="tx1"/>
                  </w14:solidFill>
                </w14:textFill>
              </w:rPr>
              <w:t>的符合性分析详见下表。</w:t>
            </w:r>
          </w:p>
          <w:p w14:paraId="5C76C3B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0" w:firstLineChars="0"/>
              <w:jc w:val="center"/>
              <w:textAlignment w:val="auto"/>
              <w:outlineLvl w:val="0"/>
              <w:rPr>
                <w:rFonts w:hint="default" w:ascii="Times New Roman" w:hAnsi="Times New Roman" w:eastAsia="宋体" w:cs="Times New Roman"/>
                <w:b/>
                <w:bCs/>
                <w:color w:val="auto"/>
                <w:sz w:val="24"/>
                <w:szCs w:val="24"/>
                <w:highlight w:val="none"/>
                <w:vertAlign w:val="baseline"/>
              </w:rPr>
            </w:pPr>
            <w:r>
              <w:rPr>
                <w:rFonts w:hint="default" w:ascii="Times New Roman" w:hAnsi="Times New Roman" w:eastAsia="宋体" w:cs="Times New Roman"/>
                <w:b/>
                <w:bCs/>
                <w:color w:val="auto"/>
                <w:sz w:val="24"/>
                <w:szCs w:val="24"/>
                <w:highlight w:val="none"/>
                <w:vertAlign w:val="baseline"/>
              </w:rPr>
              <w:t>表</w:t>
            </w:r>
            <w:r>
              <w:rPr>
                <w:rFonts w:hint="eastAsia" w:cs="Times New Roman"/>
                <w:b/>
                <w:bCs/>
                <w:color w:val="auto"/>
                <w:sz w:val="24"/>
                <w:szCs w:val="24"/>
                <w:highlight w:val="none"/>
                <w:vertAlign w:val="baseline"/>
                <w:lang w:val="en-US" w:eastAsia="zh-CN"/>
              </w:rPr>
              <w:t>1.3-7</w:t>
            </w:r>
            <w:r>
              <w:rPr>
                <w:rFonts w:hint="default" w:ascii="Times New Roman" w:hAnsi="Times New Roman" w:eastAsia="宋体" w:cs="Times New Roman"/>
                <w:b/>
                <w:bCs/>
                <w:color w:val="auto"/>
                <w:sz w:val="24"/>
                <w:szCs w:val="24"/>
                <w:highlight w:val="none"/>
                <w:vertAlign w:val="baseline"/>
              </w:rPr>
              <w:t>与《重庆市动物防疫条例》符合性分析</w:t>
            </w:r>
          </w:p>
          <w:tbl>
            <w:tblPr>
              <w:tblStyle w:val="2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083"/>
              <w:gridCol w:w="1633"/>
              <w:gridCol w:w="1139"/>
            </w:tblGrid>
            <w:tr w14:paraId="528C06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78" w:type="pct"/>
                  <w:tcBorders>
                    <w:tl2br w:val="nil"/>
                    <w:tr2bl w:val="nil"/>
                  </w:tcBorders>
                  <w:vAlign w:val="center"/>
                </w:tcPr>
                <w:p w14:paraId="450FE76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0"/>
                    <w:rPr>
                      <w:rFonts w:hint="default" w:ascii="Times New Roman" w:hAnsi="Times New Roman" w:eastAsia="宋体" w:cs="Times New Roman"/>
                      <w:b w:val="0"/>
                      <w:bCs w:val="0"/>
                      <w:color w:val="auto"/>
                      <w:sz w:val="21"/>
                      <w:szCs w:val="21"/>
                      <w:highlight w:val="none"/>
                      <w:vertAlign w:val="baseline"/>
                    </w:rPr>
                  </w:pPr>
                  <w:r>
                    <w:rPr>
                      <w:rFonts w:hint="default" w:ascii="Times New Roman" w:hAnsi="Times New Roman" w:eastAsia="宋体" w:cs="Times New Roman"/>
                      <w:b w:val="0"/>
                      <w:bCs w:val="0"/>
                      <w:color w:val="auto"/>
                      <w:sz w:val="21"/>
                      <w:szCs w:val="21"/>
                      <w:highlight w:val="none"/>
                      <w:vertAlign w:val="baseline"/>
                    </w:rPr>
                    <w:t>《重庆市动物防疫条例》相关规定要求</w:t>
                  </w:r>
                </w:p>
              </w:tc>
              <w:tc>
                <w:tcPr>
                  <w:tcW w:w="1191" w:type="pct"/>
                  <w:tcBorders>
                    <w:tl2br w:val="nil"/>
                    <w:tr2bl w:val="nil"/>
                  </w:tcBorders>
                  <w:vAlign w:val="center"/>
                </w:tcPr>
                <w:p w14:paraId="45281BE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0"/>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项目情况</w:t>
                  </w:r>
                </w:p>
              </w:tc>
              <w:tc>
                <w:tcPr>
                  <w:tcW w:w="830" w:type="pct"/>
                  <w:tcBorders>
                    <w:tl2br w:val="nil"/>
                    <w:tr2bl w:val="nil"/>
                  </w:tcBorders>
                  <w:vAlign w:val="center"/>
                </w:tcPr>
                <w:p w14:paraId="10B4A9A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0"/>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符合性</w:t>
                  </w:r>
                </w:p>
              </w:tc>
            </w:tr>
            <w:tr w14:paraId="445799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78" w:type="pct"/>
                  <w:tcBorders>
                    <w:tl2br w:val="nil"/>
                    <w:tr2bl w:val="nil"/>
                  </w:tcBorders>
                  <w:vAlign w:val="center"/>
                </w:tcPr>
                <w:p w14:paraId="0B0C17C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outlineLvl w:val="0"/>
                    <w:rPr>
                      <w:rFonts w:hint="default" w:ascii="Times New Roman" w:hAnsi="Times New Roman" w:eastAsia="宋体" w:cs="Times New Roman"/>
                      <w:b w:val="0"/>
                      <w:bCs w:val="0"/>
                      <w:color w:val="auto"/>
                      <w:sz w:val="21"/>
                      <w:szCs w:val="21"/>
                      <w:highlight w:val="none"/>
                      <w:vertAlign w:val="baseline"/>
                    </w:rPr>
                  </w:pPr>
                  <w:r>
                    <w:rPr>
                      <w:rFonts w:hint="default" w:ascii="Times New Roman" w:hAnsi="Times New Roman" w:eastAsia="宋体" w:cs="Times New Roman"/>
                      <w:b w:val="0"/>
                      <w:bCs w:val="0"/>
                      <w:color w:val="auto"/>
                      <w:sz w:val="21"/>
                      <w:szCs w:val="21"/>
                      <w:highlight w:val="none"/>
                      <w:vertAlign w:val="baseline"/>
                    </w:rPr>
                    <w:t>第六条从事动物饲养、屠宰、经营、隔离、运输、诊疗以及动物产品生产、经营、加工贮藏等活动的单位和个人，应当依法做好免疫、消毒、检测、隔离、净化、消灭、无害化处理等动物防疫工作，承担动物防疫相关责</w:t>
                  </w:r>
                  <w:r>
                    <w:rPr>
                      <w:rFonts w:hint="eastAsia" w:cs="Times New Roman"/>
                      <w:b w:val="0"/>
                      <w:bCs w:val="0"/>
                      <w:color w:val="auto"/>
                      <w:sz w:val="21"/>
                      <w:szCs w:val="21"/>
                      <w:highlight w:val="none"/>
                      <w:vertAlign w:val="baseline"/>
                      <w:lang w:val="en-US" w:eastAsia="zh-CN"/>
                    </w:rPr>
                    <w:t>任</w:t>
                  </w:r>
                  <w:r>
                    <w:rPr>
                      <w:rFonts w:hint="default" w:ascii="Times New Roman" w:hAnsi="Times New Roman" w:eastAsia="宋体" w:cs="Times New Roman"/>
                      <w:b w:val="0"/>
                      <w:bCs w:val="0"/>
                      <w:color w:val="auto"/>
                      <w:sz w:val="21"/>
                      <w:szCs w:val="21"/>
                      <w:highlight w:val="none"/>
                      <w:vertAlign w:val="baseline"/>
                    </w:rPr>
                    <w:t>。</w:t>
                  </w:r>
                </w:p>
              </w:tc>
              <w:tc>
                <w:tcPr>
                  <w:tcW w:w="1191" w:type="pct"/>
                  <w:tcBorders>
                    <w:tl2br w:val="nil"/>
                    <w:tr2bl w:val="nil"/>
                  </w:tcBorders>
                  <w:vAlign w:val="center"/>
                </w:tcPr>
                <w:p w14:paraId="0530245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0"/>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rPr>
                    <w:t>项目为动物医院，设置了隔离病房，并做好免疫、消毒等动物防疫工作，项目</w:t>
                  </w:r>
                  <w:r>
                    <w:rPr>
                      <w:rFonts w:hint="eastAsia" w:cs="Times New Roman"/>
                      <w:b w:val="0"/>
                      <w:bCs w:val="0"/>
                      <w:color w:val="auto"/>
                      <w:sz w:val="21"/>
                      <w:szCs w:val="21"/>
                      <w:highlight w:val="none"/>
                      <w:vertAlign w:val="baseline"/>
                      <w:lang w:val="en-US" w:eastAsia="zh-CN"/>
                    </w:rPr>
                    <w:t>宠物</w:t>
                  </w:r>
                  <w:r>
                    <w:rPr>
                      <w:rFonts w:hint="default" w:ascii="Times New Roman" w:hAnsi="Times New Roman" w:eastAsia="宋体" w:cs="Times New Roman"/>
                      <w:b w:val="0"/>
                      <w:bCs w:val="0"/>
                      <w:color w:val="auto"/>
                      <w:sz w:val="21"/>
                      <w:szCs w:val="21"/>
                      <w:highlight w:val="none"/>
                      <w:vertAlign w:val="baseline"/>
                    </w:rPr>
                    <w:t>尸体</w:t>
                  </w:r>
                  <w:r>
                    <w:rPr>
                      <w:rFonts w:hint="eastAsia" w:cs="Times New Roman"/>
                      <w:b w:val="0"/>
                      <w:bCs w:val="0"/>
                      <w:color w:val="auto"/>
                      <w:sz w:val="21"/>
                      <w:szCs w:val="21"/>
                      <w:highlight w:val="none"/>
                      <w:vertAlign w:val="baseline"/>
                      <w:lang w:val="en-US" w:eastAsia="zh-CN"/>
                    </w:rPr>
                    <w:t>交由有无害化处置资质的单位进行无害化处置。</w:t>
                  </w:r>
                </w:p>
              </w:tc>
              <w:tc>
                <w:tcPr>
                  <w:tcW w:w="830" w:type="pct"/>
                  <w:tcBorders>
                    <w:tl2br w:val="nil"/>
                    <w:tr2bl w:val="nil"/>
                  </w:tcBorders>
                  <w:vAlign w:val="center"/>
                </w:tcPr>
                <w:p w14:paraId="53783EE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0"/>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符合</w:t>
                  </w:r>
                </w:p>
              </w:tc>
            </w:tr>
            <w:tr w14:paraId="7738A3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78" w:type="pct"/>
                  <w:tcBorders>
                    <w:tl2br w:val="nil"/>
                    <w:tr2bl w:val="nil"/>
                  </w:tcBorders>
                  <w:vAlign w:val="center"/>
                </w:tcPr>
                <w:p w14:paraId="2885BBF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outlineLvl w:val="0"/>
                    <w:rPr>
                      <w:rFonts w:hint="default" w:ascii="Times New Roman" w:hAnsi="Times New Roman" w:eastAsia="宋体" w:cs="Times New Roman"/>
                      <w:b w:val="0"/>
                      <w:bCs w:val="0"/>
                      <w:color w:val="auto"/>
                      <w:sz w:val="21"/>
                      <w:szCs w:val="21"/>
                      <w:highlight w:val="none"/>
                      <w:vertAlign w:val="baseline"/>
                      <w:lang w:eastAsia="zh-CN"/>
                    </w:rPr>
                  </w:pPr>
                  <w:r>
                    <w:rPr>
                      <w:rFonts w:hint="default" w:ascii="Times New Roman" w:hAnsi="Times New Roman" w:eastAsia="宋体" w:cs="Times New Roman"/>
                      <w:b w:val="0"/>
                      <w:bCs w:val="0"/>
                      <w:color w:val="auto"/>
                      <w:sz w:val="21"/>
                      <w:szCs w:val="21"/>
                      <w:highlight w:val="none"/>
                      <w:vertAlign w:val="baseline"/>
                    </w:rPr>
                    <w:t>第二十二条从事动物饲养、屠宰、经营、隔离以及动物产品生产、经营加工、贮藏等活动的单位和个人，应当按照国家有关规定做好病死动物和病害动物产品的无害化处理，或者委托动物和动物产品集中无害化处理场所处理。</w:t>
                  </w:r>
                  <w:r>
                    <w:rPr>
                      <w:rFonts w:hint="default" w:ascii="Times New Roman" w:hAnsi="Times New Roman" w:eastAsia="宋体" w:cs="Times New Roman"/>
                      <w:b w:val="0"/>
                      <w:bCs w:val="0"/>
                      <w:color w:val="auto"/>
                      <w:sz w:val="21"/>
                      <w:szCs w:val="21"/>
                      <w:highlight w:val="none"/>
                      <w:vertAlign w:val="baseline"/>
                      <w:lang w:val="en-US" w:eastAsia="zh-CN"/>
                    </w:rPr>
                    <w:t>从事</w:t>
                  </w:r>
                  <w:r>
                    <w:rPr>
                      <w:rFonts w:hint="default" w:ascii="Times New Roman" w:hAnsi="Times New Roman" w:eastAsia="宋体" w:cs="Times New Roman"/>
                      <w:b w:val="0"/>
                      <w:bCs w:val="0"/>
                      <w:color w:val="auto"/>
                      <w:sz w:val="21"/>
                      <w:szCs w:val="21"/>
                      <w:highlight w:val="none"/>
                      <w:vertAlign w:val="baseline"/>
                    </w:rPr>
                    <w:t>动物、动物产品运输的单位和个人，应当配合做好病死动物和病害动物产品的无害化处理，不得擅自弃置和处理有关动物和动物产品。任何单位和个人不得买卖、加工、随意弃置病死动物和病害动物产品</w:t>
                  </w:r>
                  <w:r>
                    <w:rPr>
                      <w:rFonts w:hint="default" w:ascii="Times New Roman" w:hAnsi="Times New Roman" w:eastAsia="宋体" w:cs="Times New Roman"/>
                      <w:b w:val="0"/>
                      <w:bCs w:val="0"/>
                      <w:color w:val="auto"/>
                      <w:sz w:val="21"/>
                      <w:szCs w:val="21"/>
                      <w:highlight w:val="none"/>
                      <w:vertAlign w:val="baseline"/>
                      <w:lang w:eastAsia="zh-CN"/>
                    </w:rPr>
                    <w:t>。</w:t>
                  </w:r>
                </w:p>
              </w:tc>
              <w:tc>
                <w:tcPr>
                  <w:tcW w:w="1191" w:type="pct"/>
                  <w:tcBorders>
                    <w:tl2br w:val="nil"/>
                    <w:tr2bl w:val="nil"/>
                  </w:tcBorders>
                  <w:vAlign w:val="center"/>
                </w:tcPr>
                <w:p w14:paraId="67957A0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0"/>
                    <w:rPr>
                      <w:rFonts w:hint="default" w:ascii="Times New Roman" w:hAnsi="Times New Roman" w:eastAsia="宋体" w:cs="Times New Roman"/>
                      <w:b w:val="0"/>
                      <w:bCs w:val="0"/>
                      <w:color w:val="auto"/>
                      <w:sz w:val="21"/>
                      <w:szCs w:val="21"/>
                      <w:highlight w:val="none"/>
                      <w:vertAlign w:val="baseline"/>
                    </w:rPr>
                  </w:pPr>
                  <w:r>
                    <w:rPr>
                      <w:rFonts w:hint="default" w:ascii="Times New Roman" w:hAnsi="Times New Roman" w:eastAsia="宋体" w:cs="Times New Roman"/>
                      <w:b w:val="0"/>
                      <w:bCs w:val="0"/>
                      <w:color w:val="auto"/>
                      <w:sz w:val="21"/>
                      <w:szCs w:val="21"/>
                      <w:highlight w:val="none"/>
                      <w:vertAlign w:val="baseline"/>
                    </w:rPr>
                    <w:t>项目为动物医院，</w:t>
                  </w:r>
                  <w:r>
                    <w:rPr>
                      <w:rFonts w:hint="eastAsia" w:cs="Times New Roman"/>
                      <w:b w:val="0"/>
                      <w:bCs w:val="0"/>
                      <w:color w:val="auto"/>
                      <w:sz w:val="21"/>
                      <w:szCs w:val="21"/>
                      <w:highlight w:val="none"/>
                      <w:vertAlign w:val="baseline"/>
                      <w:lang w:val="en-US" w:eastAsia="zh-CN"/>
                    </w:rPr>
                    <w:t>设置</w:t>
                  </w:r>
                  <w:r>
                    <w:rPr>
                      <w:rFonts w:hint="default" w:ascii="Times New Roman" w:hAnsi="Times New Roman" w:eastAsia="宋体" w:cs="Times New Roman"/>
                      <w:b w:val="0"/>
                      <w:bCs w:val="0"/>
                      <w:color w:val="auto"/>
                      <w:sz w:val="21"/>
                      <w:szCs w:val="21"/>
                      <w:highlight w:val="none"/>
                      <w:vertAlign w:val="baseline"/>
                    </w:rPr>
                    <w:t>了隔离病房，病死动物及病害动物交动物尸体</w:t>
                  </w:r>
                  <w:r>
                    <w:rPr>
                      <w:rFonts w:hint="eastAsia" w:cs="Times New Roman"/>
                      <w:b w:val="0"/>
                      <w:bCs w:val="0"/>
                      <w:color w:val="auto"/>
                      <w:sz w:val="21"/>
                      <w:szCs w:val="21"/>
                      <w:highlight w:val="none"/>
                      <w:vertAlign w:val="baseline"/>
                      <w:lang w:val="en-US" w:eastAsia="zh-CN"/>
                    </w:rPr>
                    <w:t>交由有无害化处置资质的单位进行无害化处置。</w:t>
                  </w:r>
                </w:p>
              </w:tc>
              <w:tc>
                <w:tcPr>
                  <w:tcW w:w="830" w:type="pct"/>
                  <w:tcBorders>
                    <w:tl2br w:val="nil"/>
                    <w:tr2bl w:val="nil"/>
                  </w:tcBorders>
                  <w:vAlign w:val="center"/>
                </w:tcPr>
                <w:p w14:paraId="00C4418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0"/>
                    <w:rPr>
                      <w:rFonts w:hint="default" w:ascii="Times New Roman" w:hAnsi="Times New Roman" w:eastAsia="宋体" w:cs="Times New Roman"/>
                      <w:b w:val="0"/>
                      <w:bCs w:val="0"/>
                      <w:color w:val="auto"/>
                      <w:sz w:val="21"/>
                      <w:szCs w:val="21"/>
                      <w:highlight w:val="none"/>
                      <w:vertAlign w:val="baseline"/>
                    </w:rPr>
                  </w:pPr>
                  <w:r>
                    <w:rPr>
                      <w:rFonts w:hint="default" w:ascii="Times New Roman" w:hAnsi="Times New Roman" w:eastAsia="宋体" w:cs="Times New Roman"/>
                      <w:b w:val="0"/>
                      <w:bCs w:val="0"/>
                      <w:color w:val="auto"/>
                      <w:sz w:val="21"/>
                      <w:szCs w:val="21"/>
                      <w:highlight w:val="none"/>
                      <w:vertAlign w:val="baseline"/>
                      <w:lang w:val="en-US" w:eastAsia="zh-CN"/>
                    </w:rPr>
                    <w:t>符合</w:t>
                  </w:r>
                </w:p>
              </w:tc>
            </w:tr>
          </w:tbl>
          <w:p w14:paraId="46379A8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0" w:firstLineChars="0"/>
              <w:jc w:val="left"/>
              <w:textAlignment w:val="auto"/>
              <w:outlineLvl w:val="0"/>
              <w:rPr>
                <w:rFonts w:hint="default" w:ascii="Times New Roman" w:hAnsi="Times New Roman" w:eastAsia="宋体" w:cs="Times New Roman"/>
                <w:b/>
                <w:bCs/>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vertAlign w:val="baseline"/>
                <w:lang w:val="en-US" w:eastAsia="zh-CN"/>
                <w14:textFill>
                  <w14:solidFill>
                    <w14:schemeClr w14:val="tx1"/>
                  </w14:solidFill>
                </w14:textFill>
              </w:rPr>
              <w:t>3.8 选址合理性</w:t>
            </w:r>
          </w:p>
          <w:p w14:paraId="23759B9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outlineLvl w:val="0"/>
              <w:rPr>
                <w:rFonts w:hint="default" w:ascii="Times New Roman" w:hAnsi="Times New Roman" w:eastAsia="宋体" w:cs="Times New Roman"/>
                <w:b w:val="0"/>
                <w:bCs w:val="0"/>
                <w:color w:val="FF0000"/>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项目位于</w:t>
            </w:r>
            <w:r>
              <w:rPr>
                <w:rFonts w:hint="eastAsia" w:ascii="Times New Roman" w:hAnsi="Times New Roman" w:eastAsia="宋体" w:cs="Times New Roman"/>
                <w:b w:val="0"/>
                <w:bCs w:val="0"/>
                <w:color w:val="auto"/>
                <w:sz w:val="24"/>
                <w:szCs w:val="24"/>
                <w:highlight w:val="none"/>
                <w:vertAlign w:val="baseline"/>
                <w:lang w:val="en-US" w:eastAsia="zh-CN"/>
              </w:rPr>
              <w:t>重庆市九龙坡区二郎街道火炬大道100号附24号及附23-2号</w:t>
            </w:r>
            <w:r>
              <w:rPr>
                <w:rFonts w:hint="default" w:ascii="Times New Roman" w:hAnsi="Times New Roman" w:eastAsia="宋体" w:cs="Times New Roman"/>
                <w:b w:val="0"/>
                <w:bCs w:val="0"/>
                <w:color w:val="auto"/>
                <w:sz w:val="24"/>
                <w:szCs w:val="24"/>
                <w:highlight w:val="none"/>
                <w:vertAlign w:val="baseline"/>
                <w:lang w:val="en-US" w:eastAsia="zh-CN"/>
              </w:rPr>
              <w:t>，为</w:t>
            </w:r>
            <w:r>
              <w:rPr>
                <w:rFonts w:hint="eastAsia" w:eastAsia="宋体" w:cs="Times New Roman"/>
                <w:b w:val="0"/>
                <w:bCs w:val="0"/>
                <w:color w:val="auto"/>
                <w:sz w:val="24"/>
                <w:szCs w:val="24"/>
                <w:highlight w:val="none"/>
                <w:vertAlign w:val="baseline"/>
                <w:lang w:val="en-US" w:eastAsia="zh-CN"/>
              </w:rPr>
              <w:t>弘悦101</w:t>
            </w:r>
            <w:r>
              <w:rPr>
                <w:rFonts w:hint="default" w:ascii="Times New Roman" w:hAnsi="Times New Roman" w:eastAsia="宋体" w:cs="Times New Roman"/>
                <w:b w:val="0"/>
                <w:bCs w:val="0"/>
                <w:color w:val="auto"/>
                <w:sz w:val="24"/>
                <w:szCs w:val="24"/>
                <w:highlight w:val="none"/>
                <w:vertAlign w:val="baseline"/>
                <w:lang w:val="en-US" w:eastAsia="zh-CN"/>
              </w:rPr>
              <w:t>的商业裙楼，共2层，本项目位于</w:t>
            </w:r>
            <w:r>
              <w:rPr>
                <w:rFonts w:hint="eastAsia" w:eastAsia="宋体" w:cs="Times New Roman"/>
                <w:b w:val="0"/>
                <w:bCs w:val="0"/>
                <w:color w:val="auto"/>
                <w:sz w:val="24"/>
                <w:szCs w:val="24"/>
                <w:highlight w:val="none"/>
                <w:vertAlign w:val="baseline"/>
                <w:lang w:val="en-US" w:eastAsia="zh-CN"/>
              </w:rPr>
              <w:t>1</w:t>
            </w:r>
            <w:r>
              <w:rPr>
                <w:rFonts w:hint="default" w:ascii="Times New Roman" w:hAnsi="Times New Roman" w:eastAsia="宋体" w:cs="Times New Roman"/>
                <w:b w:val="0"/>
                <w:bCs w:val="0"/>
                <w:color w:val="auto"/>
                <w:sz w:val="24"/>
                <w:szCs w:val="24"/>
                <w:highlight w:val="none"/>
                <w:vertAlign w:val="baseline"/>
                <w:lang w:val="en-US" w:eastAsia="zh-CN"/>
              </w:rPr>
              <w:t>F</w:t>
            </w:r>
            <w:r>
              <w:rPr>
                <w:rFonts w:hint="eastAsia" w:eastAsia="宋体" w:cs="Times New Roman"/>
                <w:b w:val="0"/>
                <w:bCs w:val="0"/>
                <w:color w:val="auto"/>
                <w:sz w:val="24"/>
                <w:szCs w:val="24"/>
                <w:highlight w:val="none"/>
                <w:vertAlign w:val="baseline"/>
                <w:lang w:val="en-US" w:eastAsia="zh-CN"/>
              </w:rPr>
              <w:t>，</w:t>
            </w:r>
            <w:r>
              <w:rPr>
                <w:rFonts w:hint="default" w:ascii="Times New Roman" w:hAnsi="Times New Roman" w:eastAsia="宋体" w:cs="Times New Roman"/>
                <w:b w:val="0"/>
                <w:bCs w:val="0"/>
                <w:color w:val="auto"/>
                <w:sz w:val="24"/>
                <w:szCs w:val="24"/>
                <w:highlight w:val="none"/>
                <w:vertAlign w:val="baseline"/>
                <w:lang w:val="en-US" w:eastAsia="zh-CN"/>
              </w:rPr>
              <w:t>相邻均为商业住宅混合区。医院</w:t>
            </w:r>
            <w:r>
              <w:rPr>
                <w:rFonts w:hint="default" w:ascii="Times New Roman" w:hAnsi="Times New Roman" w:eastAsia="宋体" w:cs="Times New Roman"/>
                <w:b w:val="0"/>
                <w:bCs/>
                <w:color w:val="auto"/>
                <w:sz w:val="24"/>
                <w:szCs w:val="24"/>
                <w:highlight w:val="none"/>
                <w:lang w:val="en-US" w:eastAsia="zh-CN"/>
              </w:rPr>
              <w:t>于202</w:t>
            </w:r>
            <w:r>
              <w:rPr>
                <w:rFonts w:hint="eastAsia" w:ascii="Times New Roman" w:hAnsi="Times New Roman" w:eastAsia="宋体" w:cs="Times New Roman"/>
                <w:b w:val="0"/>
                <w:bCs/>
                <w:color w:val="auto"/>
                <w:sz w:val="24"/>
                <w:szCs w:val="24"/>
                <w:highlight w:val="none"/>
                <w:lang w:val="en-US" w:eastAsia="zh-CN"/>
              </w:rPr>
              <w:t>5</w:t>
            </w:r>
            <w:r>
              <w:rPr>
                <w:rFonts w:hint="default" w:ascii="Times New Roman" w:hAnsi="Times New Roman" w:eastAsia="宋体" w:cs="Times New Roman"/>
                <w:b w:val="0"/>
                <w:bCs/>
                <w:color w:val="auto"/>
                <w:sz w:val="24"/>
                <w:szCs w:val="24"/>
                <w:highlight w:val="none"/>
                <w:lang w:val="en-US" w:eastAsia="zh-CN"/>
              </w:rPr>
              <w:t>年</w:t>
            </w:r>
            <w:r>
              <w:rPr>
                <w:rFonts w:hint="eastAsia" w:ascii="Times New Roman" w:hAnsi="Times New Roman" w:eastAsia="宋体" w:cs="Times New Roman"/>
                <w:b w:val="0"/>
                <w:bCs/>
                <w:color w:val="auto"/>
                <w:sz w:val="24"/>
                <w:szCs w:val="24"/>
                <w:highlight w:val="none"/>
                <w:lang w:val="en-US" w:eastAsia="zh-CN"/>
              </w:rPr>
              <w:t>3</w:t>
            </w:r>
            <w:r>
              <w:rPr>
                <w:rFonts w:hint="default" w:ascii="Times New Roman" w:hAnsi="Times New Roman" w:eastAsia="宋体" w:cs="Times New Roman"/>
                <w:b w:val="0"/>
                <w:bCs/>
                <w:color w:val="auto"/>
                <w:sz w:val="24"/>
                <w:szCs w:val="24"/>
                <w:highlight w:val="none"/>
                <w:lang w:val="en-US" w:eastAsia="zh-CN"/>
              </w:rPr>
              <w:t>月开始建设，202</w:t>
            </w:r>
            <w:r>
              <w:rPr>
                <w:rFonts w:hint="eastAsia" w:ascii="Times New Roman" w:hAnsi="Times New Roman" w:eastAsia="宋体" w:cs="Times New Roman"/>
                <w:b w:val="0"/>
                <w:bCs/>
                <w:color w:val="auto"/>
                <w:sz w:val="24"/>
                <w:szCs w:val="24"/>
                <w:highlight w:val="none"/>
                <w:lang w:val="en-US" w:eastAsia="zh-CN"/>
              </w:rPr>
              <w:t>5</w:t>
            </w:r>
            <w:r>
              <w:rPr>
                <w:rFonts w:hint="default" w:ascii="Times New Roman" w:hAnsi="Times New Roman" w:eastAsia="宋体" w:cs="Times New Roman"/>
                <w:b w:val="0"/>
                <w:bCs/>
                <w:color w:val="auto"/>
                <w:sz w:val="24"/>
                <w:szCs w:val="24"/>
                <w:highlight w:val="none"/>
                <w:lang w:val="en-US" w:eastAsia="zh-CN"/>
              </w:rPr>
              <w:t>年</w:t>
            </w:r>
            <w:r>
              <w:rPr>
                <w:rFonts w:hint="eastAsia" w:ascii="Times New Roman" w:hAnsi="Times New Roman" w:eastAsia="宋体" w:cs="Times New Roman"/>
                <w:b w:val="0"/>
                <w:bCs/>
                <w:color w:val="auto"/>
                <w:sz w:val="24"/>
                <w:szCs w:val="24"/>
                <w:highlight w:val="none"/>
                <w:lang w:val="en-US" w:eastAsia="zh-CN"/>
              </w:rPr>
              <w:t>5</w:t>
            </w:r>
            <w:r>
              <w:rPr>
                <w:rFonts w:hint="default" w:ascii="Times New Roman" w:hAnsi="Times New Roman" w:eastAsia="宋体" w:cs="Times New Roman"/>
                <w:b w:val="0"/>
                <w:bCs/>
                <w:color w:val="auto"/>
                <w:sz w:val="24"/>
                <w:szCs w:val="24"/>
                <w:highlight w:val="none"/>
                <w:lang w:val="en-US" w:eastAsia="zh-CN"/>
              </w:rPr>
              <w:t>月开始营业</w:t>
            </w:r>
            <w:r>
              <w:rPr>
                <w:rFonts w:hint="default" w:ascii="Times New Roman" w:hAnsi="Times New Roman" w:eastAsia="宋体" w:cs="Times New Roman"/>
                <w:b w:val="0"/>
                <w:bCs w:val="0"/>
                <w:color w:val="auto"/>
                <w:sz w:val="24"/>
                <w:szCs w:val="24"/>
                <w:highlight w:val="none"/>
                <w:vertAlign w:val="baseline"/>
                <w:lang w:val="en-US" w:eastAsia="zh-CN"/>
              </w:rPr>
              <w:t>，营业至今约</w:t>
            </w:r>
            <w:r>
              <w:rPr>
                <w:rFonts w:hint="eastAsia" w:cs="Times New Roman"/>
                <w:b w:val="0"/>
                <w:bCs w:val="0"/>
                <w:color w:val="auto"/>
                <w:sz w:val="24"/>
                <w:szCs w:val="24"/>
                <w:highlight w:val="none"/>
                <w:vertAlign w:val="baseline"/>
                <w:lang w:val="en-US" w:eastAsia="zh-CN"/>
              </w:rPr>
              <w:t>2个月</w:t>
            </w:r>
            <w:r>
              <w:rPr>
                <w:rFonts w:hint="default" w:ascii="Times New Roman" w:hAnsi="Times New Roman" w:eastAsia="宋体" w:cs="Times New Roman"/>
                <w:b w:val="0"/>
                <w:bCs w:val="0"/>
                <w:color w:val="auto"/>
                <w:sz w:val="24"/>
                <w:szCs w:val="24"/>
                <w:highlight w:val="none"/>
                <w:vertAlign w:val="baseline"/>
                <w:lang w:val="en-US" w:eastAsia="zh-CN"/>
              </w:rPr>
              <w:t>，在此期</w:t>
            </w:r>
            <w:r>
              <w:rPr>
                <w:rFonts w:hint="default" w:ascii="Times New Roman" w:hAnsi="Times New Roman" w:eastAsia="宋体" w:cs="Times New Roman"/>
                <w:b w:val="0"/>
                <w:bCs w:val="0"/>
                <w:color w:val="000000"/>
                <w:sz w:val="24"/>
                <w:szCs w:val="24"/>
                <w:highlight w:val="none"/>
                <w:vertAlign w:val="baseline"/>
                <w:lang w:val="en-US" w:eastAsia="zh-CN"/>
              </w:rPr>
              <w:t>间，未发生环境污染和环保投诉问题。本次扩建是在宠物医院现有手术类别基础上增设三腔手术类型，即动物颅腔、胸腔、腹腔手术，扩建前后动物诊疗的规模不变。</w:t>
            </w:r>
          </w:p>
          <w:p w14:paraId="34E46B5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outlineLvl w:val="0"/>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pPr>
            <w:r>
              <w:rPr>
                <w:rFonts w:hint="eastAsia" w:eastAsia="宋体" w:cs="Times New Roman"/>
                <w:b w:val="0"/>
                <w:bCs w:val="0"/>
                <w:color w:val="auto"/>
                <w:sz w:val="24"/>
                <w:szCs w:val="24"/>
                <w:highlight w:val="none"/>
                <w:vertAlign w:val="baseline"/>
                <w:lang w:val="en-US" w:eastAsia="zh-CN"/>
              </w:rPr>
              <w:t>弘悦101</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已建设有生化池，主要收纳商业门面废水及住宅废水</w:t>
            </w:r>
            <w:r>
              <w:rPr>
                <w:rFonts w:hint="default" w:ascii="Times New Roman" w:hAnsi="Times New Roman" w:eastAsia="宋体" w:cs="Times New Roman"/>
                <w:b w:val="0"/>
                <w:bCs w:val="0"/>
                <w:color w:val="auto"/>
                <w:sz w:val="24"/>
                <w:szCs w:val="24"/>
                <w:highlight w:val="none"/>
                <w:vertAlign w:val="baseline"/>
                <w:lang w:val="en-US" w:eastAsia="zh-CN"/>
              </w:rPr>
              <w:t>，项目所在区域敷设有完善的雨污管网，该污水管网接入</w:t>
            </w:r>
            <w:r>
              <w:rPr>
                <w:rFonts w:hint="eastAsia" w:eastAsia="宋体" w:cs="Times New Roman"/>
                <w:b w:val="0"/>
                <w:bCs w:val="0"/>
                <w:color w:val="auto"/>
                <w:sz w:val="24"/>
                <w:szCs w:val="24"/>
                <w:highlight w:val="none"/>
                <w:vertAlign w:val="baseline"/>
                <w:lang w:val="en-US" w:eastAsia="zh-CN"/>
              </w:rPr>
              <w:t>彩云湖</w:t>
            </w:r>
            <w:r>
              <w:rPr>
                <w:rFonts w:hint="default" w:ascii="Times New Roman" w:hAnsi="Times New Roman" w:eastAsia="宋体" w:cs="Times New Roman"/>
                <w:b w:val="0"/>
                <w:bCs w:val="0"/>
                <w:color w:val="auto"/>
                <w:sz w:val="24"/>
                <w:szCs w:val="24"/>
                <w:highlight w:val="none"/>
                <w:vertAlign w:val="baseline"/>
                <w:lang w:val="en-US" w:eastAsia="zh-CN"/>
              </w:rPr>
              <w:t>污水处理厂，项目废</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水能得到有效处理。项目紧邻</w:t>
            </w:r>
            <w:r>
              <w:rPr>
                <w:rFonts w:hint="eastAsia" w:cs="Times New Roman"/>
                <w:b w:val="0"/>
                <w:bCs/>
                <w:color w:val="000000" w:themeColor="text1"/>
                <w:sz w:val="24"/>
                <w:szCs w:val="24"/>
                <w:highlight w:val="none"/>
                <w:lang w:val="en-US" w:eastAsia="zh-CN"/>
                <w14:textFill>
                  <w14:solidFill>
                    <w14:schemeClr w14:val="tx1"/>
                  </w14:solidFill>
                </w14:textFill>
              </w:rPr>
              <w:t>火炬大道</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，地理位置优越，交通便捷。项目所在区域城市建设成熟，供电、供水等设施完善，可以满足项目生产运营需要。因此，项目所在区域市政设施完善，有利于项目建设。</w:t>
            </w:r>
          </w:p>
          <w:p w14:paraId="0B5CE99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outlineLvl w:val="0"/>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根据环境质量现状评价，项目所在区域</w:t>
            </w:r>
            <w:r>
              <w:rPr>
                <w:rFonts w:hint="eastAsia" w:cs="Times New Roman"/>
                <w:b w:val="0"/>
                <w:bCs w:val="0"/>
                <w:color w:val="000000" w:themeColor="text1"/>
                <w:sz w:val="24"/>
                <w:szCs w:val="24"/>
                <w:highlight w:val="none"/>
                <w:vertAlign w:val="baseline"/>
                <w:lang w:val="en-US" w:eastAsia="zh-CN"/>
                <w14:textFill>
                  <w14:solidFill>
                    <w14:schemeClr w14:val="tx1"/>
                  </w14:solidFill>
                </w14:textFill>
              </w:rPr>
              <w:t>九龙坡区</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属于大气环境质量达标区。项目</w:t>
            </w:r>
            <w:r>
              <w:rPr>
                <w:rFonts w:hint="eastAsia" w:cs="Times New Roman"/>
                <w:b w:val="0"/>
                <w:bCs w:val="0"/>
                <w:color w:val="000000" w:themeColor="text1"/>
                <w:sz w:val="24"/>
                <w:szCs w:val="24"/>
                <w:highlight w:val="none"/>
                <w:vertAlign w:val="baseline"/>
                <w:lang w:val="en-US" w:eastAsia="zh-CN"/>
                <w14:textFill>
                  <w14:solidFill>
                    <w14:schemeClr w14:val="tx1"/>
                  </w14:solidFill>
                </w14:textFill>
              </w:rPr>
              <w:t>最终</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受纳水体为</w:t>
            </w:r>
            <w:r>
              <w:rPr>
                <w:rFonts w:hint="eastAsia" w:cs="Times New Roman"/>
                <w:b w:val="0"/>
                <w:bCs w:val="0"/>
                <w:color w:val="000000" w:themeColor="text1"/>
                <w:sz w:val="24"/>
                <w:szCs w:val="24"/>
                <w:highlight w:val="none"/>
                <w:vertAlign w:val="baseline"/>
                <w:lang w:val="en-US" w:eastAsia="zh-CN"/>
                <w14:textFill>
                  <w14:solidFill>
                    <w14:schemeClr w14:val="tx1"/>
                  </w14:solidFill>
                </w14:textFill>
              </w:rPr>
              <w:t>长江</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w:t>
            </w:r>
            <w:r>
              <w:rPr>
                <w:rFonts w:hint="eastAsia" w:cs="Times New Roman"/>
                <w:b w:val="0"/>
                <w:bCs w:val="0"/>
                <w:color w:val="000000" w:themeColor="text1"/>
                <w:sz w:val="24"/>
                <w:szCs w:val="24"/>
                <w:highlight w:val="none"/>
                <w:vertAlign w:val="baseline"/>
                <w:lang w:val="en-US" w:eastAsia="zh-CN"/>
                <w14:textFill>
                  <w14:solidFill>
                    <w14:schemeClr w14:val="tx1"/>
                  </w14:solidFill>
                </w14:textFill>
              </w:rPr>
              <w:t>长江干流段</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水质满足《地表水环境质量标准》（GB3838-2002）Ш类水域标准要求。</w:t>
            </w:r>
            <w:r>
              <w:rPr>
                <w:rFonts w:hint="eastAsia" w:eastAsia="宋体" w:cs="Times New Roman"/>
                <w:b w:val="0"/>
                <w:bCs w:val="0"/>
                <w:color w:val="auto"/>
                <w:sz w:val="24"/>
                <w:szCs w:val="24"/>
                <w:highlight w:val="none"/>
                <w:vertAlign w:val="baseline"/>
                <w:lang w:val="en-US" w:eastAsia="zh-CN"/>
              </w:rPr>
              <w:t>弘悦101住宅楼</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昼间</w:t>
            </w:r>
            <w:r>
              <w:rPr>
                <w:rFonts w:hint="eastAsia" w:cs="Times New Roman"/>
                <w:b w:val="0"/>
                <w:bCs w:val="0"/>
                <w:color w:val="000000" w:themeColor="text1"/>
                <w:sz w:val="24"/>
                <w:szCs w:val="24"/>
                <w:highlight w:val="none"/>
                <w:vertAlign w:val="baseline"/>
                <w:lang w:val="en-US" w:eastAsia="zh-CN"/>
                <w14:textFill>
                  <w14:solidFill>
                    <w14:schemeClr w14:val="tx1"/>
                  </w14:solidFill>
                </w14:textFill>
              </w:rPr>
              <w:t>、夜间</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声环境质量满足《声环境质量标准》（GB3096-2008）</w:t>
            </w:r>
            <w:r>
              <w:rPr>
                <w:rFonts w:hint="eastAsia" w:cs="Times New Roman"/>
                <w:b w:val="0"/>
                <w:bCs w:val="0"/>
                <w:color w:val="000000" w:themeColor="text1"/>
                <w:sz w:val="24"/>
                <w:szCs w:val="24"/>
                <w:highlight w:val="none"/>
                <w:vertAlign w:val="baseline"/>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类标准</w:t>
            </w:r>
            <w:r>
              <w:rPr>
                <w:rFonts w:hint="eastAsia" w:eastAsia="宋体" w:cs="Times New Roman"/>
                <w:b w:val="0"/>
                <w:bCs w:val="0"/>
                <w:color w:val="000000" w:themeColor="text1"/>
                <w:sz w:val="24"/>
                <w:szCs w:val="24"/>
                <w:highlight w:val="none"/>
                <w:vertAlign w:val="baseline"/>
                <w:lang w:val="en-US" w:eastAsia="zh-CN"/>
                <w14:textFill>
                  <w14:solidFill>
                    <w14:schemeClr w14:val="tx1"/>
                  </w14:solidFill>
                </w14:textFill>
              </w:rPr>
              <w:t>，旁边学校满足</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《声环境质量标准》（GB3096-2008）</w:t>
            </w:r>
            <w:r>
              <w:rPr>
                <w:rFonts w:hint="eastAsia" w:cs="Times New Roman"/>
                <w:b w:val="0"/>
                <w:bCs w:val="0"/>
                <w:color w:val="000000" w:themeColor="text1"/>
                <w:sz w:val="24"/>
                <w:szCs w:val="24"/>
                <w:highlight w:val="none"/>
                <w:vertAlign w:val="baseline"/>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类标准</w:t>
            </w:r>
            <w:r>
              <w:rPr>
                <w:rFonts w:hint="eastAsia" w:cs="Times New Roman"/>
                <w:b w:val="0"/>
                <w:bCs w:val="0"/>
                <w:color w:val="000000" w:themeColor="text1"/>
                <w:sz w:val="24"/>
                <w:szCs w:val="24"/>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因此项目选址区域环境质量总体较好，有利于项目的建设。</w:t>
            </w:r>
          </w:p>
          <w:p w14:paraId="5370CB7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outlineLvl w:val="0"/>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项目是在现有医院场址内部进行</w:t>
            </w:r>
            <w:r>
              <w:rPr>
                <w:rFonts w:hint="eastAsia" w:cs="Times New Roman"/>
                <w:b w:val="0"/>
                <w:bCs w:val="0"/>
                <w:color w:val="000000" w:themeColor="text1"/>
                <w:sz w:val="24"/>
                <w:szCs w:val="24"/>
                <w:highlight w:val="none"/>
                <w:vertAlign w:val="baseline"/>
                <w:lang w:val="en-US" w:eastAsia="zh-CN"/>
                <w14:textFill>
                  <w14:solidFill>
                    <w14:schemeClr w14:val="tx1"/>
                  </w14:solidFill>
                </w14:textFill>
              </w:rPr>
              <w:t>扩建</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，周边环境敏感点主要以居民楼为主，为减小噪声影响，要求日常加强管理，避免动物处于饥饿状态。医院内部异味通过自然通风及空调系统排出室外。项目所在为弘悦101的商业裙楼，</w:t>
            </w:r>
            <w:r>
              <w:rPr>
                <w:rFonts w:hint="eastAsia" w:eastAsia="宋体" w:cs="Times New Roman"/>
                <w:b w:val="0"/>
                <w:bCs w:val="0"/>
                <w:color w:val="000000" w:themeColor="text1"/>
                <w:sz w:val="24"/>
                <w:szCs w:val="24"/>
                <w:highlight w:val="none"/>
                <w:vertAlign w:val="baseline"/>
                <w:lang w:val="en-US" w:eastAsia="zh-CN"/>
                <w14:textFill>
                  <w14:solidFill>
                    <w14:schemeClr w14:val="tx1"/>
                  </w14:solidFill>
                </w14:textFill>
              </w:rPr>
              <w:t>距</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敏感目标</w:t>
            </w:r>
            <w:r>
              <w:rPr>
                <w:rFonts w:hint="eastAsia" w:eastAsia="宋体" w:cs="Times New Roman"/>
                <w:b w:val="0"/>
                <w:bCs w:val="0"/>
                <w:color w:val="000000" w:themeColor="text1"/>
                <w:sz w:val="24"/>
                <w:szCs w:val="24"/>
                <w:highlight w:val="none"/>
                <w:vertAlign w:val="baseline"/>
                <w:lang w:val="en-US" w:eastAsia="zh-CN"/>
                <w14:textFill>
                  <w14:solidFill>
                    <w14:schemeClr w14:val="tx1"/>
                  </w14:solidFill>
                </w14:textFill>
              </w:rPr>
              <w:t>有一定距离</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。因此，项目噪声、臭气对周边居民影响较小，且服务于周边居民，便于居民携宠物就医。</w:t>
            </w:r>
          </w:p>
          <w:p w14:paraId="218B4C5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outlineLvl w:val="0"/>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根据《动物诊疗机构管理办法》（农业部令19号），第五条</w:t>
            </w:r>
            <w:r>
              <w:rPr>
                <w:rFonts w:hint="eastAsia" w:cs="Times New Roman"/>
                <w:b w:val="0"/>
                <w:bCs w:val="0"/>
                <w:color w:val="000000" w:themeColor="text1"/>
                <w:sz w:val="24"/>
                <w:szCs w:val="24"/>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（二）动物诊疗场所选址距离畜禽养殖场、屠宰加工厂、动物交易场所不少于200m</w:t>
            </w:r>
            <w:r>
              <w:rPr>
                <w:rFonts w:hint="eastAsia" w:cs="Times New Roman"/>
                <w:b w:val="0"/>
                <w:bCs w:val="0"/>
                <w:color w:val="000000" w:themeColor="text1"/>
                <w:sz w:val="24"/>
                <w:szCs w:val="24"/>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（三）动物诊疗场所设有独立的出入口，出入口不得设在居民住宅楼内或者院内，不得与同一建筑物的其他用户共用通道</w:t>
            </w:r>
            <w:r>
              <w:rPr>
                <w:rFonts w:hint="eastAsia" w:cs="Times New Roman"/>
                <w:b w:val="0"/>
                <w:bCs w:val="0"/>
                <w:color w:val="000000" w:themeColor="text1"/>
                <w:sz w:val="24"/>
                <w:szCs w:val="24"/>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，第十八条</w:t>
            </w:r>
            <w:r>
              <w:rPr>
                <w:rFonts w:hint="eastAsia" w:cs="Times New Roman"/>
                <w:b w:val="0"/>
                <w:bCs w:val="0"/>
                <w:color w:val="000000" w:themeColor="text1"/>
                <w:sz w:val="24"/>
                <w:szCs w:val="24"/>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动物诊疗机构兼营宠物用品、宠物食品、宠物美容等项目的，兼营区域与动物诊疗区域应当分别独立设置</w:t>
            </w:r>
            <w:r>
              <w:rPr>
                <w:rFonts w:hint="eastAsia" w:cs="Times New Roman"/>
                <w:b w:val="0"/>
                <w:bCs w:val="0"/>
                <w:color w:val="000000" w:themeColor="text1"/>
                <w:sz w:val="24"/>
                <w:szCs w:val="24"/>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。项目选址位于</w:t>
            </w:r>
            <w:r>
              <w:rPr>
                <w:rFonts w:hint="eastAsia" w:ascii="Times New Roman" w:hAnsi="Times New Roman" w:eastAsia="宋体" w:cs="Times New Roman"/>
                <w:b w:val="0"/>
                <w:bCs w:val="0"/>
                <w:color w:val="auto"/>
                <w:sz w:val="24"/>
                <w:szCs w:val="24"/>
                <w:highlight w:val="none"/>
                <w:vertAlign w:val="baseline"/>
                <w:lang w:val="en-US" w:eastAsia="zh-CN"/>
              </w:rPr>
              <w:t>重庆市九龙坡区二郎街道火炬大道100号附24号及附23-2号</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auto"/>
                <w:sz w:val="24"/>
                <w:szCs w:val="24"/>
                <w:highlight w:val="none"/>
                <w:vertAlign w:val="baseline"/>
                <w:lang w:val="en-US" w:eastAsia="zh-CN"/>
              </w:rPr>
              <w:t>为</w:t>
            </w:r>
            <w:r>
              <w:rPr>
                <w:rFonts w:hint="eastAsia" w:eastAsia="宋体" w:cs="Times New Roman"/>
                <w:b w:val="0"/>
                <w:bCs w:val="0"/>
                <w:color w:val="auto"/>
                <w:sz w:val="24"/>
                <w:szCs w:val="24"/>
                <w:highlight w:val="none"/>
                <w:vertAlign w:val="baseline"/>
                <w:lang w:val="en-US" w:eastAsia="zh-CN"/>
              </w:rPr>
              <w:t>弘悦101</w:t>
            </w:r>
            <w:r>
              <w:rPr>
                <w:rFonts w:hint="default" w:ascii="Times New Roman" w:hAnsi="Times New Roman" w:eastAsia="宋体" w:cs="Times New Roman"/>
                <w:b w:val="0"/>
                <w:bCs w:val="0"/>
                <w:color w:val="auto"/>
                <w:sz w:val="24"/>
                <w:szCs w:val="24"/>
                <w:highlight w:val="none"/>
                <w:vertAlign w:val="baseline"/>
                <w:lang w:val="en-US" w:eastAsia="zh-CN"/>
              </w:rPr>
              <w:t>的商业裙楼，</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地处城市建成区，周边无畜禽养殖场、屠宰加工厂、动物交易场所，设置独立的出入口，不与其他用户共用，项目用品区与诊疗区分区独立设置，布局合理，因此，该宠物医院选址符合该管理办法。</w:t>
            </w:r>
          </w:p>
          <w:p w14:paraId="251AFF97">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Chars="0" w:firstLine="480" w:firstLineChars="200"/>
              <w:jc w:val="left"/>
              <w:textAlignment w:val="auto"/>
              <w:rPr>
                <w:rFonts w:hint="default" w:ascii="Times New Roman" w:hAnsi="Times New Roman"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综上所述，项目选址合理。</w:t>
            </w:r>
          </w:p>
        </w:tc>
      </w:tr>
    </w:tbl>
    <w:p w14:paraId="426499DE">
      <w:pPr>
        <w:spacing w:line="360" w:lineRule="auto"/>
        <w:outlineLvl w:val="0"/>
        <w:rPr>
          <w:rFonts w:hint="default" w:ascii="Times New Roman" w:hAnsi="Times New Roman" w:eastAsia="黑体" w:cs="Times New Roman"/>
          <w:color w:val="FF0000"/>
          <w:sz w:val="30"/>
          <w:highlight w:val="none"/>
        </w:rPr>
        <w:sectPr>
          <w:footerReference r:id="rId6"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14:paraId="77A54BB0">
      <w:pPr>
        <w:pStyle w:val="16"/>
        <w:jc w:val="center"/>
        <w:outlineLvl w:val="0"/>
        <w:rPr>
          <w:rFonts w:hint="default" w:ascii="Times New Roman" w:hAnsi="Times New Roman" w:eastAsia="黑体" w:cs="Times New Roman"/>
          <w:snapToGrid w:val="0"/>
          <w:color w:val="000000" w:themeColor="text1"/>
          <w:sz w:val="30"/>
          <w:szCs w:val="30"/>
          <w:highlight w:val="none"/>
          <w14:textFill>
            <w14:solidFill>
              <w14:schemeClr w14:val="tx1"/>
            </w14:solidFill>
          </w14:textFill>
        </w:rPr>
      </w:pPr>
      <w:r>
        <w:rPr>
          <w:rFonts w:hint="default" w:ascii="Times New Roman" w:hAnsi="Times New Roman" w:eastAsia="黑体" w:cs="Times New Roman"/>
          <w:snapToGrid w:val="0"/>
          <w:color w:val="000000" w:themeColor="text1"/>
          <w:sz w:val="30"/>
          <w:szCs w:val="30"/>
          <w:highlight w:val="none"/>
          <w14:textFill>
            <w14:solidFill>
              <w14:schemeClr w14:val="tx1"/>
            </w14:solidFill>
          </w14:textFill>
        </w:rPr>
        <w:t>二、建设项目工程分析</w:t>
      </w:r>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85"/>
        <w:gridCol w:w="8499"/>
      </w:tblGrid>
      <w:tr w14:paraId="2A1BDC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43" w:hRule="atLeast"/>
          <w:jc w:val="center"/>
        </w:trPr>
        <w:tc>
          <w:tcPr>
            <w:tcW w:w="485" w:type="dxa"/>
            <w:noWrap w:val="0"/>
            <w:vAlign w:val="center"/>
          </w:tcPr>
          <w:p w14:paraId="6DBF7174">
            <w:pPr>
              <w:pStyle w:val="16"/>
              <w:adjustRightInd w:val="0"/>
              <w:snapToGrid w:val="0"/>
              <w:spacing w:before="0" w:beforeAutospacing="0" w:after="0" w:afterAutospacing="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000000" w:themeColor="text1"/>
                <w:sz w:val="24"/>
                <w:szCs w:val="24"/>
                <w:highlight w:val="none"/>
                <w14:textFill>
                  <w14:solidFill>
                    <w14:schemeClr w14:val="tx1"/>
                  </w14:solidFill>
                </w14:textFill>
              </w:rPr>
              <w:t>建设内容</w:t>
            </w:r>
          </w:p>
        </w:tc>
        <w:tc>
          <w:tcPr>
            <w:tcW w:w="8499" w:type="dxa"/>
            <w:noWrap w:val="0"/>
            <w:vAlign w:val="top"/>
          </w:tcPr>
          <w:p w14:paraId="082EACAB">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b/>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val="en-US" w:eastAsia="zh-CN"/>
                <w14:textFill>
                  <w14:solidFill>
                    <w14:schemeClr w14:val="tx1"/>
                  </w14:solidFill>
                </w14:textFill>
              </w:rPr>
              <w:t>2.1建设内容</w:t>
            </w:r>
          </w:p>
          <w:p w14:paraId="63411BDB">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b/>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val="en-US" w:eastAsia="zh-CN"/>
                <w14:textFill>
                  <w14:solidFill>
                    <w14:schemeClr w14:val="tx1"/>
                  </w14:solidFill>
                </w14:textFill>
              </w:rPr>
              <w:t>2.1.1项目由来</w:t>
            </w:r>
          </w:p>
          <w:p w14:paraId="41D432D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随着国民生活水平提高和生活方式的改变，人们的休闲、消费和情感寄托方式发生了重大变革，中国宠物产业也迅速兴起。为了提高宠物的健康水平，</w:t>
            </w:r>
            <w:r>
              <w:rPr>
                <w:rFonts w:hint="eastAsia" w:cs="Times New Roman"/>
                <w:b w:val="0"/>
                <w:bCs/>
                <w:color w:val="auto"/>
                <w:sz w:val="24"/>
                <w:szCs w:val="24"/>
                <w:highlight w:val="none"/>
                <w:lang w:val="en-US" w:eastAsia="zh-CN"/>
              </w:rPr>
              <w:t>九龙坡区渝爱动物医院店（个体工商户）</w:t>
            </w:r>
            <w:r>
              <w:rPr>
                <w:rFonts w:hint="default" w:ascii="Times New Roman" w:hAnsi="Times New Roman" w:eastAsia="宋体" w:cs="Times New Roman"/>
                <w:b w:val="0"/>
                <w:bCs/>
                <w:color w:val="auto"/>
                <w:sz w:val="24"/>
                <w:szCs w:val="24"/>
                <w:highlight w:val="none"/>
                <w:lang w:val="en-US" w:eastAsia="zh-CN"/>
              </w:rPr>
              <w:t>于202</w:t>
            </w:r>
            <w:r>
              <w:rPr>
                <w:rFonts w:hint="eastAsia" w:cs="Times New Roman"/>
                <w:b w:val="0"/>
                <w:bCs/>
                <w:color w:val="auto"/>
                <w:sz w:val="24"/>
                <w:szCs w:val="24"/>
                <w:highlight w:val="none"/>
                <w:lang w:val="en-US" w:eastAsia="zh-CN"/>
              </w:rPr>
              <w:t>5</w:t>
            </w:r>
            <w:r>
              <w:rPr>
                <w:rFonts w:hint="default" w:ascii="Times New Roman" w:hAnsi="Times New Roman" w:eastAsia="宋体" w:cs="Times New Roman"/>
                <w:b w:val="0"/>
                <w:bCs/>
                <w:color w:val="auto"/>
                <w:sz w:val="24"/>
                <w:szCs w:val="24"/>
                <w:highlight w:val="none"/>
                <w:lang w:val="en-US" w:eastAsia="zh-CN"/>
              </w:rPr>
              <w:t>年</w:t>
            </w:r>
            <w:r>
              <w:rPr>
                <w:rFonts w:hint="eastAsia" w:cs="Times New Roman"/>
                <w:b w:val="0"/>
                <w:bCs/>
                <w:color w:val="auto"/>
                <w:sz w:val="24"/>
                <w:szCs w:val="24"/>
                <w:highlight w:val="none"/>
                <w:lang w:val="en-US" w:eastAsia="zh-CN"/>
              </w:rPr>
              <w:t>3</w:t>
            </w:r>
            <w:r>
              <w:rPr>
                <w:rFonts w:hint="default" w:ascii="Times New Roman" w:hAnsi="Times New Roman" w:eastAsia="宋体" w:cs="Times New Roman"/>
                <w:b w:val="0"/>
                <w:bCs/>
                <w:color w:val="auto"/>
                <w:sz w:val="24"/>
                <w:szCs w:val="24"/>
                <w:highlight w:val="none"/>
                <w:lang w:val="en-US" w:eastAsia="zh-CN"/>
              </w:rPr>
              <w:t>月租赁</w:t>
            </w:r>
            <w:r>
              <w:rPr>
                <w:rFonts w:hint="eastAsia" w:ascii="Times New Roman" w:hAnsi="Times New Roman" w:eastAsia="宋体" w:cs="Times New Roman"/>
                <w:b w:val="0"/>
                <w:bCs w:val="0"/>
                <w:color w:val="auto"/>
                <w:sz w:val="24"/>
                <w:szCs w:val="24"/>
                <w:highlight w:val="none"/>
                <w:vertAlign w:val="baseline"/>
                <w:lang w:val="en-US" w:eastAsia="zh-CN"/>
              </w:rPr>
              <w:t>重庆市九龙坡区二郎街道火炬大道100号附24号及附23-2号商铺</w:t>
            </w:r>
            <w:r>
              <w:rPr>
                <w:rFonts w:hint="default" w:ascii="Times New Roman" w:hAnsi="Times New Roman" w:eastAsia="宋体" w:cs="Times New Roman"/>
                <w:b w:val="0"/>
                <w:bCs/>
                <w:color w:val="auto"/>
                <w:sz w:val="24"/>
                <w:szCs w:val="24"/>
                <w:highlight w:val="none"/>
                <w:lang w:val="en-US" w:eastAsia="zh-CN"/>
              </w:rPr>
              <w:t>建设宠物医院，</w:t>
            </w:r>
            <w:r>
              <w:rPr>
                <w:rFonts w:hint="eastAsia" w:cs="Times New Roman"/>
                <w:b w:val="0"/>
                <w:bCs/>
                <w:color w:val="auto"/>
                <w:sz w:val="24"/>
                <w:szCs w:val="24"/>
                <w:highlight w:val="none"/>
                <w:lang w:val="en-US" w:eastAsia="zh-CN"/>
              </w:rPr>
              <w:t>面积为132.61m</w:t>
            </w:r>
            <w:r>
              <w:rPr>
                <w:rFonts w:hint="eastAsia" w:cs="Times New Roman"/>
                <w:b w:val="0"/>
                <w:bCs/>
                <w:color w:val="auto"/>
                <w:sz w:val="24"/>
                <w:szCs w:val="24"/>
                <w:highlight w:val="none"/>
                <w:vertAlign w:val="superscript"/>
                <w:lang w:val="en-US" w:eastAsia="zh-CN"/>
              </w:rPr>
              <w:t>2</w:t>
            </w:r>
            <w:r>
              <w:rPr>
                <w:rFonts w:hint="eastAsia" w:cs="Times New Roman"/>
                <w:b w:val="0"/>
                <w:bCs/>
                <w:color w:val="auto"/>
                <w:sz w:val="24"/>
                <w:szCs w:val="24"/>
                <w:highlight w:val="none"/>
                <w:lang w:val="en-US" w:eastAsia="zh-CN"/>
              </w:rPr>
              <w:t>。</w:t>
            </w:r>
            <w:r>
              <w:rPr>
                <w:rFonts w:hint="eastAsia"/>
                <w:color w:val="auto"/>
                <w:sz w:val="24"/>
                <w:szCs w:val="24"/>
                <w:highlight w:val="none"/>
                <w:lang w:val="en-US" w:eastAsia="zh-CN"/>
              </w:rPr>
              <w:t>于2025年5月投入运营</w:t>
            </w:r>
            <w:r>
              <w:rPr>
                <w:rFonts w:hint="eastAsia" w:cs="Times New Roman"/>
                <w:color w:val="auto"/>
                <w:sz w:val="24"/>
                <w:szCs w:val="24"/>
                <w:highlight w:val="none"/>
                <w:lang w:val="en-US" w:eastAsia="zh-CN"/>
              </w:rPr>
              <w:t>，从事猫、犬的疾病预防、诊疗和手术等活动，兼营宠物用品的销售，院内</w:t>
            </w:r>
            <w:r>
              <w:rPr>
                <w:rFonts w:hint="eastAsia"/>
                <w:color w:val="auto"/>
                <w:sz w:val="24"/>
                <w:szCs w:val="24"/>
                <w:highlight w:val="none"/>
                <w:lang w:val="en-US" w:eastAsia="zh-CN"/>
              </w:rPr>
              <w:t>主要设置</w:t>
            </w:r>
            <w:r>
              <w:rPr>
                <w:rFonts w:hint="eastAsia" w:cs="Times New Roman"/>
                <w:b w:val="0"/>
                <w:bCs/>
                <w:sz w:val="24"/>
                <w:szCs w:val="24"/>
                <w:highlight w:val="none"/>
                <w:lang w:val="en-US" w:eastAsia="zh-CN"/>
              </w:rPr>
              <w:t>DR室、手术室、治疗室、药房、化验室、诊室、寄养室</w:t>
            </w:r>
            <w:r>
              <w:rPr>
                <w:rFonts w:hint="eastAsia" w:cs="Times New Roman"/>
                <w:color w:val="000000"/>
                <w:sz w:val="24"/>
                <w:szCs w:val="24"/>
                <w:highlight w:val="none"/>
                <w:lang w:val="en-US" w:eastAsia="zh-CN"/>
              </w:rPr>
              <w:t>等，</w:t>
            </w:r>
            <w:r>
              <w:rPr>
                <w:rFonts w:hint="eastAsia" w:cs="Times New Roman"/>
                <w:color w:val="auto"/>
                <w:sz w:val="24"/>
                <w:szCs w:val="24"/>
                <w:highlight w:val="none"/>
                <w:lang w:val="en-US" w:eastAsia="zh-CN"/>
              </w:rPr>
              <w:t>手术室内仅进行简单的宠物伤口处理、</w:t>
            </w:r>
            <w:r>
              <w:rPr>
                <w:rFonts w:hint="eastAsia"/>
                <w:color w:val="auto"/>
                <w:sz w:val="24"/>
                <w:szCs w:val="24"/>
                <w:highlight w:val="none"/>
                <w:lang w:val="en-US" w:eastAsia="zh-CN"/>
              </w:rPr>
              <w:t>软组织、骨科和节育手术等</w:t>
            </w:r>
            <w:r>
              <w:rPr>
                <w:rFonts w:hint="eastAsia" w:cs="Times New Roman"/>
                <w:color w:val="auto"/>
                <w:sz w:val="24"/>
                <w:szCs w:val="24"/>
                <w:highlight w:val="none"/>
                <w:lang w:val="en-US" w:eastAsia="zh-CN"/>
              </w:rPr>
              <w:t>，不开展动物颅腔、胸腔和腹腔手术，门诊每天最大接诊量约10只（年最大接诊量3650只），手术每天最大量约4台（年最大手术量1460只），住院最大容纳宠物14只/d，美容每天最大量4只/d（年最大美容量1460只），寄养每天最大容纳宠物4只/d。</w:t>
            </w:r>
            <w:r>
              <w:rPr>
                <w:rFonts w:hint="eastAsia" w:cs="Times New Roman"/>
                <w:color w:val="000000"/>
                <w:sz w:val="24"/>
                <w:szCs w:val="24"/>
                <w:highlight w:val="none"/>
                <w:lang w:val="en-US" w:eastAsia="zh-CN"/>
              </w:rPr>
              <w:t>根据《关于宠物医院服务项目环境影响评价类有关问题的复函》（环办环评函〔2019〕168号）：“不具备从事动物颅腔、胸腔和腹腔手术能力的动物诊疗机构建设项目，不纳入建设项目环境影响评价管理”，因此，医院根据要求未办理环评手续。</w:t>
            </w:r>
          </w:p>
          <w:p w14:paraId="6108B187">
            <w:pPr>
              <w:adjustRightInd w:val="0"/>
              <w:snapToGrid w:val="0"/>
              <w:spacing w:line="360" w:lineRule="auto"/>
              <w:ind w:firstLine="480" w:firstLineChars="200"/>
              <w:rPr>
                <w:color w:val="auto"/>
                <w:sz w:val="24"/>
                <w:szCs w:val="32"/>
              </w:rPr>
            </w:pPr>
            <w:r>
              <w:rPr>
                <w:rFonts w:hint="eastAsia"/>
                <w:color w:val="auto"/>
                <w:sz w:val="24"/>
                <w:szCs w:val="32"/>
              </w:rPr>
              <w:t>现因医院的发展和市场需要，</w:t>
            </w:r>
            <w:r>
              <w:rPr>
                <w:rFonts w:hint="eastAsia" w:cs="Times New Roman"/>
                <w:b w:val="0"/>
                <w:bCs/>
                <w:color w:val="000000" w:themeColor="text1"/>
                <w:sz w:val="24"/>
                <w:szCs w:val="24"/>
                <w:highlight w:val="none"/>
                <w:lang w:val="en-US" w:eastAsia="zh-CN"/>
                <w14:textFill>
                  <w14:solidFill>
                    <w14:schemeClr w14:val="tx1"/>
                  </w14:solidFill>
                </w14:textFill>
              </w:rPr>
              <w:t>九龙坡区渝爱动物医院店</w:t>
            </w:r>
            <w:r>
              <w:rPr>
                <w:rFonts w:hint="eastAsia" w:cs="Times New Roman"/>
                <w:b w:val="0"/>
                <w:bCs/>
                <w:color w:val="auto"/>
                <w:sz w:val="24"/>
                <w:szCs w:val="24"/>
                <w:highlight w:val="none"/>
                <w:lang w:val="en-US" w:eastAsia="zh-CN"/>
              </w:rPr>
              <w:t>（个体工商户）</w:t>
            </w:r>
            <w:r>
              <w:rPr>
                <w:rFonts w:hint="eastAsia"/>
                <w:color w:val="auto"/>
                <w:sz w:val="24"/>
                <w:szCs w:val="32"/>
              </w:rPr>
              <w:t>拟投资</w:t>
            </w:r>
            <w:r>
              <w:rPr>
                <w:rFonts w:hint="eastAsia"/>
                <w:color w:val="auto"/>
                <w:sz w:val="24"/>
                <w:szCs w:val="32"/>
                <w:lang w:val="en-US" w:eastAsia="zh-CN"/>
              </w:rPr>
              <w:t>10</w:t>
            </w:r>
            <w:r>
              <w:rPr>
                <w:rFonts w:hint="eastAsia"/>
                <w:color w:val="auto"/>
                <w:sz w:val="24"/>
                <w:szCs w:val="32"/>
              </w:rPr>
              <w:t>万元，对现有医院增加部分手术设备，增设动物颅腔、胸腔和腹腔手术服务。项目已取得重庆市</w:t>
            </w:r>
            <w:r>
              <w:rPr>
                <w:rFonts w:hint="eastAsia"/>
                <w:color w:val="auto"/>
                <w:sz w:val="24"/>
                <w:szCs w:val="32"/>
                <w:lang w:val="en-US" w:eastAsia="zh-CN"/>
              </w:rPr>
              <w:t>九龙坡区</w:t>
            </w:r>
            <w:r>
              <w:rPr>
                <w:rFonts w:hint="eastAsia"/>
                <w:color w:val="auto"/>
                <w:sz w:val="24"/>
                <w:szCs w:val="32"/>
              </w:rPr>
              <w:t>发展</w:t>
            </w:r>
            <w:r>
              <w:rPr>
                <w:rFonts w:hint="eastAsia"/>
                <w:color w:val="auto"/>
                <w:sz w:val="24"/>
                <w:szCs w:val="32"/>
                <w:lang w:val="en-US" w:eastAsia="zh-CN"/>
              </w:rPr>
              <w:t>和</w:t>
            </w:r>
            <w:r>
              <w:rPr>
                <w:rFonts w:hint="eastAsia"/>
                <w:color w:val="auto"/>
                <w:sz w:val="24"/>
                <w:szCs w:val="32"/>
              </w:rPr>
              <w:t>改革委员会下发的备案证（备案编码“</w:t>
            </w:r>
            <w:r>
              <w:rPr>
                <w:rFonts w:hint="eastAsia"/>
                <w:color w:val="auto"/>
                <w:sz w:val="24"/>
                <w:szCs w:val="24"/>
              </w:rPr>
              <w:t>2507-500107-04-03-466402</w:t>
            </w:r>
            <w:r>
              <w:rPr>
                <w:rFonts w:hint="eastAsia"/>
                <w:color w:val="auto"/>
                <w:sz w:val="24"/>
                <w:szCs w:val="32"/>
              </w:rPr>
              <w:t>”）。</w:t>
            </w:r>
          </w:p>
          <w:p w14:paraId="47AC9AE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根据《中华人民共和国环境保护法》、《中华人民共和国环境影响评价法》《建设项目环境保护管理条例》规定，本项目应开展环境影响评价</w:t>
            </w:r>
            <w:r>
              <w:rPr>
                <w:rFonts w:hint="eastAsia" w:cs="Times New Roman"/>
                <w:b w:val="0"/>
                <w:bCs/>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根据《国民经济行业分类》，项目为动物医院建设项目，其国民经济行业类别为</w:t>
            </w:r>
            <w:r>
              <w:rPr>
                <w:rFonts w:hint="eastAsia" w:cs="Times New Roman"/>
                <w:b w:val="0"/>
                <w:bCs/>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O822</w:t>
            </w:r>
            <w:r>
              <w:rPr>
                <w:rFonts w:hint="eastAsia" w:cs="Times New Roman"/>
                <w:b w:val="0"/>
                <w:bCs/>
                <w:color w:val="000000" w:themeColor="text1"/>
                <w:sz w:val="24"/>
                <w:szCs w:val="24"/>
                <w:highlight w:val="none"/>
                <w:lang w:val="en-US" w:eastAsia="zh-CN"/>
                <w14:textFill>
                  <w14:solidFill>
                    <w14:schemeClr w14:val="tx1"/>
                  </w14:solidFill>
                </w14:textFill>
              </w:rPr>
              <w:t>2</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宠物</w:t>
            </w:r>
            <w:r>
              <w:rPr>
                <w:rFonts w:hint="eastAsia" w:cs="Times New Roman"/>
                <w:b w:val="0"/>
                <w:bCs/>
                <w:color w:val="000000" w:themeColor="text1"/>
                <w:sz w:val="24"/>
                <w:szCs w:val="24"/>
                <w:highlight w:val="none"/>
                <w:lang w:val="en-US" w:eastAsia="zh-CN"/>
                <w14:textFill>
                  <w14:solidFill>
                    <w14:schemeClr w14:val="tx1"/>
                  </w14:solidFill>
                </w14:textFill>
              </w:rPr>
              <w:t>医院</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服务</w:t>
            </w:r>
            <w:r>
              <w:rPr>
                <w:rFonts w:hint="eastAsia" w:cs="Times New Roman"/>
                <w:b w:val="0"/>
                <w:bCs/>
                <w:color w:val="auto"/>
                <w:sz w:val="24"/>
                <w:szCs w:val="24"/>
                <w:highlight w:val="none"/>
                <w:lang w:val="en-US" w:eastAsia="zh-CN"/>
              </w:rPr>
              <w:t>”；</w:t>
            </w:r>
            <w:r>
              <w:rPr>
                <w:rFonts w:hint="default" w:ascii="Times New Roman" w:hAnsi="Times New Roman" w:cs="Times New Roman"/>
                <w:b w:val="0"/>
                <w:bCs/>
                <w:color w:val="auto"/>
                <w:sz w:val="24"/>
                <w:szCs w:val="24"/>
                <w:highlight w:val="none"/>
                <w:lang w:val="en-US" w:eastAsia="zh-CN"/>
              </w:rPr>
              <w:t>对照《建设项目环境影响评价分类管理名录》（2021年版），建设项目行业类别为</w:t>
            </w:r>
            <w:r>
              <w:rPr>
                <w:rFonts w:hint="eastAsia" w:cs="Times New Roman"/>
                <w:b w:val="0"/>
                <w:bCs/>
                <w:color w:val="auto"/>
                <w:sz w:val="24"/>
                <w:szCs w:val="24"/>
                <w:highlight w:val="none"/>
                <w:lang w:val="en-US" w:eastAsia="zh-CN"/>
              </w:rPr>
              <w:t>“</w:t>
            </w:r>
            <w:r>
              <w:rPr>
                <w:rFonts w:hint="default" w:ascii="Times New Roman" w:hAnsi="Times New Roman" w:cs="Times New Roman"/>
                <w:b w:val="0"/>
                <w:bCs/>
                <w:color w:val="auto"/>
                <w:sz w:val="24"/>
                <w:szCs w:val="24"/>
                <w:highlight w:val="none"/>
                <w:lang w:val="en-US" w:eastAsia="zh-CN"/>
              </w:rPr>
              <w:t>五十、社会事业与服务业 123 动物医院</w:t>
            </w:r>
            <w:r>
              <w:rPr>
                <w:rFonts w:hint="eastAsia" w:cs="Times New Roman"/>
                <w:b w:val="0"/>
                <w:bCs/>
                <w:color w:val="auto"/>
                <w:sz w:val="24"/>
                <w:szCs w:val="24"/>
                <w:highlight w:val="none"/>
                <w:lang w:val="en-US" w:eastAsia="zh-CN"/>
              </w:rPr>
              <w:t xml:space="preserve"> 设有动物颅腔、胸腔和腹腔手术设施的”</w:t>
            </w:r>
            <w:r>
              <w:rPr>
                <w:rFonts w:hint="default" w:ascii="Times New Roman" w:hAnsi="Times New Roman" w:cs="Times New Roman"/>
                <w:b w:val="0"/>
                <w:bCs/>
                <w:color w:val="auto"/>
                <w:sz w:val="24"/>
                <w:szCs w:val="24"/>
                <w:highlight w:val="none"/>
                <w:lang w:val="en-US" w:eastAsia="zh-CN"/>
              </w:rPr>
              <w:t>。项目</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应编制环境影响报告表。受</w:t>
            </w:r>
            <w:r>
              <w:rPr>
                <w:rFonts w:hint="eastAsia" w:cs="Times New Roman"/>
                <w:b w:val="0"/>
                <w:bCs/>
                <w:color w:val="000000" w:themeColor="text1"/>
                <w:sz w:val="24"/>
                <w:szCs w:val="24"/>
                <w:highlight w:val="none"/>
                <w:lang w:val="en-US" w:eastAsia="zh-CN"/>
                <w14:textFill>
                  <w14:solidFill>
                    <w14:schemeClr w14:val="tx1"/>
                  </w14:solidFill>
                </w14:textFill>
              </w:rPr>
              <w:t>九龙坡区渝爱动物医院店</w:t>
            </w:r>
            <w:r>
              <w:rPr>
                <w:rFonts w:hint="eastAsia" w:cs="Times New Roman"/>
                <w:b w:val="0"/>
                <w:bCs/>
                <w:color w:val="auto"/>
                <w:sz w:val="24"/>
                <w:szCs w:val="24"/>
                <w:highlight w:val="none"/>
                <w:lang w:val="en-US" w:eastAsia="zh-CN"/>
              </w:rPr>
              <w:t>（个体工商户）</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委托，本公司承担该项目的环境影响评价工作，在接受委托之后，我公司组织专业技术人员进行现场勘查并收集相关资料，编制完成了项目的环境影响报告表。</w:t>
            </w:r>
          </w:p>
          <w:p w14:paraId="49952943">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cs="Times New Roman"/>
                <w:b/>
                <w:bCs w:val="0"/>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bCs w:val="0"/>
                <w:color w:val="000000" w:themeColor="text1"/>
                <w:sz w:val="24"/>
                <w:szCs w:val="24"/>
                <w:highlight w:val="none"/>
                <w:lang w:val="en-US" w:eastAsia="zh-CN"/>
                <w14:textFill>
                  <w14:solidFill>
                    <w14:schemeClr w14:val="tx1"/>
                  </w14:solidFill>
                </w14:textFill>
              </w:rPr>
              <w:t>2.1.2评价构思</w:t>
            </w:r>
          </w:p>
          <w:p w14:paraId="08152ADB">
            <w:pPr>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pPr>
            <w:r>
              <w:rPr>
                <w:rFonts w:hint="eastAsia"/>
                <w:color w:val="auto"/>
                <w:sz w:val="24"/>
                <w:szCs w:val="32"/>
              </w:rPr>
              <w:t>本项目属于扩建项目，</w:t>
            </w:r>
            <w:r>
              <w:rPr>
                <w:rFonts w:hint="default" w:ascii="Times New Roman" w:hAnsi="Times New Roman" w:cs="Times New Roman"/>
                <w:b w:val="0"/>
                <w:bCs/>
                <w:color w:val="auto"/>
                <w:sz w:val="24"/>
                <w:szCs w:val="24"/>
                <w:highlight w:val="none"/>
                <w:lang w:val="en-US" w:eastAsia="zh-CN"/>
              </w:rPr>
              <w:t>现有医院于</w:t>
            </w:r>
            <w:r>
              <w:rPr>
                <w:rFonts w:hint="eastAsia" w:cs="Times New Roman"/>
                <w:b w:val="0"/>
                <w:bCs/>
                <w:color w:val="auto"/>
                <w:sz w:val="24"/>
                <w:szCs w:val="24"/>
                <w:highlight w:val="none"/>
                <w:lang w:val="en-US" w:eastAsia="zh-CN"/>
              </w:rPr>
              <w:t>2025年5月</w:t>
            </w:r>
            <w:r>
              <w:rPr>
                <w:rFonts w:hint="default" w:ascii="Times New Roman" w:hAnsi="Times New Roman" w:cs="Times New Roman"/>
                <w:b w:val="0"/>
                <w:bCs/>
                <w:color w:val="auto"/>
                <w:sz w:val="24"/>
                <w:szCs w:val="24"/>
                <w:highlight w:val="none"/>
                <w:lang w:val="en-US" w:eastAsia="zh-CN"/>
              </w:rPr>
              <w:t>开始营业，根据《建设项目环境影响评价分类管理名录》（2021年版），现有医院不</w:t>
            </w:r>
            <w:r>
              <w:rPr>
                <w:rFonts w:hint="eastAsia" w:ascii="Times New Roman" w:hAnsi="Times New Roman" w:cs="Times New Roman"/>
                <w:b w:val="0"/>
                <w:bCs/>
                <w:color w:val="auto"/>
                <w:sz w:val="24"/>
                <w:szCs w:val="24"/>
                <w:highlight w:val="none"/>
                <w:lang w:val="en-US" w:eastAsia="zh-CN"/>
              </w:rPr>
              <w:t>开展</w:t>
            </w:r>
            <w:r>
              <w:rPr>
                <w:rFonts w:hint="default" w:ascii="Times New Roman" w:hAnsi="Times New Roman" w:cs="Times New Roman"/>
                <w:b w:val="0"/>
                <w:bCs/>
                <w:color w:val="auto"/>
                <w:sz w:val="24"/>
                <w:szCs w:val="24"/>
                <w:highlight w:val="none"/>
                <w:lang w:val="en-US" w:eastAsia="zh-CN"/>
              </w:rPr>
              <w:t>动物颅腔、胸腔或腹手术等，主要进行美容手术（只做新生动物10d内断尾和趾间腺囊肿切除）、感觉器官手术、呼吸系统手术、泌尿生殖系统手术（不含</w:t>
            </w:r>
            <w:r>
              <w:rPr>
                <w:rFonts w:hint="eastAsia" w:cs="Times New Roman"/>
                <w:b w:val="0"/>
                <w:bCs/>
                <w:color w:val="auto"/>
                <w:sz w:val="24"/>
                <w:szCs w:val="24"/>
                <w:highlight w:val="none"/>
                <w:lang w:val="en-US" w:eastAsia="zh-CN"/>
              </w:rPr>
              <w:t>“</w:t>
            </w:r>
            <w:r>
              <w:rPr>
                <w:rFonts w:hint="default" w:ascii="Times New Roman" w:hAnsi="Times New Roman" w:cs="Times New Roman"/>
                <w:b w:val="0"/>
                <w:bCs/>
                <w:color w:val="auto"/>
                <w:sz w:val="24"/>
                <w:szCs w:val="24"/>
                <w:highlight w:val="none"/>
                <w:lang w:val="en-US" w:eastAsia="zh-CN"/>
              </w:rPr>
              <w:t>三腔手术</w:t>
            </w:r>
            <w:r>
              <w:rPr>
                <w:rFonts w:hint="eastAsia" w:cs="Times New Roman"/>
                <w:b w:val="0"/>
                <w:bCs/>
                <w:color w:val="auto"/>
                <w:sz w:val="24"/>
                <w:szCs w:val="24"/>
                <w:highlight w:val="none"/>
                <w:lang w:val="en-US" w:eastAsia="zh-CN"/>
              </w:rPr>
              <w:t>”</w:t>
            </w:r>
            <w:r>
              <w:rPr>
                <w:rFonts w:hint="default" w:ascii="Times New Roman" w:hAnsi="Times New Roman" w:cs="Times New Roman"/>
                <w:b w:val="0"/>
                <w:bCs/>
                <w:color w:val="auto"/>
                <w:sz w:val="24"/>
                <w:szCs w:val="24"/>
                <w:highlight w:val="none"/>
                <w:lang w:val="en-US" w:eastAsia="zh-CN"/>
              </w:rPr>
              <w:t>）等，</w:t>
            </w:r>
            <w:r>
              <w:rPr>
                <w:rFonts w:hint="eastAsia" w:ascii="Times New Roman" w:hAnsi="Times New Roman" w:cs="Times New Roman"/>
                <w:b w:val="0"/>
                <w:bCs/>
                <w:color w:val="auto"/>
                <w:sz w:val="24"/>
                <w:szCs w:val="24"/>
                <w:highlight w:val="none"/>
                <w:lang w:val="en-US" w:eastAsia="zh-CN"/>
              </w:rPr>
              <w:t>未</w:t>
            </w:r>
            <w:r>
              <w:rPr>
                <w:rFonts w:hint="default" w:ascii="Times New Roman" w:hAnsi="Times New Roman" w:cs="Times New Roman"/>
                <w:b w:val="0"/>
                <w:bCs/>
                <w:color w:val="auto"/>
                <w:sz w:val="24"/>
                <w:szCs w:val="24"/>
                <w:highlight w:val="none"/>
                <w:lang w:val="en-US" w:eastAsia="zh-CN"/>
              </w:rPr>
              <w:t>纳入建设项目环境影响评价管理，该医院前期无需办理环评手续及排污许可。</w:t>
            </w:r>
            <w:r>
              <w:rPr>
                <w:rFonts w:hint="eastAsia" w:ascii="Times New Roman" w:hAnsi="Times New Roman" w:cs="Times New Roman"/>
                <w:b w:val="0"/>
                <w:bCs/>
                <w:color w:val="auto"/>
                <w:sz w:val="24"/>
                <w:szCs w:val="24"/>
                <w:highlight w:val="none"/>
                <w:lang w:val="en-US" w:eastAsia="zh-CN"/>
              </w:rPr>
              <w:t>本次扩建</w:t>
            </w:r>
            <w:r>
              <w:rPr>
                <w:rFonts w:hint="eastAsia"/>
                <w:color w:val="auto"/>
                <w:sz w:val="24"/>
                <w:szCs w:val="32"/>
              </w:rPr>
              <w:t>在现有手术室内增设动物颅腔、胸腔、腹腔手术（以下简称“三腔手术”）及三腔手术所需设施，扩建前后劳动定员不变，接诊量、住院量和手术量规模不变，本次评价对现有项目进行简单回顾，同时，为便于环境管理及后续验收，本次评价针对扩建后整个项目进行评价，按照整体规模进行产排污分析、并提出相应的环保措施。不统计扩建前现有污染物排放量和扩建前后污染物排放“三本账</w:t>
            </w:r>
            <w:r>
              <w:rPr>
                <w:rFonts w:hint="eastAsia"/>
                <w:color w:val="auto"/>
                <w:sz w:val="24"/>
                <w:szCs w:val="32"/>
                <w:lang w:eastAsia="zh-CN"/>
              </w:rPr>
              <w:t>”。</w:t>
            </w:r>
          </w:p>
          <w:p w14:paraId="5B59CB0D">
            <w:pPr>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本项目诊疗手术过程酒精消毒会产生极少量挥发性气体（本评价以非甲烷总烃计），仅定性分析。诊疗及住院过程中会产生少量的恶臭气体，室内通过空调系统进行通风换气，病房通过紫外线灯管进行消毒杀菌，医院整体采用84消毒液喷洒消毒</w:t>
            </w:r>
            <w:r>
              <w:rPr>
                <w:rFonts w:hint="eastAsia" w:cs="Times New Roman"/>
                <w:b w:val="0"/>
                <w:bCs/>
                <w:color w:val="000000" w:themeColor="text1"/>
                <w:sz w:val="24"/>
                <w:szCs w:val="24"/>
                <w:highlight w:val="none"/>
                <w:lang w:val="en-US" w:eastAsia="zh-CN"/>
                <w14:textFill>
                  <w14:solidFill>
                    <w14:schemeClr w14:val="tx1"/>
                  </w14:solidFill>
                </w14:textFill>
              </w:rPr>
              <w:t>，医疗废水</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采用</w:t>
            </w:r>
            <w:r>
              <w:rPr>
                <w:rFonts w:hint="eastAsia" w:ascii="Times New Roman" w:hAnsi="Times New Roman" w:cs="Times New Roman"/>
                <w:b w:val="0"/>
                <w:bCs/>
                <w:color w:val="auto"/>
                <w:sz w:val="24"/>
                <w:szCs w:val="24"/>
                <w:highlight w:val="none"/>
                <w:vertAlign w:val="baseline"/>
                <w:lang w:val="en-US" w:eastAsia="zh-CN"/>
              </w:rPr>
              <w:t>二氧化氯</w:t>
            </w:r>
            <w:r>
              <w:rPr>
                <w:rFonts w:hint="default" w:ascii="Times New Roman" w:hAnsi="Times New Roman" w:cs="Times New Roman"/>
                <w:b w:val="0"/>
                <w:bCs/>
                <w:color w:val="auto"/>
                <w:sz w:val="24"/>
                <w:szCs w:val="24"/>
                <w:highlight w:val="none"/>
                <w:vertAlign w:val="baseline"/>
                <w:lang w:val="en-US" w:eastAsia="zh-CN"/>
              </w:rPr>
              <w:t>消毒片</w:t>
            </w:r>
            <w:r>
              <w:rPr>
                <w:rFonts w:hint="eastAsia" w:cs="Times New Roman"/>
                <w:b w:val="0"/>
                <w:bCs/>
                <w:color w:val="auto"/>
                <w:sz w:val="24"/>
                <w:szCs w:val="24"/>
                <w:highlight w:val="none"/>
                <w:vertAlign w:val="baseline"/>
                <w:lang w:val="en-US" w:eastAsia="zh-CN"/>
              </w:rPr>
              <w:t>、</w:t>
            </w:r>
            <w:r>
              <w:rPr>
                <w:rFonts w:hint="eastAsia" w:ascii="Times New Roman" w:hAnsi="Times New Roman" w:eastAsia="宋体" w:cs="Times New Roman"/>
                <w:b w:val="0"/>
                <w:color w:val="auto"/>
                <w:sz w:val="24"/>
                <w:szCs w:val="24"/>
                <w:lang w:val="en-US" w:eastAsia="zh-CN" w:bidi="ar-SA"/>
              </w:rPr>
              <w:t>三氯异氰尿酸消毒片</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进行消毒，医废</w:t>
            </w:r>
            <w:r>
              <w:rPr>
                <w:rFonts w:hint="eastAsia" w:cs="Times New Roman"/>
                <w:b w:val="0"/>
                <w:bCs/>
                <w:color w:val="000000" w:themeColor="text1"/>
                <w:sz w:val="24"/>
                <w:szCs w:val="24"/>
                <w:highlight w:val="none"/>
                <w:lang w:val="en-US" w:eastAsia="zh-CN"/>
                <w14:textFill>
                  <w14:solidFill>
                    <w14:schemeClr w14:val="tx1"/>
                  </w14:solidFill>
                </w14:textFill>
              </w:rPr>
              <w:t>点</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定期消毒清运后能有效控制院区内异味。因此本评价废气仅做简单分析。</w:t>
            </w:r>
          </w:p>
          <w:p w14:paraId="09F002A2">
            <w:pPr>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现有医院配备1台DR，属于Ⅲ类射线装置，</w:t>
            </w:r>
            <w:r>
              <w:rPr>
                <w:rFonts w:hint="eastAsia" w:cs="Times New Roman"/>
                <w:b w:val="0"/>
                <w:bCs/>
                <w:color w:val="000000" w:themeColor="text1"/>
                <w:sz w:val="24"/>
                <w:szCs w:val="24"/>
                <w:highlight w:val="none"/>
                <w:lang w:val="en-US" w:eastAsia="zh-CN"/>
                <w14:textFill>
                  <w14:solidFill>
                    <w14:schemeClr w14:val="tx1"/>
                  </w14:solidFill>
                </w14:textFill>
              </w:rPr>
              <w:t>已办理辐射许可证（渝环辐证[15247]）</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w:t>
            </w: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因此，本次环评不包含辐射相关评价内容。</w:t>
            </w:r>
          </w:p>
          <w:p w14:paraId="74CDD8EF">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cs="Times New Roman"/>
                <w:b/>
                <w:bCs w:val="0"/>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bCs w:val="0"/>
                <w:color w:val="000000" w:themeColor="text1"/>
                <w:sz w:val="24"/>
                <w:szCs w:val="24"/>
                <w:highlight w:val="none"/>
                <w:lang w:val="en-US" w:eastAsia="zh-CN"/>
                <w14:textFill>
                  <w14:solidFill>
                    <w14:schemeClr w14:val="tx1"/>
                  </w14:solidFill>
                </w14:textFill>
              </w:rPr>
              <w:t>2.2项目概况</w:t>
            </w:r>
          </w:p>
          <w:p w14:paraId="04FE0A3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项目名称：</w:t>
            </w:r>
            <w:r>
              <w:rPr>
                <w:rFonts w:hint="eastAsia" w:cs="Times New Roman"/>
                <w:b w:val="0"/>
                <w:bCs/>
                <w:color w:val="000000" w:themeColor="text1"/>
                <w:sz w:val="24"/>
                <w:szCs w:val="24"/>
                <w:highlight w:val="none"/>
                <w:lang w:val="en-US" w:eastAsia="zh-CN"/>
                <w14:textFill>
                  <w14:solidFill>
                    <w14:schemeClr w14:val="tx1"/>
                  </w14:solidFill>
                </w14:textFill>
              </w:rPr>
              <w:t>渝爱</w:t>
            </w: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动物医院</w:t>
            </w:r>
            <w:r>
              <w:rPr>
                <w:rFonts w:hint="eastAsia" w:cs="Times New Roman"/>
                <w:b w:val="0"/>
                <w:bCs/>
                <w:color w:val="000000" w:themeColor="text1"/>
                <w:sz w:val="24"/>
                <w:szCs w:val="24"/>
                <w:highlight w:val="none"/>
                <w:lang w:val="en-US" w:eastAsia="zh-CN"/>
                <w14:textFill>
                  <w14:solidFill>
                    <w14:schemeClr w14:val="tx1"/>
                  </w14:solidFill>
                </w14:textFill>
              </w:rPr>
              <w:t>建设</w:t>
            </w: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项目</w:t>
            </w:r>
          </w:p>
          <w:p w14:paraId="13ADC85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建设单位：</w:t>
            </w:r>
            <w:r>
              <w:rPr>
                <w:rFonts w:hint="eastAsia" w:cs="Times New Roman"/>
                <w:b w:val="0"/>
                <w:bCs/>
                <w:color w:val="000000" w:themeColor="text1"/>
                <w:sz w:val="24"/>
                <w:szCs w:val="24"/>
                <w:highlight w:val="none"/>
                <w:lang w:val="en-US" w:eastAsia="zh-CN"/>
                <w14:textFill>
                  <w14:solidFill>
                    <w14:schemeClr w14:val="tx1"/>
                  </w14:solidFill>
                </w14:textFill>
              </w:rPr>
              <w:t>九龙坡区渝爱动物医院店</w:t>
            </w:r>
            <w:r>
              <w:rPr>
                <w:rFonts w:hint="eastAsia" w:cs="Times New Roman"/>
                <w:b w:val="0"/>
                <w:bCs/>
                <w:color w:val="auto"/>
                <w:sz w:val="24"/>
                <w:szCs w:val="24"/>
                <w:highlight w:val="none"/>
                <w:lang w:val="en-US" w:eastAsia="zh-CN"/>
              </w:rPr>
              <w:t>（个体工商户）</w:t>
            </w:r>
          </w:p>
          <w:p w14:paraId="46F557D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项目性质：扩建</w:t>
            </w:r>
          </w:p>
          <w:p w14:paraId="58E9460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建设地点：</w:t>
            </w: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重庆市九龙坡区二郎街道火炬大道100号附24号及附23-2号</w:t>
            </w:r>
          </w:p>
          <w:p w14:paraId="2F411DC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建筑面积：</w:t>
            </w:r>
            <w:r>
              <w:rPr>
                <w:rFonts w:hint="eastAsia" w:cs="Times New Roman"/>
                <w:b w:val="0"/>
                <w:bCs/>
                <w:color w:val="000000" w:themeColor="text1"/>
                <w:sz w:val="24"/>
                <w:szCs w:val="24"/>
                <w:highlight w:val="none"/>
                <w:lang w:val="en-US" w:eastAsia="zh-CN"/>
                <w14:textFill>
                  <w14:solidFill>
                    <w14:schemeClr w14:val="tx1"/>
                  </w14:solidFill>
                </w14:textFill>
              </w:rPr>
              <w:t>132.61</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m</w:t>
            </w:r>
            <w:r>
              <w:rPr>
                <w:rFonts w:hint="default" w:ascii="Times New Roman" w:hAnsi="Times New Roman" w:cs="Times New Roman"/>
                <w:b w:val="0"/>
                <w:bCs/>
                <w:color w:val="000000" w:themeColor="text1"/>
                <w:sz w:val="24"/>
                <w:szCs w:val="24"/>
                <w:highlight w:val="none"/>
                <w:vertAlign w:val="superscript"/>
                <w:lang w:val="en-US" w:eastAsia="zh-CN"/>
                <w14:textFill>
                  <w14:solidFill>
                    <w14:schemeClr w14:val="tx1"/>
                  </w14:solidFill>
                </w14:textFill>
              </w:rPr>
              <w:t>2</w:t>
            </w:r>
          </w:p>
          <w:p w14:paraId="0300506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总投资：总投资</w:t>
            </w:r>
            <w:r>
              <w:rPr>
                <w:rFonts w:hint="eastAsia" w:cs="Times New Roman"/>
                <w:b w:val="0"/>
                <w:bCs/>
                <w:color w:val="000000" w:themeColor="text1"/>
                <w:sz w:val="24"/>
                <w:szCs w:val="24"/>
                <w:highlight w:val="none"/>
                <w:vertAlign w:val="baseline"/>
                <w:lang w:val="en-US" w:eastAsia="zh-CN"/>
                <w14:textFill>
                  <w14:solidFill>
                    <w14:schemeClr w14:val="tx1"/>
                  </w14:solidFill>
                </w14:textFill>
              </w:rPr>
              <w:t>1</w:t>
            </w:r>
            <w:r>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0万元，其中环保工程投资</w:t>
            </w:r>
            <w:r>
              <w:rPr>
                <w:rFonts w:hint="eastAsia" w:cs="Times New Roman"/>
                <w:b w:val="0"/>
                <w:bCs/>
                <w:color w:val="000000" w:themeColor="text1"/>
                <w:sz w:val="24"/>
                <w:szCs w:val="24"/>
                <w:highlight w:val="none"/>
                <w:vertAlign w:val="baseline"/>
                <w:lang w:val="en-US" w:eastAsia="zh-CN"/>
                <w14:textFill>
                  <w14:solidFill>
                    <w14:schemeClr w14:val="tx1"/>
                  </w14:solidFill>
                </w14:textFill>
              </w:rPr>
              <w:t>1万元</w:t>
            </w:r>
            <w:r>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，占工程总投资的10%。</w:t>
            </w:r>
          </w:p>
          <w:p w14:paraId="7FFC669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诊疗对象：主要为犬类、猫类。</w:t>
            </w:r>
          </w:p>
          <w:p w14:paraId="45E9DB1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建设规模：</w:t>
            </w:r>
            <w:r>
              <w:rPr>
                <w:rFonts w:hint="eastAsia" w:ascii="Times New Roman" w:hAnsi="Times New Roman" w:cs="Times New Roman"/>
                <w:b w:val="0"/>
                <w:bCs/>
                <w:color w:val="auto"/>
                <w:sz w:val="24"/>
                <w:szCs w:val="24"/>
                <w:highlight w:val="none"/>
                <w:vertAlign w:val="baseline"/>
                <w:lang w:val="en-US" w:eastAsia="zh-CN"/>
              </w:rPr>
              <w:t>在现有手术室内新增动物颅腔、胸腔和腹腔手术设施，扩充手术能力，扩建完成后，医院服务内容包括：美容、寄养、门诊、手术（含三腔手术的各类手术），</w:t>
            </w:r>
            <w:r>
              <w:rPr>
                <w:rFonts w:hint="eastAsia" w:cs="Times New Roman"/>
                <w:color w:val="auto"/>
                <w:sz w:val="24"/>
                <w:szCs w:val="24"/>
                <w:highlight w:val="none"/>
                <w:lang w:val="en-US" w:eastAsia="zh-CN"/>
              </w:rPr>
              <w:t>门诊每天最大接诊量约10只（年最大接诊量3650只），手术每天最大量约4台（年最大手术量1460只），住院最大容纳宠物14只/d，美容每天最大量4只/d（年最大美容量1460只），寄养每天最大容纳宠物4只/d</w:t>
            </w:r>
            <w:r>
              <w:rPr>
                <w:rFonts w:hint="eastAsia" w:ascii="Times New Roman" w:hAnsi="Times New Roman" w:cs="Times New Roman"/>
                <w:b w:val="0"/>
                <w:bCs/>
                <w:sz w:val="24"/>
                <w:szCs w:val="24"/>
                <w:highlight w:val="none"/>
                <w:vertAlign w:val="baseline"/>
                <w:lang w:val="en-US" w:eastAsia="zh-CN"/>
              </w:rPr>
              <w:t>。</w:t>
            </w:r>
          </w:p>
          <w:p w14:paraId="48C3FF3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服务范围：动物疾病预防、诊疗、手术</w:t>
            </w:r>
            <w:r>
              <w:rPr>
                <w:rFonts w:hint="eastAsia" w:cs="Times New Roman"/>
                <w:b w:val="0"/>
                <w:bCs/>
                <w:color w:val="000000" w:themeColor="text1"/>
                <w:sz w:val="24"/>
                <w:szCs w:val="24"/>
                <w:highlight w:val="none"/>
                <w:vertAlign w:val="baseline"/>
                <w:lang w:val="en-US" w:eastAsia="zh-CN"/>
                <w14:textFill>
                  <w14:solidFill>
                    <w14:schemeClr w14:val="tx1"/>
                  </w14:solidFill>
                </w14:textFill>
              </w:rPr>
              <w:t>、美容、寄养</w:t>
            </w:r>
            <w:r>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。经本宠物医院诊断为人猫或人</w:t>
            </w:r>
            <w:r>
              <w:rPr>
                <w:rFonts w:hint="eastAsia"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犬</w:t>
            </w:r>
            <w:r>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易交叉感染的病症，宠物医院将在隔离病房采取隔离措施并立即将患病动物转移至专业的传染病防治医院，严格按照《重庆市动物防疫条例》、《重庆市无规定动物疫病区管理办法》的相关规定进行管理。</w:t>
            </w:r>
          </w:p>
          <w:p w14:paraId="1C1B33F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劳动定员：项目劳动定员</w:t>
            </w:r>
            <w:r>
              <w:rPr>
                <w:rFonts w:hint="eastAsia" w:cs="Times New Roman"/>
                <w:b w:val="0"/>
                <w:bCs/>
                <w:color w:val="000000" w:themeColor="text1"/>
                <w:sz w:val="24"/>
                <w:szCs w:val="24"/>
                <w:highlight w:val="none"/>
                <w:vertAlign w:val="baseline"/>
                <w:lang w:val="en-US" w:eastAsia="zh-CN"/>
                <w14:textFill>
                  <w14:solidFill>
                    <w14:schemeClr w14:val="tx1"/>
                  </w14:solidFill>
                </w14:textFill>
              </w:rPr>
              <w:t>3</w:t>
            </w:r>
            <w:r>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人，不提供</w:t>
            </w:r>
            <w:r>
              <w:rPr>
                <w:rFonts w:hint="eastAsia"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食堂及住宿</w:t>
            </w:r>
            <w:r>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w:t>
            </w:r>
          </w:p>
          <w:p w14:paraId="78B7B4D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default" w:cs="Times New Roman"/>
                <w:b w:val="0"/>
                <w:bCs/>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工作制度：年工作日为</w:t>
            </w: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365</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天，实行一班制，</w:t>
            </w:r>
            <w:r>
              <w:rPr>
                <w:rFonts w:hint="eastAsia" w:cs="Times New Roman"/>
                <w:b w:val="0"/>
                <w:bCs/>
                <w:color w:val="000000" w:themeColor="text1"/>
                <w:sz w:val="24"/>
                <w:szCs w:val="24"/>
                <w:highlight w:val="none"/>
                <w:lang w:val="en-US" w:eastAsia="zh-CN"/>
                <w14:textFill>
                  <w14:solidFill>
                    <w14:schemeClr w14:val="tx1"/>
                  </w14:solidFill>
                </w14:textFill>
              </w:rPr>
              <w:t>9：</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00-</w:t>
            </w:r>
            <w:r>
              <w:rPr>
                <w:rFonts w:hint="eastAsia" w:cs="Times New Roman"/>
                <w:b w:val="0"/>
                <w:bCs/>
                <w:color w:val="000000" w:themeColor="text1"/>
                <w:sz w:val="24"/>
                <w:szCs w:val="24"/>
                <w:highlight w:val="none"/>
                <w:lang w:val="en-US" w:eastAsia="zh-CN"/>
                <w14:textFill>
                  <w14:solidFill>
                    <w14:schemeClr w14:val="tx1"/>
                  </w14:solidFill>
                </w14:textFill>
              </w:rPr>
              <w:t>18：</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00。</w:t>
            </w:r>
          </w:p>
          <w:p w14:paraId="133E48DF">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cs="Times New Roman"/>
                <w:b/>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z w:val="24"/>
                <w:szCs w:val="24"/>
                <w:highlight w:val="none"/>
                <w:vertAlign w:val="baseline"/>
                <w:lang w:val="en-US" w:eastAsia="zh-CN"/>
                <w14:textFill>
                  <w14:solidFill>
                    <w14:schemeClr w14:val="tx1"/>
                  </w14:solidFill>
                </w14:textFill>
              </w:rPr>
              <w:t>2.3建设内容</w:t>
            </w:r>
          </w:p>
          <w:p w14:paraId="5C65FF7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项目以宠物服务为主，项目服务及诊疗活动范围为动物诊疗。</w:t>
            </w:r>
          </w:p>
          <w:p w14:paraId="52DD11F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动物护理诊疗内容为宠物常见的基础疾病治疗和外伤治疗。扩建后手术主要有美容手术</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（只做新生动物10d内断尾和趾间腺囊肿切除）</w:t>
            </w:r>
            <w:r>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肿瘤手术、感觉器官手术、消化系统手术、呼吸系统手术、泌尿生殖系统手术等，包含以上手术的颅腔、胸腔和腹腔手术。本宠物医院不接受人猫或人犬易交叉感染的病症，不接诊携带或疑似携带狂犬病毒的宠物猫犬，不接诊和寄养《重庆市农业农村委员会、重庆市公安局关于发布重庆市禁养烈性犬、攻击性犬类目录和大型犬标准（试行）的通告》</w:t>
            </w:r>
            <w:r>
              <w:rPr>
                <w:rFonts w:hint="eastAsia"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w:t>
            </w:r>
            <w:r>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渝农规</w:t>
            </w:r>
            <w:r>
              <w:rPr>
                <w:rFonts w:hint="eastAsia"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w:t>
            </w:r>
            <w:r>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2023</w:t>
            </w:r>
            <w:r>
              <w:rPr>
                <w:rFonts w:hint="eastAsia"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w:t>
            </w:r>
            <w:r>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2号</w:t>
            </w:r>
            <w:r>
              <w:rPr>
                <w:rFonts w:hint="eastAsia"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w:t>
            </w:r>
            <w:r>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中规定的危险犬只，仅对一般宠物感染病症进行隔离。</w:t>
            </w:r>
            <w:r>
              <w:rPr>
                <w:rFonts w:hint="eastAsia" w:cs="Times New Roman"/>
                <w:b w:val="0"/>
                <w:bCs/>
                <w:color w:val="000000" w:themeColor="text1"/>
                <w:sz w:val="24"/>
                <w:szCs w:val="24"/>
                <w:highlight w:val="none"/>
                <w:vertAlign w:val="baseline"/>
                <w:lang w:val="en-US" w:eastAsia="zh-CN"/>
                <w14:textFill>
                  <w14:solidFill>
                    <w14:schemeClr w14:val="tx1"/>
                  </w14:solidFill>
                </w14:textFill>
              </w:rPr>
              <w:t>化验室</w:t>
            </w:r>
            <w:r>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检测项目</w:t>
            </w:r>
            <w:r>
              <w:rPr>
                <w:rFonts w:hint="eastAsia"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w:t>
            </w:r>
            <w:r>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生化、细小病毒、血常规、显微镜镜检，病毒检测均采用试纸检测，血样制成试剂片，均由仪器进行检测直接出结果，使用的试剂均为成套成品试剂，不涉及试剂配制等。</w:t>
            </w:r>
          </w:p>
          <w:p w14:paraId="57C6E4E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color w:val="auto"/>
                <w:sz w:val="24"/>
                <w:szCs w:val="24"/>
                <w:highlight w:val="none"/>
                <w:vertAlign w:val="baseline"/>
                <w:lang w:val="en-US" w:eastAsia="zh-CN"/>
              </w:rPr>
            </w:pPr>
            <w:r>
              <w:rPr>
                <w:rFonts w:hint="default" w:ascii="Times New Roman" w:hAnsi="Times New Roman" w:cs="Times New Roman"/>
                <w:b w:val="0"/>
                <w:bCs/>
                <w:sz w:val="24"/>
                <w:szCs w:val="24"/>
                <w:lang w:val="en-US" w:eastAsia="zh-CN"/>
              </w:rPr>
              <w:t>项目租赁面积</w:t>
            </w:r>
            <w:r>
              <w:rPr>
                <w:rFonts w:hint="eastAsia" w:cs="Times New Roman"/>
                <w:b w:val="0"/>
                <w:bCs/>
                <w:sz w:val="24"/>
                <w:szCs w:val="24"/>
                <w:highlight w:val="none"/>
                <w:lang w:val="en-US" w:eastAsia="zh-CN"/>
              </w:rPr>
              <w:t>132.61</w:t>
            </w:r>
            <w:r>
              <w:rPr>
                <w:rFonts w:hint="default" w:ascii="Times New Roman" w:hAnsi="Times New Roman" w:cs="Times New Roman"/>
                <w:b w:val="0"/>
                <w:bCs/>
                <w:sz w:val="24"/>
                <w:szCs w:val="24"/>
                <w:highlight w:val="none"/>
                <w:lang w:val="en-US" w:eastAsia="zh-CN"/>
              </w:rPr>
              <w:t>m</w:t>
            </w:r>
            <w:r>
              <w:rPr>
                <w:rFonts w:hint="eastAsia" w:ascii="Times New Roman" w:hAnsi="Times New Roman" w:cs="Times New Roman"/>
                <w:b w:val="0"/>
                <w:bCs/>
                <w:sz w:val="24"/>
                <w:szCs w:val="24"/>
                <w:highlight w:val="none"/>
                <w:vertAlign w:val="superscript"/>
                <w:lang w:val="en-US" w:eastAsia="zh-CN"/>
              </w:rPr>
              <w:t>2</w:t>
            </w:r>
            <w:r>
              <w:rPr>
                <w:rFonts w:hint="default" w:ascii="Times New Roman" w:hAnsi="Times New Roman" w:cs="Times New Roman"/>
                <w:b w:val="0"/>
                <w:bCs/>
                <w:sz w:val="24"/>
                <w:szCs w:val="24"/>
                <w:highlight w:val="none"/>
                <w:lang w:val="en-US" w:eastAsia="zh-CN"/>
              </w:rPr>
              <w:t>，</w:t>
            </w:r>
            <w:r>
              <w:rPr>
                <w:rFonts w:hint="eastAsia" w:cs="Times New Roman"/>
                <w:b w:val="0"/>
                <w:bCs/>
                <w:sz w:val="24"/>
                <w:szCs w:val="24"/>
                <w:highlight w:val="none"/>
                <w:lang w:val="en-US" w:eastAsia="zh-CN"/>
              </w:rPr>
              <w:t>位于商业裙楼1F，设置有DR室、手术室、治疗室、药房、化验室、诊室、寄养室</w:t>
            </w:r>
            <w:r>
              <w:rPr>
                <w:rFonts w:hint="eastAsia" w:cs="Times New Roman"/>
                <w:color w:val="000000"/>
                <w:sz w:val="24"/>
                <w:szCs w:val="24"/>
                <w:highlight w:val="none"/>
                <w:lang w:val="en-US" w:eastAsia="zh-CN"/>
              </w:rPr>
              <w:t>等</w:t>
            </w:r>
            <w:r>
              <w:rPr>
                <w:rFonts w:hint="eastAsia" w:cs="Times New Roman"/>
                <w:b w:val="0"/>
                <w:bCs/>
                <w:sz w:val="24"/>
                <w:szCs w:val="24"/>
                <w:highlight w:val="none"/>
                <w:lang w:val="en-US" w:eastAsia="zh-CN"/>
              </w:rPr>
              <w:t>。</w:t>
            </w:r>
            <w:r>
              <w:rPr>
                <w:rFonts w:hint="default" w:ascii="Times New Roman" w:hAnsi="Times New Roman" w:cs="Times New Roman"/>
                <w:b w:val="0"/>
                <w:bCs/>
                <w:color w:val="auto"/>
                <w:sz w:val="24"/>
                <w:szCs w:val="24"/>
                <w:highlight w:val="none"/>
                <w:vertAlign w:val="baseline"/>
                <w:lang w:val="en-US" w:eastAsia="zh-CN"/>
              </w:rPr>
              <w:t>本项目主要是在现有手术室内增设手术设施，扩充手术能力，扩建完成后具备动物颅腔、胸腔和腹腔手术能力。化验室主要涉及宠物血常规、尿检、粪检等，均由仪器进行检测直接出结果，使用的试剂均为成套成品试剂，不涉及试剂配备等。本项目扩建前后接诊量、住院量和手术量规模不变。</w:t>
            </w:r>
          </w:p>
          <w:p w14:paraId="431D695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项目建设组成见表2.3-1。</w:t>
            </w:r>
          </w:p>
          <w:p w14:paraId="1F5D3F5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firstLine="0" w:firstLineChars="0"/>
              <w:jc w:val="center"/>
              <w:textAlignment w:val="auto"/>
              <w:rPr>
                <w:rFonts w:hint="default" w:ascii="Times New Roman" w:hAnsi="Times New Roman" w:cs="Times New Roman"/>
                <w:b/>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z w:val="24"/>
                <w:szCs w:val="24"/>
                <w:highlight w:val="none"/>
                <w:lang w:val="en-US" w:eastAsia="zh-CN"/>
                <w14:textFill>
                  <w14:solidFill>
                    <w14:schemeClr w14:val="tx1"/>
                  </w14:solidFill>
                </w14:textFill>
              </w:rPr>
              <w:t>表2.3-1 项目组成一览表</w:t>
            </w:r>
          </w:p>
          <w:tbl>
            <w:tblPr>
              <w:tblStyle w:val="21"/>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5"/>
              <w:gridCol w:w="1325"/>
              <w:gridCol w:w="5036"/>
              <w:gridCol w:w="1054"/>
            </w:tblGrid>
            <w:tr w14:paraId="3A3417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09" w:type="pct"/>
                  <w:gridSpan w:val="2"/>
                  <w:tcBorders>
                    <w:tl2br w:val="nil"/>
                    <w:tr2bl w:val="nil"/>
                  </w:tcBorders>
                  <w:vAlign w:val="center"/>
                </w:tcPr>
                <w:p w14:paraId="0310C55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项目名称</w:t>
                  </w:r>
                </w:p>
              </w:tc>
              <w:tc>
                <w:tcPr>
                  <w:tcW w:w="3052" w:type="pct"/>
                  <w:tcBorders>
                    <w:tl2br w:val="nil"/>
                    <w:tr2bl w:val="nil"/>
                  </w:tcBorders>
                  <w:vAlign w:val="center"/>
                </w:tcPr>
                <w:p w14:paraId="56496BF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工程内容</w:t>
                  </w:r>
                </w:p>
              </w:tc>
              <w:tc>
                <w:tcPr>
                  <w:tcW w:w="638" w:type="pct"/>
                  <w:tcBorders>
                    <w:tl2br w:val="nil"/>
                    <w:tr2bl w:val="nil"/>
                  </w:tcBorders>
                  <w:vAlign w:val="center"/>
                </w:tcPr>
                <w:p w14:paraId="335C25B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备注</w:t>
                  </w:r>
                </w:p>
              </w:tc>
            </w:tr>
            <w:tr w14:paraId="6F43FE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6" w:type="pct"/>
                  <w:vMerge w:val="restart"/>
                  <w:tcBorders>
                    <w:tl2br w:val="nil"/>
                    <w:tr2bl w:val="nil"/>
                  </w:tcBorders>
                  <w:vAlign w:val="center"/>
                </w:tcPr>
                <w:p w14:paraId="5E4FBD2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FF0000"/>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主体工程</w:t>
                  </w:r>
                </w:p>
              </w:tc>
              <w:tc>
                <w:tcPr>
                  <w:tcW w:w="803" w:type="pct"/>
                  <w:tcBorders>
                    <w:tl2br w:val="nil"/>
                    <w:tr2bl w:val="nil"/>
                  </w:tcBorders>
                  <w:vAlign w:val="center"/>
                </w:tcPr>
                <w:p w14:paraId="52012C1F">
                  <w:pPr>
                    <w:pStyle w:val="55"/>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eastAsia" w:cs="Times New Roman"/>
                      <w:color w:val="auto"/>
                      <w:lang w:val="en-US" w:eastAsia="zh-CN"/>
                    </w:rPr>
                    <w:t>诊室</w:t>
                  </w:r>
                </w:p>
              </w:tc>
              <w:tc>
                <w:tcPr>
                  <w:tcW w:w="3052" w:type="pct"/>
                  <w:tcBorders>
                    <w:tl2br w:val="nil"/>
                    <w:tr2bl w:val="nil"/>
                  </w:tcBorders>
                  <w:vAlign w:val="center"/>
                </w:tcPr>
                <w:p w14:paraId="481B11C0">
                  <w:pPr>
                    <w:pStyle w:val="55"/>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both"/>
                    <w:textAlignment w:val="auto"/>
                    <w:rPr>
                      <w:rFonts w:hint="default" w:ascii="Times New Roman" w:hAnsi="Times New Roman" w:cs="Times New Roman"/>
                      <w:b w:val="0"/>
                      <w:bCs/>
                      <w:color w:val="auto"/>
                      <w:sz w:val="21"/>
                      <w:szCs w:val="21"/>
                      <w:highlight w:val="none"/>
                      <w:vertAlign w:val="baseline"/>
                      <w:lang w:val="en-US" w:eastAsia="zh-CN"/>
                    </w:rPr>
                  </w:pPr>
                  <w:r>
                    <w:rPr>
                      <w:rFonts w:hint="eastAsia" w:cs="Times New Roman"/>
                      <w:color w:val="auto"/>
                      <w:highlight w:val="none"/>
                      <w:lang w:val="en-US" w:eastAsia="zh-CN"/>
                    </w:rPr>
                    <w:t>位于医院</w:t>
                  </w:r>
                  <w:r>
                    <w:rPr>
                      <w:rFonts w:hint="eastAsia"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进口</w:t>
                  </w:r>
                  <w:r>
                    <w:rPr>
                      <w:rFonts w:hint="eastAsia" w:cs="Times New Roman"/>
                      <w:color w:val="auto"/>
                      <w:highlight w:val="none"/>
                      <w:lang w:val="en-US" w:eastAsia="zh-CN"/>
                    </w:rPr>
                    <w:t>处，面积为7m</w:t>
                  </w:r>
                  <w:r>
                    <w:rPr>
                      <w:rFonts w:hint="eastAsia" w:cs="Times New Roman"/>
                      <w:color w:val="auto"/>
                      <w:highlight w:val="none"/>
                      <w:vertAlign w:val="superscript"/>
                      <w:lang w:val="en-US" w:eastAsia="zh-CN"/>
                    </w:rPr>
                    <w:t>2</w:t>
                  </w:r>
                  <w:r>
                    <w:rPr>
                      <w:rFonts w:hint="eastAsia" w:cs="Times New Roman"/>
                      <w:color w:val="auto"/>
                      <w:highlight w:val="none"/>
                      <w:lang w:val="en-US" w:eastAsia="zh-CN"/>
                    </w:rPr>
                    <w:t>。用于接诊检查。</w:t>
                  </w:r>
                </w:p>
              </w:tc>
              <w:tc>
                <w:tcPr>
                  <w:tcW w:w="638" w:type="pct"/>
                  <w:tcBorders>
                    <w:tl2br w:val="nil"/>
                    <w:tr2bl w:val="nil"/>
                  </w:tcBorders>
                  <w:vAlign w:val="center"/>
                </w:tcPr>
                <w:p w14:paraId="0346490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已建</w:t>
                  </w:r>
                </w:p>
              </w:tc>
            </w:tr>
            <w:tr w14:paraId="253F57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6" w:type="pct"/>
                  <w:vMerge w:val="continue"/>
                  <w:tcBorders>
                    <w:tl2br w:val="nil"/>
                    <w:tr2bl w:val="nil"/>
                  </w:tcBorders>
                  <w:vAlign w:val="center"/>
                </w:tcPr>
                <w:p w14:paraId="32469D9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FF0000"/>
                      <w:sz w:val="21"/>
                      <w:szCs w:val="21"/>
                      <w:highlight w:val="none"/>
                      <w:vertAlign w:val="baseline"/>
                      <w:lang w:val="en-US" w:eastAsia="zh-CN"/>
                    </w:rPr>
                  </w:pPr>
                </w:p>
              </w:tc>
              <w:tc>
                <w:tcPr>
                  <w:tcW w:w="803" w:type="pct"/>
                  <w:tcBorders>
                    <w:tl2br w:val="nil"/>
                    <w:tr2bl w:val="nil"/>
                  </w:tcBorders>
                  <w:vAlign w:val="center"/>
                </w:tcPr>
                <w:p w14:paraId="5EB62D4F">
                  <w:pPr>
                    <w:pStyle w:val="55"/>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cs="Times New Roman"/>
                      <w:b w:val="0"/>
                      <w:bCs/>
                      <w:color w:val="auto"/>
                      <w:sz w:val="21"/>
                      <w:szCs w:val="21"/>
                      <w:highlight w:val="none"/>
                      <w:vertAlign w:val="baseline"/>
                      <w:lang w:val="en-US" w:eastAsia="zh-CN"/>
                    </w:rPr>
                  </w:pPr>
                  <w:r>
                    <w:rPr>
                      <w:rFonts w:hint="eastAsia" w:cs="Times New Roman"/>
                      <w:color w:val="auto"/>
                      <w:lang w:val="en-US" w:eastAsia="zh-CN"/>
                    </w:rPr>
                    <w:t>犬住院室</w:t>
                  </w:r>
                </w:p>
              </w:tc>
              <w:tc>
                <w:tcPr>
                  <w:tcW w:w="3052" w:type="pct"/>
                  <w:tcBorders>
                    <w:tl2br w:val="nil"/>
                    <w:tr2bl w:val="nil"/>
                  </w:tcBorders>
                  <w:vAlign w:val="center"/>
                </w:tcPr>
                <w:p w14:paraId="646BCE89">
                  <w:pPr>
                    <w:pStyle w:val="55"/>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both"/>
                    <w:textAlignment w:val="auto"/>
                    <w:rPr>
                      <w:rFonts w:hint="default" w:cs="Times New Roman"/>
                      <w:b w:val="0"/>
                      <w:bCs/>
                      <w:color w:val="auto"/>
                      <w:sz w:val="21"/>
                      <w:szCs w:val="21"/>
                      <w:highlight w:val="none"/>
                      <w:vertAlign w:val="baseline"/>
                      <w:lang w:val="en-US" w:eastAsia="zh-CN"/>
                    </w:rPr>
                  </w:pPr>
                  <w:r>
                    <w:rPr>
                      <w:rFonts w:hint="eastAsia" w:cs="Times New Roman"/>
                      <w:color w:val="auto"/>
                      <w:highlight w:val="none"/>
                      <w:lang w:val="en-US" w:eastAsia="zh-CN"/>
                    </w:rPr>
                    <w:t>位于医院东北角，建筑面积为7m</w:t>
                  </w:r>
                  <w:r>
                    <w:rPr>
                      <w:rFonts w:hint="eastAsia" w:cs="Times New Roman"/>
                      <w:color w:val="auto"/>
                      <w:highlight w:val="none"/>
                      <w:vertAlign w:val="superscript"/>
                      <w:lang w:val="en-US" w:eastAsia="zh-CN"/>
                    </w:rPr>
                    <w:t>2</w:t>
                  </w:r>
                  <w:r>
                    <w:rPr>
                      <w:rFonts w:hint="eastAsia" w:cs="Times New Roman"/>
                      <w:color w:val="auto"/>
                      <w:highlight w:val="none"/>
                      <w:lang w:val="en-US" w:eastAsia="zh-CN"/>
                    </w:rPr>
                    <w:t>，设置了6个狗笼</w:t>
                  </w:r>
                </w:p>
              </w:tc>
              <w:tc>
                <w:tcPr>
                  <w:tcW w:w="638" w:type="pct"/>
                  <w:tcBorders>
                    <w:tl2br w:val="nil"/>
                    <w:tr2bl w:val="nil"/>
                  </w:tcBorders>
                  <w:vAlign w:val="center"/>
                </w:tcPr>
                <w:p w14:paraId="3D3CB20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已建</w:t>
                  </w:r>
                </w:p>
              </w:tc>
            </w:tr>
            <w:tr w14:paraId="63FFE2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6" w:type="pct"/>
                  <w:vMerge w:val="continue"/>
                  <w:tcBorders>
                    <w:tl2br w:val="nil"/>
                    <w:tr2bl w:val="nil"/>
                  </w:tcBorders>
                  <w:vAlign w:val="center"/>
                </w:tcPr>
                <w:p w14:paraId="501F0B3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FF0000"/>
                      <w:sz w:val="21"/>
                      <w:szCs w:val="21"/>
                      <w:highlight w:val="none"/>
                      <w:vertAlign w:val="baseline"/>
                      <w:lang w:val="en-US" w:eastAsia="zh-CN"/>
                    </w:rPr>
                  </w:pPr>
                </w:p>
              </w:tc>
              <w:tc>
                <w:tcPr>
                  <w:tcW w:w="803" w:type="pct"/>
                  <w:tcBorders>
                    <w:tl2br w:val="nil"/>
                    <w:tr2bl w:val="nil"/>
                  </w:tcBorders>
                  <w:vAlign w:val="center"/>
                </w:tcPr>
                <w:p w14:paraId="72D44761">
                  <w:pPr>
                    <w:pStyle w:val="55"/>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cs="Times New Roman"/>
                      <w:b w:val="0"/>
                      <w:bCs/>
                      <w:color w:val="auto"/>
                      <w:sz w:val="21"/>
                      <w:szCs w:val="21"/>
                      <w:highlight w:val="none"/>
                      <w:vertAlign w:val="baseline"/>
                      <w:lang w:val="en-US" w:eastAsia="zh-CN"/>
                    </w:rPr>
                  </w:pPr>
                  <w:r>
                    <w:rPr>
                      <w:rFonts w:hint="eastAsia" w:cs="Times New Roman"/>
                      <w:color w:val="auto"/>
                      <w:lang w:val="en-US" w:eastAsia="zh-CN"/>
                    </w:rPr>
                    <w:t>猫住院室</w:t>
                  </w:r>
                </w:p>
              </w:tc>
              <w:tc>
                <w:tcPr>
                  <w:tcW w:w="3052" w:type="pct"/>
                  <w:tcBorders>
                    <w:tl2br w:val="nil"/>
                    <w:tr2bl w:val="nil"/>
                  </w:tcBorders>
                  <w:vAlign w:val="center"/>
                </w:tcPr>
                <w:p w14:paraId="290F809A">
                  <w:pPr>
                    <w:pStyle w:val="55"/>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both"/>
                    <w:textAlignment w:val="auto"/>
                    <w:rPr>
                      <w:rFonts w:hint="eastAsia" w:cs="Times New Roman"/>
                      <w:b w:val="0"/>
                      <w:bCs/>
                      <w:color w:val="auto"/>
                      <w:sz w:val="21"/>
                      <w:szCs w:val="21"/>
                      <w:highlight w:val="none"/>
                      <w:vertAlign w:val="baseline"/>
                      <w:lang w:val="en-US" w:eastAsia="zh-CN"/>
                    </w:rPr>
                  </w:pPr>
                  <w:r>
                    <w:rPr>
                      <w:rFonts w:hint="eastAsia" w:cs="Times New Roman"/>
                      <w:color w:val="auto"/>
                      <w:highlight w:val="none"/>
                      <w:lang w:val="en-US" w:eastAsia="zh-CN"/>
                    </w:rPr>
                    <w:t>位于医院西侧中部，建筑面积为4m</w:t>
                  </w:r>
                  <w:r>
                    <w:rPr>
                      <w:rFonts w:hint="eastAsia" w:cs="Times New Roman"/>
                      <w:color w:val="auto"/>
                      <w:highlight w:val="none"/>
                      <w:vertAlign w:val="superscript"/>
                      <w:lang w:val="en-US" w:eastAsia="zh-CN"/>
                    </w:rPr>
                    <w:t>2</w:t>
                  </w:r>
                  <w:r>
                    <w:rPr>
                      <w:rFonts w:hint="eastAsia" w:cs="Times New Roman"/>
                      <w:color w:val="auto"/>
                      <w:highlight w:val="none"/>
                      <w:lang w:val="en-US" w:eastAsia="zh-CN"/>
                    </w:rPr>
                    <w:t>，设置了8个猫笼</w:t>
                  </w:r>
                </w:p>
              </w:tc>
              <w:tc>
                <w:tcPr>
                  <w:tcW w:w="638" w:type="pct"/>
                  <w:tcBorders>
                    <w:tl2br w:val="nil"/>
                    <w:tr2bl w:val="nil"/>
                  </w:tcBorders>
                  <w:vAlign w:val="center"/>
                </w:tcPr>
                <w:p w14:paraId="7451CF6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已建</w:t>
                  </w:r>
                </w:p>
              </w:tc>
            </w:tr>
            <w:tr w14:paraId="0CE19C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6" w:type="pct"/>
                  <w:vMerge w:val="continue"/>
                  <w:tcBorders>
                    <w:tl2br w:val="nil"/>
                    <w:tr2bl w:val="nil"/>
                  </w:tcBorders>
                  <w:vAlign w:val="center"/>
                </w:tcPr>
                <w:p w14:paraId="3F65D2B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FF0000"/>
                      <w:sz w:val="21"/>
                      <w:szCs w:val="21"/>
                      <w:highlight w:val="none"/>
                      <w:vertAlign w:val="baseline"/>
                      <w:lang w:val="en-US" w:eastAsia="zh-CN"/>
                    </w:rPr>
                  </w:pPr>
                </w:p>
              </w:tc>
              <w:tc>
                <w:tcPr>
                  <w:tcW w:w="803" w:type="pct"/>
                  <w:tcBorders>
                    <w:tl2br w:val="nil"/>
                    <w:tr2bl w:val="nil"/>
                  </w:tcBorders>
                  <w:vAlign w:val="center"/>
                </w:tcPr>
                <w:p w14:paraId="06D23CEE">
                  <w:pPr>
                    <w:pStyle w:val="55"/>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cs="Times New Roman"/>
                      <w:color w:val="auto"/>
                      <w:lang w:val="en-US" w:eastAsia="zh-CN"/>
                    </w:rPr>
                  </w:pPr>
                  <w:r>
                    <w:rPr>
                      <w:rFonts w:hint="eastAsia" w:cs="Times New Roman"/>
                      <w:color w:val="auto"/>
                      <w:lang w:val="en-US" w:eastAsia="zh-CN"/>
                    </w:rPr>
                    <w:t>免疫室</w:t>
                  </w:r>
                </w:p>
              </w:tc>
              <w:tc>
                <w:tcPr>
                  <w:tcW w:w="3052" w:type="pct"/>
                  <w:tcBorders>
                    <w:tl2br w:val="nil"/>
                    <w:tr2bl w:val="nil"/>
                  </w:tcBorders>
                  <w:vAlign w:val="center"/>
                </w:tcPr>
                <w:p w14:paraId="0DB33FBD">
                  <w:pPr>
                    <w:pStyle w:val="55"/>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both"/>
                    <w:textAlignment w:val="auto"/>
                    <w:rPr>
                      <w:rFonts w:hint="default" w:cs="Times New Roman"/>
                      <w:color w:val="auto"/>
                      <w:highlight w:val="none"/>
                      <w:lang w:val="en-US" w:eastAsia="zh-CN"/>
                    </w:rPr>
                  </w:pPr>
                  <w:r>
                    <w:rPr>
                      <w:rFonts w:hint="eastAsia" w:cs="Times New Roman"/>
                      <w:color w:val="auto"/>
                      <w:highlight w:val="none"/>
                      <w:lang w:val="en-US" w:eastAsia="zh-CN"/>
                    </w:rPr>
                    <w:t>位于医院东侧中部，</w:t>
                  </w:r>
                  <w:r>
                    <w:rPr>
                      <w:rFonts w:hint="eastAsia" w:cs="Times New Roman"/>
                      <w:color w:val="auto"/>
                      <w:lang w:val="en-US" w:eastAsia="zh-CN"/>
                    </w:rPr>
                    <w:t>猫住院室南侧，</w:t>
                  </w:r>
                  <w:r>
                    <w:rPr>
                      <w:rFonts w:hint="eastAsia" w:cs="Times New Roman"/>
                      <w:color w:val="auto"/>
                      <w:highlight w:val="none"/>
                      <w:lang w:val="en-US" w:eastAsia="zh-CN"/>
                    </w:rPr>
                    <w:t>建筑面积为6m</w:t>
                  </w:r>
                  <w:r>
                    <w:rPr>
                      <w:rFonts w:hint="eastAsia" w:cs="Times New Roman"/>
                      <w:color w:val="auto"/>
                      <w:highlight w:val="none"/>
                      <w:vertAlign w:val="superscript"/>
                      <w:lang w:val="en-US" w:eastAsia="zh-CN"/>
                    </w:rPr>
                    <w:t>2</w:t>
                  </w:r>
                  <w:r>
                    <w:rPr>
                      <w:rFonts w:hint="eastAsia" w:cs="Times New Roman"/>
                      <w:color w:val="auto"/>
                      <w:highlight w:val="none"/>
                      <w:lang w:val="en-US" w:eastAsia="zh-CN"/>
                    </w:rPr>
                    <w:t>，用于猫犬</w:t>
                  </w:r>
                  <w:r>
                    <w:rPr>
                      <w:rFonts w:hint="eastAsia" w:cs="Times New Roman"/>
                      <w:highlight w:val="none"/>
                      <w:lang w:val="en-US" w:eastAsia="zh-CN"/>
                    </w:rPr>
                    <w:t>打疫苗服务</w:t>
                  </w:r>
                  <w:r>
                    <w:rPr>
                      <w:rFonts w:hint="eastAsia" w:cs="Times New Roman"/>
                      <w:color w:val="auto"/>
                      <w:highlight w:val="none"/>
                      <w:lang w:val="en-US" w:eastAsia="zh-CN"/>
                    </w:rPr>
                    <w:t>。</w:t>
                  </w:r>
                </w:p>
              </w:tc>
              <w:tc>
                <w:tcPr>
                  <w:tcW w:w="638" w:type="pct"/>
                  <w:tcBorders>
                    <w:tl2br w:val="nil"/>
                    <w:tr2bl w:val="nil"/>
                  </w:tcBorders>
                  <w:vAlign w:val="center"/>
                </w:tcPr>
                <w:p w14:paraId="0C81527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cs="Times New Roman"/>
                      <w:b w:val="0"/>
                      <w:bCs/>
                      <w:color w:val="FF0000"/>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已建</w:t>
                  </w:r>
                </w:p>
              </w:tc>
            </w:tr>
            <w:tr w14:paraId="60A38E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6" w:type="pct"/>
                  <w:vMerge w:val="continue"/>
                  <w:tcBorders>
                    <w:tl2br w:val="nil"/>
                    <w:tr2bl w:val="nil"/>
                  </w:tcBorders>
                  <w:vAlign w:val="center"/>
                </w:tcPr>
                <w:p w14:paraId="3F8F53A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FF0000"/>
                      <w:sz w:val="21"/>
                      <w:szCs w:val="21"/>
                      <w:highlight w:val="none"/>
                      <w:vertAlign w:val="baseline"/>
                      <w:lang w:val="en-US" w:eastAsia="zh-CN"/>
                    </w:rPr>
                  </w:pPr>
                </w:p>
              </w:tc>
              <w:tc>
                <w:tcPr>
                  <w:tcW w:w="803" w:type="pct"/>
                  <w:tcBorders>
                    <w:tl2br w:val="nil"/>
                    <w:tr2bl w:val="nil"/>
                  </w:tcBorders>
                  <w:vAlign w:val="center"/>
                </w:tcPr>
                <w:p w14:paraId="0B47A757">
                  <w:pPr>
                    <w:pStyle w:val="55"/>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cs="Times New Roman"/>
                      <w:b w:val="0"/>
                      <w:bCs/>
                      <w:color w:val="auto"/>
                      <w:sz w:val="21"/>
                      <w:szCs w:val="21"/>
                      <w:highlight w:val="none"/>
                      <w:vertAlign w:val="baseline"/>
                      <w:lang w:val="en-US" w:eastAsia="zh-CN"/>
                    </w:rPr>
                  </w:pPr>
                  <w:r>
                    <w:rPr>
                      <w:rFonts w:hint="eastAsia" w:cs="Times New Roman"/>
                      <w:color w:val="auto"/>
                      <w:lang w:val="en-US" w:eastAsia="zh-CN"/>
                    </w:rPr>
                    <w:t>隔离室</w:t>
                  </w:r>
                </w:p>
              </w:tc>
              <w:tc>
                <w:tcPr>
                  <w:tcW w:w="3052" w:type="pct"/>
                  <w:tcBorders>
                    <w:tl2br w:val="nil"/>
                    <w:tr2bl w:val="nil"/>
                  </w:tcBorders>
                  <w:shd w:val="clear" w:color="auto" w:fill="auto"/>
                  <w:vAlign w:val="center"/>
                </w:tcPr>
                <w:p w14:paraId="63393A09">
                  <w:pPr>
                    <w:pStyle w:val="55"/>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both"/>
                    <w:textAlignment w:val="auto"/>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color w:val="auto"/>
                      <w:highlight w:val="none"/>
                      <w:lang w:val="en-US" w:eastAsia="zh-CN"/>
                    </w:rPr>
                    <w:t>位于医院北侧，建筑面积为1m</w:t>
                  </w:r>
                  <w:r>
                    <w:rPr>
                      <w:rFonts w:hint="eastAsia" w:cs="Times New Roman"/>
                      <w:color w:val="auto"/>
                      <w:highlight w:val="none"/>
                      <w:vertAlign w:val="superscript"/>
                      <w:lang w:val="en-US" w:eastAsia="zh-CN"/>
                    </w:rPr>
                    <w:t>2</w:t>
                  </w:r>
                  <w:r>
                    <w:rPr>
                      <w:rFonts w:hint="eastAsia" w:cs="Times New Roman"/>
                      <w:color w:val="auto"/>
                      <w:highlight w:val="none"/>
                      <w:lang w:val="en-US" w:eastAsia="zh-CN"/>
                    </w:rPr>
                    <w:t>，设1个笼子。</w:t>
                  </w:r>
                </w:p>
              </w:tc>
              <w:tc>
                <w:tcPr>
                  <w:tcW w:w="638" w:type="pct"/>
                  <w:tcBorders>
                    <w:tl2br w:val="nil"/>
                    <w:tr2bl w:val="nil"/>
                  </w:tcBorders>
                  <w:vAlign w:val="center"/>
                </w:tcPr>
                <w:p w14:paraId="642F0CB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已建</w:t>
                  </w:r>
                </w:p>
              </w:tc>
            </w:tr>
            <w:tr w14:paraId="6F4F22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506" w:type="pct"/>
                  <w:vMerge w:val="continue"/>
                  <w:tcBorders>
                    <w:tl2br w:val="nil"/>
                    <w:tr2bl w:val="nil"/>
                  </w:tcBorders>
                  <w:vAlign w:val="center"/>
                </w:tcPr>
                <w:p w14:paraId="1030F3F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FF0000"/>
                      <w:sz w:val="21"/>
                      <w:szCs w:val="21"/>
                      <w:highlight w:val="none"/>
                      <w:vertAlign w:val="baseline"/>
                      <w:lang w:val="en-US" w:eastAsia="zh-CN"/>
                    </w:rPr>
                  </w:pPr>
                </w:p>
              </w:tc>
              <w:tc>
                <w:tcPr>
                  <w:tcW w:w="803" w:type="pct"/>
                  <w:tcBorders>
                    <w:tl2br w:val="nil"/>
                    <w:tr2bl w:val="nil"/>
                  </w:tcBorders>
                  <w:vAlign w:val="center"/>
                </w:tcPr>
                <w:p w14:paraId="3FC2466B">
                  <w:pPr>
                    <w:pStyle w:val="55"/>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cs="Times New Roman"/>
                      <w:b w:val="0"/>
                      <w:bCs/>
                      <w:color w:val="auto"/>
                      <w:sz w:val="21"/>
                      <w:szCs w:val="21"/>
                      <w:highlight w:val="none"/>
                      <w:vertAlign w:val="baseline"/>
                      <w:lang w:val="en-US" w:eastAsia="zh-CN"/>
                    </w:rPr>
                  </w:pPr>
                  <w:r>
                    <w:rPr>
                      <w:rFonts w:hint="eastAsia" w:cs="Times New Roman"/>
                      <w:color w:val="auto"/>
                      <w:lang w:val="en-US" w:eastAsia="zh-CN"/>
                    </w:rPr>
                    <w:t>化验室</w:t>
                  </w:r>
                </w:p>
              </w:tc>
              <w:tc>
                <w:tcPr>
                  <w:tcW w:w="3052" w:type="pct"/>
                  <w:tcBorders>
                    <w:tl2br w:val="nil"/>
                    <w:tr2bl w:val="nil"/>
                  </w:tcBorders>
                  <w:shd w:val="clear" w:color="auto" w:fill="auto"/>
                  <w:vAlign w:val="center"/>
                </w:tcPr>
                <w:p w14:paraId="1117884D">
                  <w:pPr>
                    <w:pStyle w:val="55"/>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both"/>
                    <w:textAlignment w:val="auto"/>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color w:val="auto"/>
                      <w:highlight w:val="none"/>
                      <w:lang w:val="en-US" w:eastAsia="zh-CN"/>
                    </w:rPr>
                    <w:t>位于医院中部，建筑面积为5m</w:t>
                  </w:r>
                  <w:r>
                    <w:rPr>
                      <w:rFonts w:hint="eastAsia" w:cs="Times New Roman"/>
                      <w:color w:val="auto"/>
                      <w:highlight w:val="none"/>
                      <w:vertAlign w:val="superscript"/>
                      <w:lang w:val="en-US" w:eastAsia="zh-CN"/>
                    </w:rPr>
                    <w:t>2</w:t>
                  </w:r>
                  <w:r>
                    <w:rPr>
                      <w:rFonts w:hint="eastAsia" w:cs="Times New Roman"/>
                      <w:color w:val="auto"/>
                      <w:highlight w:val="none"/>
                      <w:lang w:val="en-US" w:eastAsia="zh-CN"/>
                    </w:rPr>
                    <w:t>，用于化验</w:t>
                  </w:r>
                  <w:r>
                    <w:rPr>
                      <w:rFonts w:hint="eastAsia" w:ascii="Times New Roman" w:hAnsi="Times New Roman" w:eastAsia="宋体" w:cs="Times New Roman"/>
                      <w:color w:val="auto"/>
                      <w:highlight w:val="none"/>
                      <w:lang w:val="en-US" w:eastAsia="zh-CN"/>
                    </w:rPr>
                    <w:t>宠物血常规、尿检</w:t>
                  </w:r>
                  <w:r>
                    <w:rPr>
                      <w:rFonts w:hint="eastAsia" w:cs="Times New Roman"/>
                      <w:color w:val="auto"/>
                      <w:highlight w:val="none"/>
                      <w:lang w:val="en-US" w:eastAsia="zh-CN"/>
                    </w:rPr>
                    <w:t>和</w:t>
                  </w:r>
                  <w:r>
                    <w:rPr>
                      <w:rFonts w:hint="eastAsia" w:ascii="Times New Roman" w:hAnsi="Times New Roman" w:eastAsia="宋体" w:cs="Times New Roman"/>
                      <w:color w:val="auto"/>
                      <w:highlight w:val="none"/>
                      <w:lang w:val="en-US" w:eastAsia="zh-CN"/>
                    </w:rPr>
                    <w:t>粪检</w:t>
                  </w:r>
                  <w:r>
                    <w:rPr>
                      <w:rFonts w:hint="eastAsia" w:cs="Times New Roman"/>
                      <w:color w:val="auto"/>
                      <w:highlight w:val="none"/>
                      <w:lang w:val="en-US" w:eastAsia="zh-CN"/>
                    </w:rPr>
                    <w:t>等。</w:t>
                  </w:r>
                </w:p>
              </w:tc>
              <w:tc>
                <w:tcPr>
                  <w:tcW w:w="638" w:type="pct"/>
                  <w:tcBorders>
                    <w:tl2br w:val="nil"/>
                    <w:tr2bl w:val="nil"/>
                  </w:tcBorders>
                  <w:vAlign w:val="center"/>
                </w:tcPr>
                <w:p w14:paraId="3B5ADF4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已建</w:t>
                  </w:r>
                </w:p>
              </w:tc>
            </w:tr>
            <w:tr w14:paraId="319EAD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6" w:type="pct"/>
                  <w:vMerge w:val="continue"/>
                  <w:tcBorders>
                    <w:tl2br w:val="nil"/>
                    <w:tr2bl w:val="nil"/>
                  </w:tcBorders>
                  <w:vAlign w:val="center"/>
                </w:tcPr>
                <w:p w14:paraId="3DB6009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FF0000"/>
                      <w:sz w:val="21"/>
                      <w:szCs w:val="21"/>
                      <w:highlight w:val="none"/>
                      <w:vertAlign w:val="baseline"/>
                      <w:lang w:val="en-US" w:eastAsia="zh-CN"/>
                    </w:rPr>
                  </w:pPr>
                </w:p>
              </w:tc>
              <w:tc>
                <w:tcPr>
                  <w:tcW w:w="803" w:type="pct"/>
                  <w:tcBorders>
                    <w:tl2br w:val="nil"/>
                    <w:tr2bl w:val="nil"/>
                  </w:tcBorders>
                  <w:vAlign w:val="center"/>
                </w:tcPr>
                <w:p w14:paraId="638D548D">
                  <w:pPr>
                    <w:pStyle w:val="55"/>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cs="Times New Roman"/>
                      <w:color w:val="auto"/>
                      <w:lang w:val="en-US" w:eastAsia="zh-CN"/>
                    </w:rPr>
                  </w:pPr>
                  <w:r>
                    <w:rPr>
                      <w:rFonts w:hint="eastAsia" w:cs="Times New Roman"/>
                      <w:color w:val="auto"/>
                      <w:lang w:val="en-US" w:eastAsia="zh-CN"/>
                    </w:rPr>
                    <w:t>寄养室</w:t>
                  </w:r>
                </w:p>
              </w:tc>
              <w:tc>
                <w:tcPr>
                  <w:tcW w:w="3052" w:type="pct"/>
                  <w:tcBorders>
                    <w:tl2br w:val="nil"/>
                    <w:tr2bl w:val="nil"/>
                  </w:tcBorders>
                  <w:shd w:val="clear" w:color="auto" w:fill="auto"/>
                  <w:vAlign w:val="center"/>
                </w:tcPr>
                <w:p w14:paraId="4F15BF1F">
                  <w:pPr>
                    <w:pStyle w:val="55"/>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both"/>
                    <w:textAlignment w:val="auto"/>
                    <w:rPr>
                      <w:rFonts w:hint="eastAsia" w:cs="Times New Roman"/>
                      <w:color w:val="auto"/>
                      <w:highlight w:val="none"/>
                      <w:lang w:val="en-US" w:eastAsia="zh-CN"/>
                    </w:rPr>
                  </w:pPr>
                  <w:r>
                    <w:rPr>
                      <w:rFonts w:hint="eastAsia" w:cs="Times New Roman"/>
                      <w:color w:val="auto"/>
                      <w:highlight w:val="none"/>
                      <w:lang w:val="en-US" w:eastAsia="zh-CN"/>
                    </w:rPr>
                    <w:t>位于医院东侧中部，建筑面积为6m</w:t>
                  </w:r>
                  <w:r>
                    <w:rPr>
                      <w:rFonts w:hint="eastAsia" w:cs="Times New Roman"/>
                      <w:color w:val="auto"/>
                      <w:highlight w:val="none"/>
                      <w:vertAlign w:val="superscript"/>
                      <w:lang w:val="en-US" w:eastAsia="zh-CN"/>
                    </w:rPr>
                    <w:t>2</w:t>
                  </w:r>
                  <w:r>
                    <w:rPr>
                      <w:rFonts w:hint="eastAsia" w:cs="Times New Roman"/>
                      <w:color w:val="auto"/>
                      <w:highlight w:val="none"/>
                      <w:vertAlign w:val="baseline"/>
                      <w:lang w:val="en-US" w:eastAsia="zh-CN"/>
                    </w:rPr>
                    <w:t>，用于猫犬寄养，</w:t>
                  </w:r>
                  <w:r>
                    <w:rPr>
                      <w:rFonts w:hint="eastAsia" w:cs="Times New Roman"/>
                      <w:color w:val="auto"/>
                      <w:highlight w:val="none"/>
                      <w:lang w:val="en-US" w:eastAsia="zh-CN"/>
                    </w:rPr>
                    <w:t>设4个笼子。</w:t>
                  </w:r>
                </w:p>
              </w:tc>
              <w:tc>
                <w:tcPr>
                  <w:tcW w:w="638" w:type="pct"/>
                  <w:tcBorders>
                    <w:tl2br w:val="nil"/>
                    <w:tr2bl w:val="nil"/>
                  </w:tcBorders>
                  <w:vAlign w:val="center"/>
                </w:tcPr>
                <w:p w14:paraId="330DFB2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已建</w:t>
                  </w:r>
                </w:p>
              </w:tc>
            </w:tr>
            <w:tr w14:paraId="56795B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6" w:type="pct"/>
                  <w:vMerge w:val="continue"/>
                  <w:tcBorders>
                    <w:tl2br w:val="nil"/>
                    <w:tr2bl w:val="nil"/>
                  </w:tcBorders>
                  <w:vAlign w:val="center"/>
                </w:tcPr>
                <w:p w14:paraId="175476D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FF0000"/>
                      <w:sz w:val="21"/>
                      <w:szCs w:val="21"/>
                      <w:highlight w:val="none"/>
                      <w:vertAlign w:val="baseline"/>
                      <w:lang w:val="en-US" w:eastAsia="zh-CN"/>
                    </w:rPr>
                  </w:pPr>
                </w:p>
              </w:tc>
              <w:tc>
                <w:tcPr>
                  <w:tcW w:w="803" w:type="pct"/>
                  <w:tcBorders>
                    <w:tl2br w:val="nil"/>
                    <w:tr2bl w:val="nil"/>
                  </w:tcBorders>
                  <w:vAlign w:val="center"/>
                </w:tcPr>
                <w:p w14:paraId="2431336C">
                  <w:pPr>
                    <w:pStyle w:val="55"/>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cs="Times New Roman"/>
                      <w:color w:val="auto"/>
                      <w:lang w:val="en-US" w:eastAsia="zh-CN"/>
                    </w:rPr>
                  </w:pPr>
                  <w:r>
                    <w:rPr>
                      <w:rFonts w:hint="eastAsia" w:cs="Times New Roman"/>
                      <w:color w:val="auto"/>
                      <w:lang w:val="en-US" w:eastAsia="zh-CN"/>
                    </w:rPr>
                    <w:t>中央处置区</w:t>
                  </w:r>
                </w:p>
              </w:tc>
              <w:tc>
                <w:tcPr>
                  <w:tcW w:w="3052" w:type="pct"/>
                  <w:tcBorders>
                    <w:tl2br w:val="nil"/>
                    <w:tr2bl w:val="nil"/>
                  </w:tcBorders>
                  <w:shd w:val="clear" w:color="auto" w:fill="auto"/>
                  <w:vAlign w:val="center"/>
                </w:tcPr>
                <w:p w14:paraId="5A37315A">
                  <w:pPr>
                    <w:pStyle w:val="55"/>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both"/>
                    <w:textAlignment w:val="auto"/>
                    <w:rPr>
                      <w:rFonts w:hint="eastAsia" w:cs="Times New Roman"/>
                      <w:color w:val="auto"/>
                      <w:highlight w:val="none"/>
                      <w:lang w:val="en-US" w:eastAsia="zh-CN"/>
                    </w:rPr>
                  </w:pPr>
                  <w:r>
                    <w:rPr>
                      <w:rFonts w:hint="eastAsia" w:cs="Times New Roman"/>
                      <w:color w:val="auto"/>
                      <w:highlight w:val="none"/>
                      <w:lang w:val="en-US" w:eastAsia="zh-CN"/>
                    </w:rPr>
                    <w:t>位于医院中部，化验室北侧，建筑面积为2m</w:t>
                  </w:r>
                  <w:r>
                    <w:rPr>
                      <w:rFonts w:hint="eastAsia" w:cs="Times New Roman"/>
                      <w:color w:val="auto"/>
                      <w:highlight w:val="none"/>
                      <w:vertAlign w:val="superscript"/>
                      <w:lang w:val="en-US" w:eastAsia="zh-CN"/>
                    </w:rPr>
                    <w:t>2</w:t>
                  </w:r>
                  <w:r>
                    <w:rPr>
                      <w:rFonts w:hint="eastAsia" w:cs="Times New Roman"/>
                      <w:color w:val="auto"/>
                      <w:highlight w:val="none"/>
                      <w:lang w:val="en-US" w:eastAsia="zh-CN"/>
                    </w:rPr>
                    <w:t>，设置操作台（含1#水槽），用于外伤处理和化验室器材清洗、宠物笼清洗等</w:t>
                  </w:r>
                </w:p>
              </w:tc>
              <w:tc>
                <w:tcPr>
                  <w:tcW w:w="638" w:type="pct"/>
                  <w:tcBorders>
                    <w:tl2br w:val="nil"/>
                    <w:tr2bl w:val="nil"/>
                  </w:tcBorders>
                  <w:vAlign w:val="center"/>
                </w:tcPr>
                <w:p w14:paraId="22A6C8E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已建</w:t>
                  </w:r>
                </w:p>
              </w:tc>
            </w:tr>
            <w:tr w14:paraId="2FCC81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6" w:type="pct"/>
                  <w:vMerge w:val="continue"/>
                  <w:tcBorders>
                    <w:tl2br w:val="nil"/>
                    <w:tr2bl w:val="nil"/>
                  </w:tcBorders>
                  <w:vAlign w:val="center"/>
                </w:tcPr>
                <w:p w14:paraId="1F6C9AA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FF0000"/>
                      <w:sz w:val="21"/>
                      <w:szCs w:val="21"/>
                      <w:highlight w:val="none"/>
                      <w:vertAlign w:val="baseline"/>
                      <w:lang w:val="en-US" w:eastAsia="zh-CN"/>
                    </w:rPr>
                  </w:pPr>
                </w:p>
              </w:tc>
              <w:tc>
                <w:tcPr>
                  <w:tcW w:w="803" w:type="pct"/>
                  <w:tcBorders>
                    <w:tl2br w:val="nil"/>
                    <w:tr2bl w:val="nil"/>
                  </w:tcBorders>
                  <w:vAlign w:val="center"/>
                </w:tcPr>
                <w:p w14:paraId="3ACF36C8">
                  <w:pPr>
                    <w:pStyle w:val="55"/>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cs="Times New Roman"/>
                      <w:b w:val="0"/>
                      <w:bCs/>
                      <w:color w:val="auto"/>
                      <w:sz w:val="21"/>
                      <w:szCs w:val="21"/>
                      <w:highlight w:val="none"/>
                      <w:vertAlign w:val="baseline"/>
                      <w:lang w:val="en-US" w:eastAsia="zh-CN"/>
                    </w:rPr>
                  </w:pPr>
                  <w:r>
                    <w:rPr>
                      <w:rFonts w:hint="eastAsia" w:cs="Times New Roman"/>
                      <w:color w:val="auto"/>
                      <w:lang w:val="en-US" w:eastAsia="zh-CN"/>
                    </w:rPr>
                    <w:t>美容室</w:t>
                  </w:r>
                </w:p>
              </w:tc>
              <w:tc>
                <w:tcPr>
                  <w:tcW w:w="3052" w:type="pct"/>
                  <w:tcBorders>
                    <w:tl2br w:val="nil"/>
                    <w:tr2bl w:val="nil"/>
                  </w:tcBorders>
                  <w:shd w:val="clear" w:color="auto" w:fill="auto"/>
                  <w:vAlign w:val="center"/>
                </w:tcPr>
                <w:p w14:paraId="2B379168">
                  <w:pPr>
                    <w:pStyle w:val="55"/>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both"/>
                    <w:textAlignment w:val="auto"/>
                    <w:rPr>
                      <w:rFonts w:hint="default" w:cs="Times New Roman"/>
                      <w:b w:val="0"/>
                      <w:bCs/>
                      <w:color w:val="auto"/>
                      <w:sz w:val="21"/>
                      <w:szCs w:val="21"/>
                      <w:highlight w:val="none"/>
                      <w:vertAlign w:val="baseline"/>
                      <w:lang w:val="en-US" w:eastAsia="zh-CN"/>
                    </w:rPr>
                  </w:pPr>
                  <w:r>
                    <w:rPr>
                      <w:rFonts w:hint="eastAsia" w:cs="Times New Roman"/>
                      <w:color w:val="auto"/>
                      <w:highlight w:val="none"/>
                      <w:lang w:val="en-US" w:eastAsia="zh-CN"/>
                    </w:rPr>
                    <w:t>位于医院东北角，建筑面积为6m</w:t>
                  </w:r>
                  <w:r>
                    <w:rPr>
                      <w:rFonts w:hint="eastAsia" w:cs="Times New Roman"/>
                      <w:color w:val="auto"/>
                      <w:highlight w:val="none"/>
                      <w:vertAlign w:val="superscript"/>
                      <w:lang w:val="en-US" w:eastAsia="zh-CN"/>
                    </w:rPr>
                    <w:t>2</w:t>
                  </w:r>
                  <w:r>
                    <w:rPr>
                      <w:rFonts w:hint="eastAsia" w:cs="Times New Roman"/>
                      <w:color w:val="auto"/>
                      <w:highlight w:val="none"/>
                      <w:lang w:val="en-US" w:eastAsia="zh-CN"/>
                    </w:rPr>
                    <w:t>，设置水槽，用于宠物洗澡。</w:t>
                  </w:r>
                </w:p>
              </w:tc>
              <w:tc>
                <w:tcPr>
                  <w:tcW w:w="638" w:type="pct"/>
                  <w:tcBorders>
                    <w:tl2br w:val="nil"/>
                    <w:tr2bl w:val="nil"/>
                  </w:tcBorders>
                  <w:vAlign w:val="center"/>
                </w:tcPr>
                <w:p w14:paraId="3C23B52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已建</w:t>
                  </w:r>
                </w:p>
              </w:tc>
            </w:tr>
            <w:tr w14:paraId="54D9B9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6" w:type="pct"/>
                  <w:vMerge w:val="continue"/>
                  <w:tcBorders>
                    <w:tl2br w:val="nil"/>
                    <w:tr2bl w:val="nil"/>
                  </w:tcBorders>
                  <w:vAlign w:val="center"/>
                </w:tcPr>
                <w:p w14:paraId="4670B8F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FF0000"/>
                      <w:sz w:val="21"/>
                      <w:szCs w:val="21"/>
                      <w:highlight w:val="none"/>
                      <w:vertAlign w:val="baseline"/>
                      <w:lang w:val="en-US" w:eastAsia="zh-CN"/>
                    </w:rPr>
                  </w:pPr>
                </w:p>
              </w:tc>
              <w:tc>
                <w:tcPr>
                  <w:tcW w:w="803" w:type="pct"/>
                  <w:tcBorders>
                    <w:tl2br w:val="nil"/>
                    <w:tr2bl w:val="nil"/>
                  </w:tcBorders>
                  <w:vAlign w:val="center"/>
                </w:tcPr>
                <w:p w14:paraId="055C201F">
                  <w:pPr>
                    <w:pStyle w:val="55"/>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cs="Times New Roman"/>
                      <w:color w:val="auto"/>
                      <w:lang w:val="en-US" w:eastAsia="zh-CN"/>
                    </w:rPr>
                  </w:pPr>
                  <w:r>
                    <w:rPr>
                      <w:rFonts w:hint="eastAsia" w:cs="Times New Roman"/>
                      <w:color w:val="auto"/>
                      <w:lang w:val="en-US" w:eastAsia="zh-CN"/>
                    </w:rPr>
                    <w:t>手术室</w:t>
                  </w:r>
                </w:p>
              </w:tc>
              <w:tc>
                <w:tcPr>
                  <w:tcW w:w="3052" w:type="pct"/>
                  <w:tcBorders>
                    <w:tl2br w:val="nil"/>
                    <w:tr2bl w:val="nil"/>
                  </w:tcBorders>
                  <w:shd w:val="clear" w:color="auto" w:fill="auto"/>
                  <w:vAlign w:val="center"/>
                </w:tcPr>
                <w:p w14:paraId="5DAA9205">
                  <w:pPr>
                    <w:pStyle w:val="55"/>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both"/>
                    <w:textAlignment w:val="auto"/>
                    <w:rPr>
                      <w:rFonts w:hint="eastAsia" w:cs="Times New Roman"/>
                      <w:color w:val="auto"/>
                      <w:highlight w:val="none"/>
                      <w:lang w:val="en-US" w:eastAsia="zh-CN"/>
                    </w:rPr>
                  </w:pPr>
                  <w:r>
                    <w:rPr>
                      <w:rFonts w:hint="eastAsia" w:cs="Times New Roman"/>
                      <w:color w:val="auto"/>
                      <w:highlight w:val="none"/>
                      <w:lang w:val="en-US" w:eastAsia="zh-CN"/>
                    </w:rPr>
                    <w:t>位于医院西北角，DR室北侧，建筑面积为11m</w:t>
                  </w:r>
                  <w:r>
                    <w:rPr>
                      <w:rFonts w:hint="eastAsia" w:cs="Times New Roman"/>
                      <w:color w:val="auto"/>
                      <w:highlight w:val="none"/>
                      <w:vertAlign w:val="superscript"/>
                      <w:lang w:val="en-US" w:eastAsia="zh-CN"/>
                    </w:rPr>
                    <w:t>2</w:t>
                  </w:r>
                  <w:r>
                    <w:rPr>
                      <w:rFonts w:hint="eastAsia" w:cs="Times New Roman"/>
                      <w:color w:val="auto"/>
                      <w:highlight w:val="none"/>
                      <w:lang w:val="en-US" w:eastAsia="zh-CN"/>
                    </w:rPr>
                    <w:t>，</w:t>
                  </w:r>
                  <w:r>
                    <w:rPr>
                      <w:rFonts w:hint="eastAsia" w:cs="Times New Roman"/>
                      <w:color w:val="auto"/>
                      <w:sz w:val="21"/>
                      <w:highlight w:val="none"/>
                      <w:lang w:val="en-US" w:eastAsia="zh-CN"/>
                    </w:rPr>
                    <w:t>新增麻醉机、监护仪等设备，</w:t>
                  </w:r>
                  <w:r>
                    <w:rPr>
                      <w:rFonts w:hint="eastAsia" w:ascii="Times New Roman" w:hAnsi="Times New Roman" w:eastAsia="宋体" w:cs="Times New Roman"/>
                      <w:color w:val="auto"/>
                      <w:sz w:val="21"/>
                      <w:highlight w:val="none"/>
                      <w:lang w:val="en-US" w:eastAsia="zh-CN"/>
                    </w:rPr>
                    <w:t>用于含三腔手术在内的手术。</w:t>
                  </w:r>
                </w:p>
              </w:tc>
              <w:tc>
                <w:tcPr>
                  <w:tcW w:w="638" w:type="pct"/>
                  <w:tcBorders>
                    <w:tl2br w:val="nil"/>
                    <w:tr2bl w:val="nil"/>
                  </w:tcBorders>
                  <w:vAlign w:val="center"/>
                </w:tcPr>
                <w:p w14:paraId="35B527A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已建+新建</w:t>
                  </w:r>
                </w:p>
              </w:tc>
            </w:tr>
            <w:tr w14:paraId="58E665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6" w:type="pct"/>
                  <w:vMerge w:val="continue"/>
                  <w:tcBorders>
                    <w:tl2br w:val="nil"/>
                    <w:tr2bl w:val="nil"/>
                  </w:tcBorders>
                  <w:vAlign w:val="center"/>
                </w:tcPr>
                <w:p w14:paraId="4BD5D22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FF0000"/>
                      <w:sz w:val="21"/>
                      <w:szCs w:val="21"/>
                      <w:highlight w:val="none"/>
                      <w:vertAlign w:val="baseline"/>
                      <w:lang w:val="en-US" w:eastAsia="zh-CN"/>
                    </w:rPr>
                  </w:pPr>
                </w:p>
              </w:tc>
              <w:tc>
                <w:tcPr>
                  <w:tcW w:w="803" w:type="pct"/>
                  <w:tcBorders>
                    <w:tl2br w:val="nil"/>
                    <w:tr2bl w:val="nil"/>
                  </w:tcBorders>
                  <w:vAlign w:val="center"/>
                </w:tcPr>
                <w:p w14:paraId="296D9A64">
                  <w:pPr>
                    <w:pStyle w:val="55"/>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cs="Times New Roman"/>
                      <w:b w:val="0"/>
                      <w:bCs/>
                      <w:color w:val="auto"/>
                      <w:sz w:val="21"/>
                      <w:szCs w:val="21"/>
                      <w:highlight w:val="none"/>
                      <w:vertAlign w:val="baseline"/>
                      <w:lang w:val="en-US" w:eastAsia="zh-CN"/>
                    </w:rPr>
                  </w:pPr>
                  <w:r>
                    <w:rPr>
                      <w:rFonts w:hint="eastAsia" w:cs="Times New Roman"/>
                      <w:color w:val="auto"/>
                      <w:lang w:val="en-US" w:eastAsia="zh-CN"/>
                    </w:rPr>
                    <w:t>DR室</w:t>
                  </w:r>
                </w:p>
              </w:tc>
              <w:tc>
                <w:tcPr>
                  <w:tcW w:w="3052" w:type="pct"/>
                  <w:tcBorders>
                    <w:tl2br w:val="nil"/>
                    <w:tr2bl w:val="nil"/>
                  </w:tcBorders>
                  <w:shd w:val="clear" w:color="auto" w:fill="auto"/>
                  <w:vAlign w:val="center"/>
                </w:tcPr>
                <w:p w14:paraId="0A081A4F">
                  <w:pPr>
                    <w:pStyle w:val="55"/>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both"/>
                    <w:textAlignment w:val="auto"/>
                    <w:rPr>
                      <w:rFonts w:hint="eastAsia" w:cs="Times New Roman"/>
                      <w:b w:val="0"/>
                      <w:bCs/>
                      <w:color w:val="auto"/>
                      <w:sz w:val="21"/>
                      <w:szCs w:val="21"/>
                      <w:highlight w:val="none"/>
                      <w:vertAlign w:val="baseline"/>
                      <w:lang w:val="en-US" w:eastAsia="zh-CN"/>
                    </w:rPr>
                  </w:pPr>
                  <w:r>
                    <w:rPr>
                      <w:rFonts w:hint="eastAsia" w:cs="Times New Roman"/>
                      <w:color w:val="auto"/>
                      <w:highlight w:val="none"/>
                      <w:lang w:val="en-US" w:eastAsia="zh-CN"/>
                    </w:rPr>
                    <w:t>位于医院西侧中部，猫住院室北侧，</w:t>
                  </w:r>
                  <w:r>
                    <w:rPr>
                      <w:rFonts w:hint="eastAsia" w:ascii="Times New Roman" w:hAnsi="Times New Roman" w:eastAsia="宋体" w:cs="Times New Roman"/>
                      <w:color w:val="auto"/>
                      <w:highlight w:val="none"/>
                      <w:lang w:val="en-US" w:eastAsia="zh-CN"/>
                    </w:rPr>
                    <w:t>建筑面积</w:t>
                  </w:r>
                  <w:r>
                    <w:rPr>
                      <w:rFonts w:hint="eastAsia" w:cs="Times New Roman"/>
                      <w:color w:val="auto"/>
                      <w:highlight w:val="none"/>
                      <w:lang w:val="en-US" w:eastAsia="zh-CN"/>
                    </w:rPr>
                    <w:t>为4</w:t>
                  </w:r>
                  <w:r>
                    <w:rPr>
                      <w:rFonts w:hint="default" w:ascii="Times New Roman" w:hAnsi="Times New Roman" w:eastAsia="宋体" w:cs="Times New Roman"/>
                      <w:color w:val="auto"/>
                      <w:highlight w:val="none"/>
                      <w:lang w:val="en-US" w:eastAsia="zh-CN"/>
                    </w:rPr>
                    <w:t>m</w:t>
                  </w:r>
                  <w:r>
                    <w:rPr>
                      <w:rFonts w:hint="default" w:ascii="Times New Roman" w:hAnsi="Times New Roman" w:eastAsia="宋体" w:cs="Times New Roman"/>
                      <w:color w:val="auto"/>
                      <w:highlight w:val="none"/>
                      <w:vertAlign w:val="superscript"/>
                      <w:lang w:val="en-US" w:eastAsia="zh-CN"/>
                    </w:rPr>
                    <w:t>2</w:t>
                  </w:r>
                  <w:r>
                    <w:rPr>
                      <w:rFonts w:hint="eastAsia" w:cs="Times New Roman"/>
                      <w:color w:val="auto"/>
                      <w:highlight w:val="none"/>
                      <w:vertAlign w:val="baseline"/>
                      <w:lang w:val="en-US" w:eastAsia="zh-CN"/>
                    </w:rPr>
                    <w:t>，用于DR检查和超声检查。</w:t>
                  </w:r>
                </w:p>
              </w:tc>
              <w:tc>
                <w:tcPr>
                  <w:tcW w:w="638" w:type="pct"/>
                  <w:tcBorders>
                    <w:tl2br w:val="nil"/>
                    <w:tr2bl w:val="nil"/>
                  </w:tcBorders>
                  <w:vAlign w:val="center"/>
                </w:tcPr>
                <w:p w14:paraId="04F945E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s="Times New Roman"/>
                      <w:b w:val="0"/>
                      <w:bCs/>
                      <w:color w:val="auto"/>
                      <w:sz w:val="21"/>
                      <w:szCs w:val="21"/>
                      <w:highlight w:val="none"/>
                      <w:vertAlign w:val="baseline"/>
                      <w:lang w:val="en-US" w:eastAsia="zh-CN"/>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已建</w:t>
                  </w:r>
                </w:p>
              </w:tc>
            </w:tr>
            <w:tr w14:paraId="41969D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6" w:type="pct"/>
                  <w:vMerge w:val="restart"/>
                  <w:tcBorders>
                    <w:tl2br w:val="nil"/>
                    <w:tr2bl w:val="nil"/>
                  </w:tcBorders>
                  <w:vAlign w:val="center"/>
                </w:tcPr>
                <w:p w14:paraId="4C87237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辅助工程</w:t>
                  </w:r>
                </w:p>
              </w:tc>
              <w:tc>
                <w:tcPr>
                  <w:tcW w:w="803" w:type="pct"/>
                  <w:tcBorders>
                    <w:tl2br w:val="nil"/>
                    <w:tr2bl w:val="nil"/>
                  </w:tcBorders>
                  <w:vAlign w:val="center"/>
                </w:tcPr>
                <w:p w14:paraId="2EA171EE">
                  <w:pPr>
                    <w:pStyle w:val="55"/>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eastAsia" w:cs="Times New Roman"/>
                      <w:color w:val="auto"/>
                      <w:lang w:val="en-US" w:eastAsia="zh-CN"/>
                    </w:rPr>
                    <w:t>药房</w:t>
                  </w:r>
                </w:p>
              </w:tc>
              <w:tc>
                <w:tcPr>
                  <w:tcW w:w="3052" w:type="pct"/>
                  <w:tcBorders>
                    <w:tl2br w:val="nil"/>
                    <w:tr2bl w:val="nil"/>
                  </w:tcBorders>
                  <w:vAlign w:val="center"/>
                </w:tcPr>
                <w:p w14:paraId="33BE4A29">
                  <w:pPr>
                    <w:pStyle w:val="55"/>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both"/>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eastAsia" w:cs="Times New Roman"/>
                      <w:color w:val="auto"/>
                      <w:highlight w:val="none"/>
                      <w:lang w:val="en-US" w:eastAsia="zh-CN"/>
                    </w:rPr>
                    <w:t>位于医院西南角，建筑面积为5m</w:t>
                  </w:r>
                  <w:r>
                    <w:rPr>
                      <w:rFonts w:hint="eastAsia" w:cs="Times New Roman"/>
                      <w:color w:val="auto"/>
                      <w:highlight w:val="none"/>
                      <w:vertAlign w:val="superscript"/>
                      <w:lang w:val="en-US" w:eastAsia="zh-CN"/>
                    </w:rPr>
                    <w:t>2</w:t>
                  </w:r>
                  <w:r>
                    <w:rPr>
                      <w:rFonts w:hint="eastAsia" w:cs="Times New Roman"/>
                      <w:color w:val="auto"/>
                      <w:highlight w:val="none"/>
                      <w:lang w:val="en-US" w:eastAsia="zh-CN"/>
                    </w:rPr>
                    <w:t>，用于</w:t>
                  </w:r>
                  <w:r>
                    <w:rPr>
                      <w:rFonts w:hint="eastAsia" w:ascii="Times New Roman" w:hAnsi="Times New Roman" w:eastAsia="宋体" w:cs="Times New Roman"/>
                      <w:highlight w:val="none"/>
                      <w:lang w:val="en-US" w:eastAsia="zh-CN"/>
                    </w:rPr>
                    <w:t>药品医疗</w:t>
                  </w:r>
                  <w:r>
                    <w:rPr>
                      <w:rFonts w:hint="eastAsia" w:cs="Times New Roman"/>
                      <w:highlight w:val="none"/>
                      <w:lang w:val="en-US" w:eastAsia="zh-CN"/>
                    </w:rPr>
                    <w:t>等</w:t>
                  </w:r>
                  <w:r>
                    <w:rPr>
                      <w:rFonts w:hint="eastAsia" w:ascii="Times New Roman" w:hAnsi="Times New Roman" w:eastAsia="宋体" w:cs="Times New Roman"/>
                      <w:highlight w:val="none"/>
                      <w:lang w:val="en-US" w:eastAsia="zh-CN"/>
                    </w:rPr>
                    <w:t>耗材的暂存。</w:t>
                  </w:r>
                </w:p>
              </w:tc>
              <w:tc>
                <w:tcPr>
                  <w:tcW w:w="638" w:type="pct"/>
                  <w:tcBorders>
                    <w:tl2br w:val="nil"/>
                    <w:tr2bl w:val="nil"/>
                  </w:tcBorders>
                  <w:vAlign w:val="center"/>
                </w:tcPr>
                <w:p w14:paraId="16BC512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已建</w:t>
                  </w:r>
                </w:p>
              </w:tc>
            </w:tr>
            <w:tr w14:paraId="2E08B9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6" w:type="pct"/>
                  <w:vMerge w:val="continue"/>
                  <w:tcBorders>
                    <w:tl2br w:val="nil"/>
                    <w:tr2bl w:val="nil"/>
                  </w:tcBorders>
                  <w:vAlign w:val="center"/>
                </w:tcPr>
                <w:p w14:paraId="2316FB4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p>
              </w:tc>
              <w:tc>
                <w:tcPr>
                  <w:tcW w:w="803" w:type="pct"/>
                  <w:tcBorders>
                    <w:tl2br w:val="nil"/>
                    <w:tr2bl w:val="nil"/>
                  </w:tcBorders>
                  <w:vAlign w:val="center"/>
                </w:tcPr>
                <w:p w14:paraId="110841D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color w:val="000000" w:themeColor="text1"/>
                      <w:sz w:val="21"/>
                      <w:szCs w:val="21"/>
                      <w:highlight w:val="none"/>
                      <w:vertAlign w:val="baseline"/>
                      <w:lang w:val="en-US" w:eastAsia="zh-CN"/>
                      <w14:textFill>
                        <w14:solidFill>
                          <w14:schemeClr w14:val="tx1"/>
                        </w14:solidFill>
                      </w14:textFill>
                    </w:rPr>
                    <w:t>大厅</w:t>
                  </w:r>
                </w:p>
              </w:tc>
              <w:tc>
                <w:tcPr>
                  <w:tcW w:w="3052" w:type="pct"/>
                  <w:tcBorders>
                    <w:tl2br w:val="nil"/>
                    <w:tr2bl w:val="nil"/>
                  </w:tcBorders>
                  <w:vAlign w:val="center"/>
                </w:tcPr>
                <w:p w14:paraId="14CF0EF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color w:val="000000" w:themeColor="text1"/>
                      <w:sz w:val="21"/>
                      <w:szCs w:val="21"/>
                      <w:highlight w:val="none"/>
                      <w:vertAlign w:val="baseline"/>
                      <w:lang w:val="en-US" w:eastAsia="zh-CN"/>
                      <w14:textFill>
                        <w14:solidFill>
                          <w14:schemeClr w14:val="tx1"/>
                        </w14:solidFill>
                      </w14:textFill>
                    </w:rPr>
                    <w:t>位于医院</w:t>
                  </w:r>
                  <w:r>
                    <w:rPr>
                      <w:rFonts w:hint="eastAsia"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进口</w:t>
                  </w:r>
                  <w:r>
                    <w:rPr>
                      <w:rFonts w:hint="eastAsia" w:cs="Times New Roman"/>
                      <w:b w:val="0"/>
                      <w:bCs/>
                      <w:color w:val="000000" w:themeColor="text1"/>
                      <w:sz w:val="21"/>
                      <w:szCs w:val="21"/>
                      <w:highlight w:val="none"/>
                      <w:vertAlign w:val="baseline"/>
                      <w:lang w:val="en-US" w:eastAsia="zh-CN"/>
                      <w14:textFill>
                        <w14:solidFill>
                          <w14:schemeClr w14:val="tx1"/>
                        </w14:solidFill>
                      </w14:textFill>
                    </w:rPr>
                    <w:t>处，，主要用于接待顾客和员工休息。</w:t>
                  </w: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于</w:t>
                  </w:r>
                  <w:r>
                    <w:rPr>
                      <w:rFonts w:hint="eastAsia" w:cs="Times New Roman"/>
                      <w:b w:val="0"/>
                      <w:bCs/>
                      <w:color w:val="000000" w:themeColor="text1"/>
                      <w:sz w:val="21"/>
                      <w:szCs w:val="21"/>
                      <w:highlight w:val="none"/>
                      <w:vertAlign w:val="baseline"/>
                      <w:lang w:val="en-US" w:eastAsia="zh-CN"/>
                      <w14:textFill>
                        <w14:solidFill>
                          <w14:schemeClr w14:val="tx1"/>
                        </w14:solidFill>
                      </w14:textFill>
                    </w:rPr>
                    <w:t>大厅西</w:t>
                  </w: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侧，用于售卖宠物用品。</w:t>
                  </w:r>
                </w:p>
              </w:tc>
              <w:tc>
                <w:tcPr>
                  <w:tcW w:w="638" w:type="pct"/>
                  <w:tcBorders>
                    <w:tl2br w:val="nil"/>
                    <w:tr2bl w:val="nil"/>
                  </w:tcBorders>
                  <w:vAlign w:val="center"/>
                </w:tcPr>
                <w:p w14:paraId="77CB3AE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已建</w:t>
                  </w:r>
                </w:p>
              </w:tc>
            </w:tr>
            <w:tr w14:paraId="59C4E3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506" w:type="pct"/>
                  <w:vMerge w:val="continue"/>
                  <w:tcBorders>
                    <w:tl2br w:val="nil"/>
                    <w:tr2bl w:val="nil"/>
                  </w:tcBorders>
                  <w:vAlign w:val="center"/>
                </w:tcPr>
                <w:p w14:paraId="6F32F64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FF0000"/>
                      <w:sz w:val="21"/>
                      <w:szCs w:val="21"/>
                      <w:highlight w:val="none"/>
                      <w:vertAlign w:val="baseline"/>
                      <w:lang w:val="en-US" w:eastAsia="zh-CN"/>
                    </w:rPr>
                  </w:pPr>
                </w:p>
              </w:tc>
              <w:tc>
                <w:tcPr>
                  <w:tcW w:w="803" w:type="pct"/>
                  <w:tcBorders>
                    <w:tl2br w:val="nil"/>
                    <w:tr2bl w:val="nil"/>
                  </w:tcBorders>
                  <w:vAlign w:val="center"/>
                </w:tcPr>
                <w:p w14:paraId="7E8B2AE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color w:val="000000" w:themeColor="text1"/>
                      <w:sz w:val="21"/>
                      <w:szCs w:val="21"/>
                      <w:highlight w:val="none"/>
                      <w:vertAlign w:val="baseline"/>
                      <w:lang w:val="en-US" w:eastAsia="zh-CN"/>
                      <w14:textFill>
                        <w14:solidFill>
                          <w14:schemeClr w14:val="tx1"/>
                        </w14:solidFill>
                      </w14:textFill>
                    </w:rPr>
                    <w:t>卫生间</w:t>
                  </w:r>
                </w:p>
              </w:tc>
              <w:tc>
                <w:tcPr>
                  <w:tcW w:w="3052" w:type="pct"/>
                  <w:tcBorders>
                    <w:tl2br w:val="nil"/>
                    <w:tr2bl w:val="nil"/>
                  </w:tcBorders>
                  <w:vAlign w:val="center"/>
                </w:tcPr>
                <w:p w14:paraId="3C58291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设置</w:t>
                  </w:r>
                  <w:r>
                    <w:rPr>
                      <w:rFonts w:hint="eastAsia" w:cs="Times New Roman"/>
                      <w:b w:val="0"/>
                      <w:bCs/>
                      <w:color w:val="000000" w:themeColor="text1"/>
                      <w:sz w:val="21"/>
                      <w:szCs w:val="21"/>
                      <w:highlight w:val="none"/>
                      <w:vertAlign w:val="baseline"/>
                      <w:lang w:val="en-US" w:eastAsia="zh-CN"/>
                      <w14:textFill>
                        <w14:solidFill>
                          <w14:schemeClr w14:val="tx1"/>
                        </w14:solidFill>
                      </w14:textFill>
                    </w:rPr>
                    <w:t>1</w:t>
                  </w: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处卫生间，位于</w:t>
                  </w:r>
                  <w:r>
                    <w:rPr>
                      <w:rFonts w:hint="eastAsia" w:cs="Times New Roman"/>
                      <w:b w:val="0"/>
                      <w:bCs/>
                      <w:color w:val="000000" w:themeColor="text1"/>
                      <w:sz w:val="21"/>
                      <w:szCs w:val="21"/>
                      <w:highlight w:val="none"/>
                      <w:vertAlign w:val="baseline"/>
                      <w:lang w:val="en-US" w:eastAsia="zh-CN"/>
                      <w14:textFill>
                        <w14:solidFill>
                          <w14:schemeClr w14:val="tx1"/>
                        </w14:solidFill>
                      </w14:textFill>
                    </w:rPr>
                    <w:t>医院北侧</w:t>
                  </w: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w:t>
                  </w:r>
                </w:p>
              </w:tc>
              <w:tc>
                <w:tcPr>
                  <w:tcW w:w="638" w:type="pct"/>
                  <w:tcBorders>
                    <w:tl2br w:val="nil"/>
                    <w:tr2bl w:val="nil"/>
                  </w:tcBorders>
                  <w:vAlign w:val="center"/>
                </w:tcPr>
                <w:p w14:paraId="482B8F2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已建</w:t>
                  </w:r>
                </w:p>
              </w:tc>
            </w:tr>
            <w:tr w14:paraId="13B718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6" w:type="pct"/>
                  <w:vMerge w:val="restart"/>
                  <w:tcBorders>
                    <w:tl2br w:val="nil"/>
                    <w:tr2bl w:val="nil"/>
                  </w:tcBorders>
                  <w:vAlign w:val="center"/>
                </w:tcPr>
                <w:p w14:paraId="3420C08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公用工程</w:t>
                  </w:r>
                </w:p>
              </w:tc>
              <w:tc>
                <w:tcPr>
                  <w:tcW w:w="803" w:type="pct"/>
                  <w:tcBorders>
                    <w:tl2br w:val="nil"/>
                    <w:tr2bl w:val="nil"/>
                  </w:tcBorders>
                  <w:vAlign w:val="center"/>
                </w:tcPr>
                <w:p w14:paraId="04A4023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给水</w:t>
                  </w:r>
                </w:p>
              </w:tc>
              <w:tc>
                <w:tcPr>
                  <w:tcW w:w="3052" w:type="pct"/>
                  <w:tcBorders>
                    <w:tl2br w:val="nil"/>
                    <w:tr2bl w:val="nil"/>
                  </w:tcBorders>
                  <w:vAlign w:val="center"/>
                </w:tcPr>
                <w:p w14:paraId="54A0240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依托市政给水管网接入。</w:t>
                  </w:r>
                </w:p>
              </w:tc>
              <w:tc>
                <w:tcPr>
                  <w:tcW w:w="638" w:type="pct"/>
                  <w:tcBorders>
                    <w:tl2br w:val="nil"/>
                    <w:tr2bl w:val="nil"/>
                  </w:tcBorders>
                  <w:vAlign w:val="center"/>
                </w:tcPr>
                <w:p w14:paraId="1EA1098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已建</w:t>
                  </w:r>
                </w:p>
              </w:tc>
            </w:tr>
            <w:tr w14:paraId="58E1A1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6" w:type="pct"/>
                  <w:vMerge w:val="continue"/>
                  <w:tcBorders>
                    <w:tl2br w:val="nil"/>
                    <w:tr2bl w:val="nil"/>
                  </w:tcBorders>
                  <w:vAlign w:val="center"/>
                </w:tcPr>
                <w:p w14:paraId="54F65D7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FF0000"/>
                      <w:sz w:val="21"/>
                      <w:szCs w:val="21"/>
                      <w:highlight w:val="none"/>
                      <w:vertAlign w:val="baseline"/>
                      <w:lang w:val="en-US" w:eastAsia="zh-CN"/>
                    </w:rPr>
                  </w:pPr>
                </w:p>
              </w:tc>
              <w:tc>
                <w:tcPr>
                  <w:tcW w:w="803" w:type="pct"/>
                  <w:tcBorders>
                    <w:tl2br w:val="nil"/>
                    <w:tr2bl w:val="nil"/>
                  </w:tcBorders>
                  <w:vAlign w:val="center"/>
                </w:tcPr>
                <w:p w14:paraId="38B9AA6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排水</w:t>
                  </w:r>
                </w:p>
              </w:tc>
              <w:tc>
                <w:tcPr>
                  <w:tcW w:w="3052" w:type="pct"/>
                  <w:tcBorders>
                    <w:tl2br w:val="nil"/>
                    <w:tr2bl w:val="nil"/>
                  </w:tcBorders>
                  <w:vAlign w:val="center"/>
                </w:tcPr>
                <w:p w14:paraId="1929E02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采用</w:t>
                  </w:r>
                  <w:r>
                    <w:rPr>
                      <w:rFonts w:hint="eastAsia"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污</w:t>
                  </w: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污分流制，医疗废水经</w:t>
                  </w:r>
                  <w:r>
                    <w:rPr>
                      <w:rFonts w:hint="eastAsia"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消毒设施消毒（本项目使用</w:t>
                  </w:r>
                  <w:r>
                    <w:rPr>
                      <w:rFonts w:hint="eastAsia" w:ascii="Times New Roman" w:hAnsi="Times New Roman" w:cs="Times New Roman"/>
                      <w:b w:val="0"/>
                      <w:bCs/>
                      <w:color w:val="auto"/>
                      <w:sz w:val="21"/>
                      <w:szCs w:val="21"/>
                      <w:highlight w:val="none"/>
                      <w:vertAlign w:val="baseline"/>
                      <w:lang w:val="en-US" w:eastAsia="zh-CN"/>
                    </w:rPr>
                    <w:t>二氧化氯</w:t>
                  </w:r>
                  <w:r>
                    <w:rPr>
                      <w:rFonts w:hint="eastAsia"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消毒片</w:t>
                  </w:r>
                  <w:r>
                    <w:rPr>
                      <w:rFonts w:hint="eastAsia" w:cs="Times New Roman"/>
                      <w:b w:val="0"/>
                      <w:bCs/>
                      <w:color w:val="000000" w:themeColor="text1"/>
                      <w:sz w:val="21"/>
                      <w:szCs w:val="21"/>
                      <w:highlight w:val="none"/>
                      <w:vertAlign w:val="baseline"/>
                      <w:lang w:val="en-US" w:eastAsia="zh-CN"/>
                      <w14:textFill>
                        <w14:solidFill>
                          <w14:schemeClr w14:val="tx1"/>
                        </w14:solidFill>
                      </w14:textFill>
                    </w:rPr>
                    <w:t>、</w:t>
                  </w:r>
                  <w:r>
                    <w:rPr>
                      <w:rFonts w:hint="eastAsia" w:ascii="Times New Roman" w:hAnsi="Times New Roman" w:eastAsia="宋体" w:cs="Times New Roman"/>
                      <w:b w:val="0"/>
                      <w:color w:val="auto"/>
                      <w:sz w:val="21"/>
                      <w:lang w:val="en-US" w:eastAsia="zh-CN" w:bidi="ar-SA"/>
                    </w:rPr>
                    <w:t>三氯异氰尿酸消毒片</w:t>
                  </w:r>
                  <w:r>
                    <w:rPr>
                      <w:rFonts w:hint="eastAsia"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对医疗废水进行消毒处理，对消毒设施出口粪大肠菌群、总余氯排放限值作出要求，粪大肠菌群、总余氯参照《医疗机构水污染物排放标准》（GB 18466-2005）表2预处理标准），</w:t>
                  </w: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美容洗浴废水经滤网过滤后与生活污水、</w:t>
                  </w:r>
                  <w:r>
                    <w:rPr>
                      <w:rFonts w:hint="eastAsia"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其他废水</w:t>
                  </w: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一起进入</w:t>
                  </w:r>
                  <w:r>
                    <w:rPr>
                      <w:rFonts w:hint="eastAsia" w:cs="Times New Roman"/>
                      <w:b w:val="0"/>
                      <w:bCs/>
                      <w:color w:val="000000" w:themeColor="text1"/>
                      <w:sz w:val="21"/>
                      <w:szCs w:val="21"/>
                      <w:highlight w:val="none"/>
                      <w:vertAlign w:val="baseline"/>
                      <w:lang w:val="en-US" w:eastAsia="zh-CN"/>
                      <w14:textFill>
                        <w14:solidFill>
                          <w14:schemeClr w14:val="tx1"/>
                        </w14:solidFill>
                      </w14:textFill>
                    </w:rPr>
                    <w:t>弘悦101已建生化池</w:t>
                  </w: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，处理达《污水综合排放标准》（GB8978-1</w:t>
                  </w:r>
                  <w:r>
                    <w:rPr>
                      <w:rFonts w:hint="default" w:ascii="Times New Roman" w:hAnsi="Times New Roman" w:eastAsia="宋体" w:cs="Times New Roman"/>
                      <w:b w:val="0"/>
                      <w:bCs/>
                      <w:color w:val="auto"/>
                      <w:sz w:val="21"/>
                      <w:szCs w:val="21"/>
                      <w:highlight w:val="none"/>
                      <w:vertAlign w:val="baseline"/>
                      <w:lang w:val="en-US" w:eastAsia="zh-CN"/>
                    </w:rPr>
                    <w:t>996）三级标准，汇入市政污水管网进入</w:t>
                  </w:r>
                  <w:r>
                    <w:rPr>
                      <w:rFonts w:hint="eastAsia" w:cs="Times New Roman"/>
                      <w:b w:val="0"/>
                      <w:bCs/>
                      <w:color w:val="auto"/>
                      <w:sz w:val="21"/>
                      <w:szCs w:val="21"/>
                      <w:highlight w:val="none"/>
                      <w:vertAlign w:val="baseline"/>
                      <w:lang w:val="en-US" w:eastAsia="zh-CN"/>
                    </w:rPr>
                    <w:t>彩云湖污水处理厂</w:t>
                  </w:r>
                  <w:r>
                    <w:rPr>
                      <w:rFonts w:hint="default" w:ascii="Times New Roman" w:hAnsi="Times New Roman" w:eastAsia="宋体" w:cs="Times New Roman"/>
                      <w:b w:val="0"/>
                      <w:bCs/>
                      <w:color w:val="auto"/>
                      <w:sz w:val="21"/>
                      <w:szCs w:val="21"/>
                      <w:highlight w:val="none"/>
                      <w:vertAlign w:val="baseline"/>
                      <w:lang w:val="en-US" w:eastAsia="zh-CN"/>
                    </w:rPr>
                    <w:t>进一步处理达</w:t>
                  </w:r>
                  <w:r>
                    <w:rPr>
                      <w:rFonts w:hint="eastAsia" w:cs="Times New Roman"/>
                      <w:b w:val="0"/>
                      <w:bCs/>
                      <w:color w:val="auto"/>
                      <w:sz w:val="21"/>
                      <w:szCs w:val="21"/>
                      <w:highlight w:val="none"/>
                      <w:vertAlign w:val="baseline"/>
                      <w:lang w:val="en-US" w:eastAsia="zh-CN"/>
                    </w:rPr>
                    <w:t>彩云湖污水处理厂出水水质标准</w:t>
                  </w:r>
                  <w:r>
                    <w:rPr>
                      <w:rFonts w:hint="default" w:ascii="Times New Roman" w:hAnsi="Times New Roman" w:eastAsia="宋体" w:cs="Times New Roman"/>
                      <w:b w:val="0"/>
                      <w:bCs/>
                      <w:color w:val="auto"/>
                      <w:sz w:val="21"/>
                      <w:szCs w:val="21"/>
                      <w:highlight w:val="none"/>
                      <w:vertAlign w:val="baseline"/>
                      <w:lang w:val="en-US" w:eastAsia="zh-CN"/>
                    </w:rPr>
                    <w:t>后作为彩云湖湿地公园和桃花溪景观补水</w:t>
                  </w:r>
                  <w:r>
                    <w:rPr>
                      <w:rFonts w:hint="eastAsia" w:cs="Times New Roman"/>
                      <w:b w:val="0"/>
                      <w:bCs/>
                      <w:color w:val="auto"/>
                      <w:sz w:val="21"/>
                      <w:szCs w:val="21"/>
                      <w:highlight w:val="none"/>
                      <w:vertAlign w:val="baseline"/>
                      <w:lang w:val="en-US" w:eastAsia="zh-CN"/>
                    </w:rPr>
                    <w:t>，最终排入长江。</w:t>
                  </w:r>
                </w:p>
              </w:tc>
              <w:tc>
                <w:tcPr>
                  <w:tcW w:w="638" w:type="pct"/>
                  <w:tcBorders>
                    <w:tl2br w:val="nil"/>
                    <w:tr2bl w:val="nil"/>
                  </w:tcBorders>
                  <w:vAlign w:val="center"/>
                </w:tcPr>
                <w:p w14:paraId="7F145FA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已建</w:t>
                  </w:r>
                </w:p>
              </w:tc>
            </w:tr>
            <w:tr w14:paraId="14034C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6" w:type="pct"/>
                  <w:vMerge w:val="continue"/>
                  <w:tcBorders>
                    <w:tl2br w:val="nil"/>
                    <w:tr2bl w:val="nil"/>
                  </w:tcBorders>
                  <w:vAlign w:val="center"/>
                </w:tcPr>
                <w:p w14:paraId="7807906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FF0000"/>
                      <w:sz w:val="21"/>
                      <w:szCs w:val="21"/>
                      <w:highlight w:val="none"/>
                      <w:vertAlign w:val="baseline"/>
                      <w:lang w:val="en-US" w:eastAsia="zh-CN"/>
                    </w:rPr>
                  </w:pPr>
                </w:p>
              </w:tc>
              <w:tc>
                <w:tcPr>
                  <w:tcW w:w="803" w:type="pct"/>
                  <w:tcBorders>
                    <w:tl2br w:val="nil"/>
                    <w:tr2bl w:val="nil"/>
                  </w:tcBorders>
                  <w:vAlign w:val="center"/>
                </w:tcPr>
                <w:p w14:paraId="12EDF55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供电</w:t>
                  </w:r>
                </w:p>
              </w:tc>
              <w:tc>
                <w:tcPr>
                  <w:tcW w:w="3052" w:type="pct"/>
                  <w:tcBorders>
                    <w:tl2br w:val="nil"/>
                    <w:tr2bl w:val="nil"/>
                  </w:tcBorders>
                  <w:vAlign w:val="center"/>
                </w:tcPr>
                <w:p w14:paraId="5A134CF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依托市政供电管网。</w:t>
                  </w:r>
                </w:p>
              </w:tc>
              <w:tc>
                <w:tcPr>
                  <w:tcW w:w="638" w:type="pct"/>
                  <w:tcBorders>
                    <w:tl2br w:val="nil"/>
                    <w:tr2bl w:val="nil"/>
                  </w:tcBorders>
                  <w:vAlign w:val="center"/>
                </w:tcPr>
                <w:p w14:paraId="7B64BA6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已建</w:t>
                  </w:r>
                </w:p>
              </w:tc>
            </w:tr>
            <w:tr w14:paraId="0EDB6C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6" w:type="pct"/>
                  <w:vMerge w:val="continue"/>
                  <w:tcBorders>
                    <w:tl2br w:val="nil"/>
                    <w:tr2bl w:val="nil"/>
                  </w:tcBorders>
                  <w:vAlign w:val="center"/>
                </w:tcPr>
                <w:p w14:paraId="6DAF506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FF0000"/>
                      <w:sz w:val="21"/>
                      <w:szCs w:val="21"/>
                      <w:highlight w:val="none"/>
                      <w:vertAlign w:val="baseline"/>
                      <w:lang w:val="en-US" w:eastAsia="zh-CN"/>
                    </w:rPr>
                  </w:pPr>
                </w:p>
              </w:tc>
              <w:tc>
                <w:tcPr>
                  <w:tcW w:w="803" w:type="pct"/>
                  <w:tcBorders>
                    <w:tl2br w:val="nil"/>
                    <w:tr2bl w:val="nil"/>
                  </w:tcBorders>
                  <w:vAlign w:val="center"/>
                </w:tcPr>
                <w:p w14:paraId="3F7E11F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通风与空调</w:t>
                  </w:r>
                </w:p>
              </w:tc>
              <w:tc>
                <w:tcPr>
                  <w:tcW w:w="3052" w:type="pct"/>
                  <w:tcBorders>
                    <w:tl2br w:val="nil"/>
                    <w:tr2bl w:val="nil"/>
                  </w:tcBorders>
                  <w:vAlign w:val="center"/>
                </w:tcPr>
                <w:p w14:paraId="7081DF8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b w:val="0"/>
                      <w:bCs/>
                      <w:color w:val="auto"/>
                      <w:sz w:val="21"/>
                      <w:szCs w:val="21"/>
                      <w:highlight w:val="none"/>
                      <w:vertAlign w:val="baseline"/>
                      <w:lang w:val="en-US" w:eastAsia="zh-CN"/>
                    </w:rPr>
                  </w:pPr>
                  <w:r>
                    <w:rPr>
                      <w:rFonts w:hint="eastAsia" w:ascii="Times New Roman" w:hAnsi="Times New Roman" w:eastAsia="宋体" w:cs="Times New Roman"/>
                      <w:color w:val="auto"/>
                      <w:highlight w:val="none"/>
                      <w:lang w:val="en-US" w:eastAsia="zh-CN"/>
                    </w:rPr>
                    <w:t>采用自然通风和单体式空调结合的形式进行通风。</w:t>
                  </w:r>
                </w:p>
              </w:tc>
              <w:tc>
                <w:tcPr>
                  <w:tcW w:w="638" w:type="pct"/>
                  <w:tcBorders>
                    <w:tl2br w:val="nil"/>
                    <w:tr2bl w:val="nil"/>
                  </w:tcBorders>
                  <w:vAlign w:val="center"/>
                </w:tcPr>
                <w:p w14:paraId="30765AD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已建</w:t>
                  </w:r>
                </w:p>
              </w:tc>
            </w:tr>
            <w:tr w14:paraId="637610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6" w:type="pct"/>
                  <w:vMerge w:val="continue"/>
                  <w:tcBorders>
                    <w:tl2br w:val="nil"/>
                    <w:tr2bl w:val="nil"/>
                  </w:tcBorders>
                  <w:vAlign w:val="center"/>
                </w:tcPr>
                <w:p w14:paraId="158289B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FF0000"/>
                      <w:sz w:val="21"/>
                      <w:szCs w:val="21"/>
                      <w:highlight w:val="none"/>
                      <w:vertAlign w:val="baseline"/>
                      <w:lang w:val="en-US" w:eastAsia="zh-CN"/>
                    </w:rPr>
                  </w:pPr>
                </w:p>
              </w:tc>
              <w:tc>
                <w:tcPr>
                  <w:tcW w:w="803" w:type="pct"/>
                  <w:tcBorders>
                    <w:tl2br w:val="nil"/>
                    <w:tr2bl w:val="nil"/>
                  </w:tcBorders>
                  <w:vAlign w:val="center"/>
                </w:tcPr>
                <w:p w14:paraId="3399B80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消毒系统</w:t>
                  </w:r>
                </w:p>
              </w:tc>
              <w:tc>
                <w:tcPr>
                  <w:tcW w:w="3052" w:type="pct"/>
                  <w:tcBorders>
                    <w:tl2br w:val="nil"/>
                    <w:tr2bl w:val="nil"/>
                  </w:tcBorders>
                  <w:vAlign w:val="center"/>
                </w:tcPr>
                <w:p w14:paraId="65424D9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b w:val="0"/>
                      <w:bCs/>
                      <w:color w:val="auto"/>
                      <w:sz w:val="21"/>
                      <w:szCs w:val="21"/>
                      <w:highlight w:val="none"/>
                      <w:vertAlign w:val="baseline"/>
                      <w:lang w:val="en-US" w:eastAsia="zh-CN"/>
                    </w:rPr>
                  </w:pPr>
                  <w:r>
                    <w:rPr>
                      <w:rFonts w:hint="eastAsia" w:ascii="Times New Roman" w:hAnsi="Times New Roman" w:eastAsia="宋体" w:cs="Times New Roman"/>
                      <w:color w:val="auto"/>
                      <w:highlight w:val="none"/>
                      <w:lang w:val="en-US" w:eastAsia="zh-CN"/>
                    </w:rPr>
                    <w:t>手术器械、玻璃器皿等采用高压灭菌锅消毒，</w:t>
                  </w:r>
                  <w:r>
                    <w:rPr>
                      <w:rFonts w:hint="eastAsia" w:cs="Times New Roman"/>
                      <w:color w:val="auto"/>
                      <w:highlight w:val="none"/>
                      <w:lang w:val="en-US" w:eastAsia="zh-CN"/>
                    </w:rPr>
                    <w:t>病房通过</w:t>
                  </w:r>
                  <w:r>
                    <w:rPr>
                      <w:rFonts w:hint="eastAsia" w:ascii="Times New Roman" w:hAnsi="Times New Roman" w:eastAsia="宋体" w:cs="Times New Roman"/>
                      <w:color w:val="auto"/>
                      <w:highlight w:val="none"/>
                      <w:lang w:val="en-US" w:eastAsia="zh-CN"/>
                    </w:rPr>
                    <w:t>紫外线灯</w:t>
                  </w:r>
                  <w:r>
                    <w:rPr>
                      <w:rFonts w:hint="eastAsia" w:cs="Times New Roman"/>
                      <w:color w:val="auto"/>
                      <w:highlight w:val="none"/>
                      <w:lang w:val="en-US" w:eastAsia="zh-CN"/>
                    </w:rPr>
                    <w:t>进行消毒杀菌，医院整体采用</w:t>
                  </w:r>
                  <w:r>
                    <w:rPr>
                      <w:rFonts w:hint="eastAsia" w:ascii="Times New Roman" w:hAnsi="Times New Roman" w:eastAsia="宋体" w:cs="Times New Roman"/>
                      <w:color w:val="auto"/>
                      <w:highlight w:val="none"/>
                      <w:lang w:val="en-US" w:eastAsia="zh-CN"/>
                    </w:rPr>
                    <w:t>84消毒液喷洒消毒，手术室台面、地面等采用84消毒液喷洒消毒，</w:t>
                  </w:r>
                  <w:r>
                    <w:rPr>
                      <w:rFonts w:hint="eastAsia" w:cs="Times New Roman"/>
                      <w:color w:val="auto"/>
                      <w:highlight w:val="none"/>
                      <w:lang w:val="en-US" w:eastAsia="zh-CN"/>
                    </w:rPr>
                    <w:t>宠物粪污</w:t>
                  </w:r>
                  <w:r>
                    <w:rPr>
                      <w:rFonts w:hint="eastAsia" w:ascii="Times New Roman" w:hAnsi="Times New Roman" w:eastAsia="宋体" w:cs="Times New Roman"/>
                      <w:color w:val="auto"/>
                      <w:highlight w:val="none"/>
                      <w:lang w:val="en-US" w:eastAsia="zh-CN"/>
                    </w:rPr>
                    <w:t>采用</w:t>
                  </w:r>
                  <w:r>
                    <w:rPr>
                      <w:rFonts w:hint="eastAsia" w:ascii="Times New Roman" w:hAnsi="Times New Roman" w:eastAsia="宋体" w:cs="Times New Roman"/>
                      <w:snapToGrid w:val="0"/>
                      <w:color w:val="auto"/>
                      <w:kern w:val="2"/>
                      <w:sz w:val="21"/>
                      <w:szCs w:val="21"/>
                      <w:lang w:val="en-US" w:eastAsia="zh-CN" w:bidi="ar-SA"/>
                    </w:rPr>
                    <w:t>84消毒液喷洒消毒</w:t>
                  </w:r>
                  <w:r>
                    <w:rPr>
                      <w:rFonts w:hint="eastAsia" w:cs="Times New Roman"/>
                      <w:b w:val="0"/>
                      <w:bCs/>
                      <w:color w:val="auto"/>
                      <w:sz w:val="21"/>
                      <w:szCs w:val="21"/>
                      <w:highlight w:val="none"/>
                      <w:vertAlign w:val="baseline"/>
                      <w:lang w:val="en-US" w:eastAsia="zh-CN"/>
                    </w:rPr>
                    <w:t>；</w:t>
                  </w:r>
                  <w:r>
                    <w:rPr>
                      <w:rFonts w:hint="default" w:ascii="Times New Roman" w:hAnsi="Times New Roman" w:cs="Times New Roman"/>
                      <w:b w:val="0"/>
                      <w:bCs/>
                      <w:color w:val="auto"/>
                      <w:sz w:val="21"/>
                      <w:szCs w:val="21"/>
                      <w:highlight w:val="none"/>
                      <w:vertAlign w:val="baseline"/>
                      <w:lang w:val="en-US" w:eastAsia="zh-CN"/>
                    </w:rPr>
                    <w:t>医疗废水通过投加</w:t>
                  </w:r>
                  <w:r>
                    <w:rPr>
                      <w:rFonts w:hint="eastAsia" w:ascii="Times New Roman" w:hAnsi="Times New Roman" w:cs="Times New Roman"/>
                      <w:b w:val="0"/>
                      <w:bCs/>
                      <w:color w:val="auto"/>
                      <w:sz w:val="21"/>
                      <w:szCs w:val="21"/>
                      <w:highlight w:val="none"/>
                      <w:vertAlign w:val="baseline"/>
                      <w:lang w:val="en-US" w:eastAsia="zh-CN"/>
                    </w:rPr>
                    <w:t>二氧化氯</w:t>
                  </w:r>
                  <w:r>
                    <w:rPr>
                      <w:rFonts w:hint="default" w:ascii="Times New Roman" w:hAnsi="Times New Roman" w:cs="Times New Roman"/>
                      <w:b w:val="0"/>
                      <w:bCs/>
                      <w:color w:val="auto"/>
                      <w:sz w:val="21"/>
                      <w:szCs w:val="21"/>
                      <w:highlight w:val="none"/>
                      <w:vertAlign w:val="baseline"/>
                      <w:lang w:val="en-US" w:eastAsia="zh-CN"/>
                    </w:rPr>
                    <w:t>消毒片</w:t>
                  </w:r>
                  <w:r>
                    <w:rPr>
                      <w:rFonts w:hint="eastAsia" w:cs="Times New Roman"/>
                      <w:b w:val="0"/>
                      <w:bCs/>
                      <w:color w:val="auto"/>
                      <w:sz w:val="21"/>
                      <w:szCs w:val="21"/>
                      <w:highlight w:val="none"/>
                      <w:vertAlign w:val="baseline"/>
                      <w:lang w:val="en-US" w:eastAsia="zh-CN"/>
                    </w:rPr>
                    <w:t>、</w:t>
                  </w:r>
                  <w:r>
                    <w:rPr>
                      <w:rFonts w:hint="eastAsia" w:ascii="Times New Roman" w:hAnsi="Times New Roman" w:eastAsia="宋体" w:cs="Times New Roman"/>
                      <w:b w:val="0"/>
                      <w:color w:val="auto"/>
                      <w:sz w:val="21"/>
                      <w:lang w:val="en-US" w:eastAsia="zh-CN" w:bidi="ar-SA"/>
                    </w:rPr>
                    <w:t>三氯异氰尿酸消毒片</w:t>
                  </w:r>
                  <w:r>
                    <w:rPr>
                      <w:rFonts w:hint="default" w:ascii="Times New Roman" w:hAnsi="Times New Roman" w:cs="Times New Roman"/>
                      <w:b w:val="0"/>
                      <w:bCs/>
                      <w:color w:val="auto"/>
                      <w:sz w:val="21"/>
                      <w:szCs w:val="21"/>
                      <w:highlight w:val="none"/>
                      <w:vertAlign w:val="baseline"/>
                      <w:lang w:val="en-US" w:eastAsia="zh-CN"/>
                    </w:rPr>
                    <w:t>消毒。</w:t>
                  </w:r>
                </w:p>
              </w:tc>
              <w:tc>
                <w:tcPr>
                  <w:tcW w:w="638" w:type="pct"/>
                  <w:tcBorders>
                    <w:tl2br w:val="nil"/>
                    <w:tr2bl w:val="nil"/>
                  </w:tcBorders>
                  <w:vAlign w:val="center"/>
                </w:tcPr>
                <w:p w14:paraId="41D3EC4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已建</w:t>
                  </w:r>
                </w:p>
              </w:tc>
            </w:tr>
            <w:tr w14:paraId="104E40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6" w:type="pct"/>
                  <w:vMerge w:val="restart"/>
                  <w:tcBorders>
                    <w:tl2br w:val="nil"/>
                    <w:tr2bl w:val="nil"/>
                  </w:tcBorders>
                  <w:vAlign w:val="center"/>
                </w:tcPr>
                <w:p w14:paraId="63C5BFB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环保工程</w:t>
                  </w:r>
                </w:p>
              </w:tc>
              <w:tc>
                <w:tcPr>
                  <w:tcW w:w="803" w:type="pct"/>
                  <w:tcBorders>
                    <w:tl2br w:val="nil"/>
                    <w:tr2bl w:val="nil"/>
                  </w:tcBorders>
                  <w:vAlign w:val="center"/>
                </w:tcPr>
                <w:p w14:paraId="7E2DF58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异味</w:t>
                  </w:r>
                </w:p>
              </w:tc>
              <w:tc>
                <w:tcPr>
                  <w:tcW w:w="3052" w:type="pct"/>
                  <w:tcBorders>
                    <w:tl2br w:val="nil"/>
                    <w:tr2bl w:val="nil"/>
                  </w:tcBorders>
                  <w:vAlign w:val="center"/>
                </w:tcPr>
                <w:p w14:paraId="69CBA8C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采用自然通风和空调系统结合的形式进行通风</w:t>
                  </w:r>
                  <w:r>
                    <w:rPr>
                      <w:rFonts w:hint="eastAsia" w:cs="Times New Roman"/>
                      <w:b w:val="0"/>
                      <w:bCs/>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病房设有紫外线灯管消毒杀菌</w:t>
                  </w:r>
                  <w:r>
                    <w:rPr>
                      <w:rFonts w:hint="eastAsia" w:cs="Times New Roman"/>
                      <w:b w:val="0"/>
                      <w:bCs/>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每天使用84消毒液对医院进行消毒。</w:t>
                  </w:r>
                </w:p>
              </w:tc>
              <w:tc>
                <w:tcPr>
                  <w:tcW w:w="638" w:type="pct"/>
                  <w:tcBorders>
                    <w:tl2br w:val="nil"/>
                    <w:tr2bl w:val="nil"/>
                  </w:tcBorders>
                  <w:vAlign w:val="center"/>
                </w:tcPr>
                <w:p w14:paraId="2E86311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已建</w:t>
                  </w:r>
                </w:p>
              </w:tc>
            </w:tr>
            <w:tr w14:paraId="077ECA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6" w:type="pct"/>
                  <w:vMerge w:val="continue"/>
                  <w:tcBorders>
                    <w:tl2br w:val="nil"/>
                    <w:tr2bl w:val="nil"/>
                  </w:tcBorders>
                  <w:vAlign w:val="center"/>
                </w:tcPr>
                <w:p w14:paraId="5676089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p>
              </w:tc>
              <w:tc>
                <w:tcPr>
                  <w:tcW w:w="803" w:type="pct"/>
                  <w:tcBorders>
                    <w:tl2br w:val="nil"/>
                    <w:tr2bl w:val="nil"/>
                  </w:tcBorders>
                  <w:vAlign w:val="center"/>
                </w:tcPr>
                <w:p w14:paraId="6359F6E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FF0000"/>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废水</w:t>
                  </w:r>
                </w:p>
              </w:tc>
              <w:tc>
                <w:tcPr>
                  <w:tcW w:w="3052" w:type="pct"/>
                  <w:tcBorders>
                    <w:tl2br w:val="nil"/>
                    <w:tr2bl w:val="nil"/>
                  </w:tcBorders>
                  <w:vAlign w:val="center"/>
                </w:tcPr>
                <w:p w14:paraId="3022CEF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项目设置</w:t>
                  </w:r>
                  <w:r>
                    <w:rPr>
                      <w:rFonts w:hint="eastAsia" w:cs="Times New Roman"/>
                      <w:b w:val="0"/>
                      <w:bCs/>
                      <w:color w:val="auto"/>
                      <w:sz w:val="21"/>
                      <w:szCs w:val="21"/>
                      <w:highlight w:val="none"/>
                      <w:vertAlign w:val="baseline"/>
                      <w:lang w:val="en-US" w:eastAsia="zh-CN"/>
                    </w:rPr>
                    <w:t>有2</w:t>
                  </w:r>
                  <w:r>
                    <w:rPr>
                      <w:rFonts w:hint="default" w:ascii="Times New Roman" w:hAnsi="Times New Roman" w:cs="Times New Roman"/>
                      <w:b w:val="0"/>
                      <w:bCs/>
                      <w:color w:val="auto"/>
                      <w:sz w:val="21"/>
                      <w:szCs w:val="21"/>
                      <w:highlight w:val="none"/>
                      <w:vertAlign w:val="baseline"/>
                      <w:lang w:val="en-US" w:eastAsia="zh-CN"/>
                    </w:rPr>
                    <w:t>台</w:t>
                  </w:r>
                  <w:r>
                    <w:rPr>
                      <w:rFonts w:hint="eastAsia" w:cs="Times New Roman"/>
                      <w:b w:val="0"/>
                      <w:bCs/>
                      <w:color w:val="auto"/>
                      <w:sz w:val="21"/>
                      <w:szCs w:val="21"/>
                      <w:highlight w:val="none"/>
                      <w:vertAlign w:val="baseline"/>
                      <w:lang w:val="en-US" w:eastAsia="zh-CN"/>
                    </w:rPr>
                    <w:t>消毒箱，分别位于中央处置台下方、手术室洗手台下方，</w:t>
                  </w:r>
                  <w:r>
                    <w:rPr>
                      <w:rFonts w:hint="default" w:ascii="Times New Roman" w:hAnsi="Times New Roman" w:cs="Times New Roman"/>
                      <w:b w:val="0"/>
                      <w:bCs/>
                      <w:color w:val="auto"/>
                      <w:sz w:val="21"/>
                      <w:szCs w:val="21"/>
                      <w:highlight w:val="none"/>
                      <w:vertAlign w:val="baseline"/>
                      <w:lang w:val="en-US" w:eastAsia="zh-CN"/>
                    </w:rPr>
                    <w:t>用于处理</w:t>
                  </w:r>
                  <w:r>
                    <w:rPr>
                      <w:rFonts w:hint="eastAsia" w:cs="Times New Roman"/>
                      <w:b w:val="0"/>
                      <w:bCs/>
                      <w:color w:val="auto"/>
                      <w:sz w:val="21"/>
                      <w:szCs w:val="21"/>
                      <w:highlight w:val="none"/>
                      <w:vertAlign w:val="baseline"/>
                      <w:lang w:val="en-US" w:eastAsia="zh-CN"/>
                    </w:rPr>
                    <w:t>化验室、隔离室、</w:t>
                  </w:r>
                  <w:r>
                    <w:rPr>
                      <w:rFonts w:hint="eastAsia" w:ascii="Times New Roman" w:hAnsi="Times New Roman" w:cs="Times New Roman"/>
                      <w:b w:val="0"/>
                      <w:bCs/>
                      <w:color w:val="auto"/>
                      <w:sz w:val="21"/>
                      <w:szCs w:val="21"/>
                      <w:highlight w:val="none"/>
                      <w:vertAlign w:val="baseline"/>
                      <w:lang w:val="en-US" w:eastAsia="zh-CN"/>
                    </w:rPr>
                    <w:t>手术室产生的</w:t>
                  </w:r>
                  <w:r>
                    <w:rPr>
                      <w:rFonts w:hint="default" w:ascii="Times New Roman" w:hAnsi="Times New Roman" w:cs="Times New Roman"/>
                      <w:b w:val="0"/>
                      <w:bCs/>
                      <w:color w:val="auto"/>
                      <w:sz w:val="21"/>
                      <w:szCs w:val="21"/>
                      <w:highlight w:val="none"/>
                      <w:vertAlign w:val="baseline"/>
                      <w:lang w:val="en-US" w:eastAsia="zh-CN"/>
                    </w:rPr>
                    <w:t>医疗废水，</w:t>
                  </w:r>
                  <w:r>
                    <w:rPr>
                      <w:rFonts w:hint="eastAsia" w:cs="Times New Roman"/>
                      <w:b w:val="0"/>
                      <w:bCs/>
                      <w:color w:val="auto"/>
                      <w:sz w:val="21"/>
                      <w:szCs w:val="21"/>
                      <w:highlight w:val="none"/>
                      <w:vertAlign w:val="baseline"/>
                      <w:lang w:val="en-US" w:eastAsia="zh-CN"/>
                    </w:rPr>
                    <w:t>有效容积50L</w:t>
                  </w:r>
                  <w:r>
                    <w:rPr>
                      <w:rFonts w:hint="eastAsia" w:cs="Times New Roman"/>
                      <w:b w:val="0"/>
                      <w:bCs/>
                      <w:color w:val="auto"/>
                      <w:kern w:val="0"/>
                      <w:sz w:val="21"/>
                      <w:szCs w:val="21"/>
                      <w:highlight w:val="none"/>
                      <w:vertAlign w:val="baseline"/>
                      <w:lang w:eastAsia="zh-CN"/>
                    </w:rPr>
                    <w:t>、</w:t>
                  </w:r>
                  <w:r>
                    <w:rPr>
                      <w:rFonts w:hint="eastAsia" w:cs="Times New Roman"/>
                      <w:b w:val="0"/>
                      <w:bCs/>
                      <w:color w:val="auto"/>
                      <w:kern w:val="0"/>
                      <w:sz w:val="21"/>
                      <w:szCs w:val="21"/>
                      <w:highlight w:val="none"/>
                      <w:vertAlign w:val="baseline"/>
                      <w:lang w:val="en-US" w:eastAsia="zh-CN"/>
                    </w:rPr>
                    <w:t>20</w:t>
                  </w:r>
                  <w:r>
                    <w:rPr>
                      <w:rFonts w:hint="eastAsia" w:cs="Times New Roman"/>
                      <w:b w:val="0"/>
                      <w:bCs/>
                      <w:color w:val="auto"/>
                      <w:sz w:val="21"/>
                      <w:szCs w:val="21"/>
                      <w:highlight w:val="none"/>
                      <w:vertAlign w:val="baseline"/>
                      <w:lang w:val="en-US" w:eastAsia="zh-CN"/>
                    </w:rPr>
                    <w:t>L，处理工艺为消毒</w:t>
                  </w:r>
                  <w:r>
                    <w:rPr>
                      <w:rFonts w:hint="default" w:ascii="Times New Roman" w:hAnsi="Times New Roman" w:cs="Times New Roman"/>
                      <w:b w:val="0"/>
                      <w:bCs/>
                      <w:color w:val="auto"/>
                      <w:sz w:val="21"/>
                      <w:szCs w:val="21"/>
                      <w:highlight w:val="none"/>
                      <w:vertAlign w:val="baseline"/>
                      <w:lang w:val="en-US" w:eastAsia="zh-CN"/>
                    </w:rPr>
                    <w:t>。</w:t>
                  </w:r>
                </w:p>
              </w:tc>
              <w:tc>
                <w:tcPr>
                  <w:tcW w:w="638" w:type="pct"/>
                  <w:tcBorders>
                    <w:tl2br w:val="nil"/>
                    <w:tr2bl w:val="nil"/>
                  </w:tcBorders>
                  <w:vAlign w:val="center"/>
                </w:tcPr>
                <w:p w14:paraId="11330DB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已建</w:t>
                  </w:r>
                </w:p>
              </w:tc>
            </w:tr>
            <w:tr w14:paraId="5240EA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7" w:hRule="atLeast"/>
              </w:trPr>
              <w:tc>
                <w:tcPr>
                  <w:tcW w:w="506" w:type="pct"/>
                  <w:vMerge w:val="continue"/>
                  <w:tcBorders>
                    <w:tl2br w:val="nil"/>
                    <w:tr2bl w:val="nil"/>
                  </w:tcBorders>
                  <w:vAlign w:val="center"/>
                </w:tcPr>
                <w:p w14:paraId="2E30310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FF0000"/>
                      <w:sz w:val="21"/>
                      <w:szCs w:val="21"/>
                      <w:highlight w:val="none"/>
                      <w:vertAlign w:val="baseline"/>
                      <w:lang w:val="en-US" w:eastAsia="zh-CN"/>
                    </w:rPr>
                  </w:pPr>
                </w:p>
              </w:tc>
              <w:tc>
                <w:tcPr>
                  <w:tcW w:w="803" w:type="pct"/>
                  <w:tcBorders>
                    <w:tl2br w:val="nil"/>
                    <w:tr2bl w:val="nil"/>
                  </w:tcBorders>
                  <w:vAlign w:val="center"/>
                </w:tcPr>
                <w:p w14:paraId="48B6FD9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噪声</w:t>
                  </w:r>
                </w:p>
              </w:tc>
              <w:tc>
                <w:tcPr>
                  <w:tcW w:w="3052" w:type="pct"/>
                  <w:tcBorders>
                    <w:tl2br w:val="nil"/>
                    <w:tr2bl w:val="nil"/>
                  </w:tcBorders>
                  <w:vAlign w:val="center"/>
                </w:tcPr>
                <w:p w14:paraId="3A7F78C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宠物噪声：利用建筑隔声。医院室内各科室皆相互独立。加强管理，门窗常闭状态，同时按时投喂避免宠物处于饥饿状态。</w:t>
                  </w:r>
                </w:p>
              </w:tc>
              <w:tc>
                <w:tcPr>
                  <w:tcW w:w="638" w:type="pct"/>
                  <w:tcBorders>
                    <w:tl2br w:val="nil"/>
                    <w:tr2bl w:val="nil"/>
                  </w:tcBorders>
                  <w:vAlign w:val="center"/>
                </w:tcPr>
                <w:p w14:paraId="549C7F3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已建</w:t>
                  </w:r>
                </w:p>
              </w:tc>
            </w:tr>
            <w:tr w14:paraId="6CBBFF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6" w:type="pct"/>
                  <w:vMerge w:val="continue"/>
                  <w:tcBorders>
                    <w:tl2br w:val="nil"/>
                    <w:tr2bl w:val="nil"/>
                  </w:tcBorders>
                  <w:vAlign w:val="center"/>
                </w:tcPr>
                <w:p w14:paraId="04180F1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FF0000"/>
                      <w:sz w:val="21"/>
                      <w:szCs w:val="21"/>
                      <w:highlight w:val="none"/>
                      <w:vertAlign w:val="baseline"/>
                      <w:lang w:val="en-US" w:eastAsia="zh-CN"/>
                    </w:rPr>
                  </w:pPr>
                </w:p>
              </w:tc>
              <w:tc>
                <w:tcPr>
                  <w:tcW w:w="803" w:type="pct"/>
                  <w:tcBorders>
                    <w:tl2br w:val="nil"/>
                    <w:tr2bl w:val="nil"/>
                  </w:tcBorders>
                  <w:vAlign w:val="center"/>
                </w:tcPr>
                <w:p w14:paraId="74D9778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固废</w:t>
                  </w:r>
                </w:p>
              </w:tc>
              <w:tc>
                <w:tcPr>
                  <w:tcW w:w="3052" w:type="pct"/>
                  <w:tcBorders>
                    <w:tl2br w:val="nil"/>
                    <w:tr2bl w:val="nil"/>
                  </w:tcBorders>
                  <w:vAlign w:val="center"/>
                </w:tcPr>
                <w:p w14:paraId="4490B6B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设置单独</w:t>
                  </w:r>
                  <w:r>
                    <w:rPr>
                      <w:rFonts w:hint="eastAsia" w:cs="Times New Roman"/>
                      <w:b w:val="0"/>
                      <w:bCs/>
                      <w:color w:val="auto"/>
                      <w:sz w:val="21"/>
                      <w:szCs w:val="21"/>
                      <w:highlight w:val="none"/>
                      <w:vertAlign w:val="baseline"/>
                      <w:lang w:val="en-US" w:eastAsia="zh-CN"/>
                    </w:rPr>
                    <w:t>医废暂存点</w:t>
                  </w:r>
                  <w:r>
                    <w:rPr>
                      <w:rFonts w:hint="default" w:ascii="Times New Roman" w:hAnsi="Times New Roman" w:cs="Times New Roman"/>
                      <w:b w:val="0"/>
                      <w:bCs/>
                      <w:color w:val="auto"/>
                      <w:sz w:val="21"/>
                      <w:szCs w:val="21"/>
                      <w:highlight w:val="none"/>
                      <w:vertAlign w:val="baseline"/>
                      <w:lang w:val="en-US" w:eastAsia="zh-CN"/>
                    </w:rPr>
                    <w:t>，位于医院</w:t>
                  </w:r>
                  <w:r>
                    <w:rPr>
                      <w:rFonts w:hint="eastAsia" w:cs="Times New Roman"/>
                      <w:b w:val="0"/>
                      <w:bCs/>
                      <w:color w:val="auto"/>
                      <w:sz w:val="21"/>
                      <w:szCs w:val="21"/>
                      <w:highlight w:val="none"/>
                      <w:vertAlign w:val="baseline"/>
                      <w:lang w:val="en-US" w:eastAsia="zh-CN"/>
                    </w:rPr>
                    <w:t>化验室内</w:t>
                  </w:r>
                  <w:r>
                    <w:rPr>
                      <w:rFonts w:hint="default" w:ascii="Times New Roman" w:hAnsi="Times New Roman" w:cs="Times New Roman"/>
                      <w:b w:val="0"/>
                      <w:bCs/>
                      <w:color w:val="auto"/>
                      <w:sz w:val="21"/>
                      <w:szCs w:val="21"/>
                      <w:highlight w:val="none"/>
                      <w:vertAlign w:val="baseline"/>
                      <w:lang w:val="en-US" w:eastAsia="zh-CN"/>
                    </w:rPr>
                    <w:t>，占地面积约</w:t>
                  </w:r>
                  <w:r>
                    <w:rPr>
                      <w:rFonts w:hint="eastAsia" w:cs="Times New Roman"/>
                      <w:b w:val="0"/>
                      <w:bCs/>
                      <w:color w:val="auto"/>
                      <w:sz w:val="21"/>
                      <w:szCs w:val="21"/>
                      <w:highlight w:val="none"/>
                      <w:vertAlign w:val="baseline"/>
                      <w:lang w:val="en-US" w:eastAsia="zh-CN"/>
                    </w:rPr>
                    <w:t>1</w:t>
                  </w:r>
                  <w:r>
                    <w:rPr>
                      <w:rFonts w:hint="default" w:ascii="Times New Roman" w:hAnsi="Times New Roman" w:cs="Times New Roman"/>
                      <w:b w:val="0"/>
                      <w:bCs/>
                      <w:color w:val="auto"/>
                      <w:sz w:val="21"/>
                      <w:szCs w:val="21"/>
                      <w:highlight w:val="none"/>
                      <w:vertAlign w:val="baseline"/>
                      <w:lang w:val="en-US" w:eastAsia="zh-CN"/>
                    </w:rPr>
                    <w:t>m</w:t>
                  </w:r>
                  <w:r>
                    <w:rPr>
                      <w:rFonts w:hint="default" w:ascii="Times New Roman" w:hAnsi="Times New Roman" w:cs="Times New Roman"/>
                      <w:b w:val="0"/>
                      <w:bCs/>
                      <w:color w:val="auto"/>
                      <w:sz w:val="21"/>
                      <w:szCs w:val="21"/>
                      <w:highlight w:val="none"/>
                      <w:vertAlign w:val="superscript"/>
                      <w:lang w:val="en-US" w:eastAsia="zh-CN"/>
                    </w:rPr>
                    <w:t>2</w:t>
                  </w:r>
                  <w:r>
                    <w:rPr>
                      <w:rFonts w:hint="eastAsia" w:cs="Times New Roman"/>
                      <w:b w:val="0"/>
                      <w:bCs/>
                      <w:color w:val="auto"/>
                      <w:sz w:val="21"/>
                      <w:szCs w:val="21"/>
                      <w:highlight w:val="none"/>
                      <w:vertAlign w:val="baseline"/>
                      <w:lang w:val="en-US" w:eastAsia="zh-CN"/>
                    </w:rPr>
                    <w:t>；</w:t>
                  </w:r>
                  <w:r>
                    <w:rPr>
                      <w:rFonts w:hint="default" w:ascii="Times New Roman" w:hAnsi="Times New Roman" w:cs="Times New Roman"/>
                      <w:b w:val="0"/>
                      <w:bCs/>
                      <w:color w:val="auto"/>
                      <w:sz w:val="21"/>
                      <w:szCs w:val="21"/>
                      <w:highlight w:val="none"/>
                      <w:vertAlign w:val="baseline"/>
                      <w:lang w:val="en-US" w:eastAsia="zh-CN"/>
                    </w:rPr>
                    <w:t>设加盖医疗废物收集桶。医疗废物使用医疗废物收集桶单独收集后，暂存于</w:t>
                  </w:r>
                  <w:r>
                    <w:rPr>
                      <w:rFonts w:hint="eastAsia" w:cs="Times New Roman"/>
                      <w:b w:val="0"/>
                      <w:bCs/>
                      <w:color w:val="auto"/>
                      <w:sz w:val="21"/>
                      <w:szCs w:val="21"/>
                      <w:highlight w:val="none"/>
                      <w:vertAlign w:val="baseline"/>
                      <w:lang w:val="en-US" w:eastAsia="zh-CN"/>
                    </w:rPr>
                    <w:t>医废暂存点</w:t>
                  </w:r>
                  <w:r>
                    <w:rPr>
                      <w:rFonts w:hint="default" w:ascii="Times New Roman" w:hAnsi="Times New Roman" w:cs="Times New Roman"/>
                      <w:b w:val="0"/>
                      <w:bCs/>
                      <w:color w:val="auto"/>
                      <w:sz w:val="21"/>
                      <w:szCs w:val="21"/>
                      <w:highlight w:val="none"/>
                      <w:vertAlign w:val="baseline"/>
                      <w:lang w:val="en-US" w:eastAsia="zh-CN"/>
                    </w:rPr>
                    <w:t>，定期交有资质单位处置。</w:t>
                  </w:r>
                  <w:r>
                    <w:rPr>
                      <w:rFonts w:hint="eastAsia" w:cs="Times New Roman"/>
                      <w:b w:val="0"/>
                      <w:bCs/>
                      <w:color w:val="auto"/>
                      <w:sz w:val="21"/>
                      <w:szCs w:val="21"/>
                      <w:highlight w:val="none"/>
                      <w:vertAlign w:val="baseline"/>
                      <w:lang w:val="en-US" w:eastAsia="zh-CN"/>
                    </w:rPr>
                    <w:t>设置一个垃圾桶，动物粪污经消毒后与动物毛发、生活垃圾一同收集到垃圾桶，定期交环卫部门处理。</w:t>
                  </w:r>
                  <w:r>
                    <w:rPr>
                      <w:rFonts w:hint="default" w:ascii="Times New Roman" w:hAnsi="Times New Roman" w:eastAsia="宋体" w:cs="Times New Roman"/>
                      <w:b w:val="0"/>
                      <w:bCs/>
                      <w:color w:val="auto"/>
                      <w:sz w:val="21"/>
                      <w:szCs w:val="21"/>
                      <w:highlight w:val="none"/>
                      <w:vertAlign w:val="baseline"/>
                      <w:lang w:val="en-US" w:eastAsia="zh-CN"/>
                    </w:rPr>
                    <w:t>动物尸体交有资质单位进行无害化处理</w:t>
                  </w:r>
                  <w:r>
                    <w:rPr>
                      <w:rFonts w:hint="eastAsia" w:ascii="Times New Roman" w:hAnsi="Times New Roman" w:eastAsia="宋体" w:cs="Times New Roman"/>
                      <w:b w:val="0"/>
                      <w:bCs/>
                      <w:color w:val="auto"/>
                      <w:sz w:val="21"/>
                      <w:szCs w:val="21"/>
                      <w:highlight w:val="none"/>
                      <w:vertAlign w:val="baseline"/>
                      <w:lang w:val="en-US" w:eastAsia="zh-CN"/>
                    </w:rPr>
                    <w:t>。</w:t>
                  </w:r>
                </w:p>
              </w:tc>
              <w:tc>
                <w:tcPr>
                  <w:tcW w:w="638" w:type="pct"/>
                  <w:tcBorders>
                    <w:tl2br w:val="nil"/>
                    <w:tr2bl w:val="nil"/>
                  </w:tcBorders>
                  <w:vAlign w:val="center"/>
                </w:tcPr>
                <w:p w14:paraId="5DCF5D5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已建</w:t>
                  </w:r>
                </w:p>
              </w:tc>
            </w:tr>
          </w:tbl>
          <w:p w14:paraId="187B7596">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cs="Times New Roman"/>
                <w:b/>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z w:val="24"/>
                <w:szCs w:val="24"/>
                <w:highlight w:val="none"/>
                <w:vertAlign w:val="baseline"/>
                <w:lang w:val="en-US" w:eastAsia="zh-CN"/>
                <w14:textFill>
                  <w14:solidFill>
                    <w14:schemeClr w14:val="tx1"/>
                  </w14:solidFill>
                </w14:textFill>
              </w:rPr>
              <w:t>2.4主要生产设备</w:t>
            </w:r>
          </w:p>
          <w:p w14:paraId="1DC608F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项目主要生产设备详见表 2.4-1。</w:t>
            </w:r>
          </w:p>
          <w:p w14:paraId="4C07A50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val="0"/>
                <w:color w:val="auto"/>
                <w:sz w:val="24"/>
                <w:szCs w:val="24"/>
                <w:highlight w:val="none"/>
                <w:vertAlign w:val="baseline"/>
                <w:lang w:val="en-US" w:eastAsia="zh-CN"/>
              </w:rPr>
            </w:pPr>
            <w:r>
              <w:rPr>
                <w:rFonts w:hint="default" w:ascii="Times New Roman" w:hAnsi="Times New Roman" w:cs="Times New Roman"/>
                <w:b/>
                <w:bCs w:val="0"/>
                <w:color w:val="auto"/>
                <w:sz w:val="24"/>
                <w:szCs w:val="24"/>
                <w:highlight w:val="none"/>
                <w:vertAlign w:val="baseline"/>
                <w:lang w:val="en-US" w:eastAsia="zh-CN"/>
              </w:rPr>
              <w:t>表 2.4-1项目主要生产设备一览表</w:t>
            </w:r>
          </w:p>
          <w:tbl>
            <w:tblPr>
              <w:tblStyle w:val="2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5"/>
              <w:gridCol w:w="938"/>
              <w:gridCol w:w="2139"/>
              <w:gridCol w:w="2025"/>
              <w:gridCol w:w="824"/>
              <w:gridCol w:w="796"/>
              <w:gridCol w:w="816"/>
            </w:tblGrid>
            <w:tr w14:paraId="71BFFD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3" w:type="pct"/>
                  <w:tcBorders>
                    <w:tl2br w:val="nil"/>
                    <w:tr2bl w:val="nil"/>
                  </w:tcBorders>
                  <w:vAlign w:val="center"/>
                </w:tcPr>
                <w:p w14:paraId="3EDF123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序号</w:t>
                  </w:r>
                </w:p>
              </w:tc>
              <w:tc>
                <w:tcPr>
                  <w:tcW w:w="568" w:type="pct"/>
                  <w:tcBorders>
                    <w:tl2br w:val="nil"/>
                    <w:tr2bl w:val="nil"/>
                  </w:tcBorders>
                  <w:vAlign w:val="center"/>
                </w:tcPr>
                <w:p w14:paraId="5B00C89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位置</w:t>
                  </w:r>
                </w:p>
              </w:tc>
              <w:tc>
                <w:tcPr>
                  <w:tcW w:w="1295" w:type="pct"/>
                  <w:tcBorders>
                    <w:tl2br w:val="nil"/>
                    <w:tr2bl w:val="nil"/>
                  </w:tcBorders>
                  <w:vAlign w:val="center"/>
                </w:tcPr>
                <w:p w14:paraId="46C374C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设备名称</w:t>
                  </w:r>
                </w:p>
              </w:tc>
              <w:tc>
                <w:tcPr>
                  <w:tcW w:w="1226" w:type="pct"/>
                  <w:tcBorders>
                    <w:tl2br w:val="nil"/>
                    <w:tr2bl w:val="nil"/>
                  </w:tcBorders>
                  <w:vAlign w:val="center"/>
                </w:tcPr>
                <w:p w14:paraId="63A42BA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规格型号</w:t>
                  </w:r>
                </w:p>
              </w:tc>
              <w:tc>
                <w:tcPr>
                  <w:tcW w:w="499" w:type="pct"/>
                  <w:tcBorders>
                    <w:tl2br w:val="nil"/>
                    <w:tr2bl w:val="nil"/>
                  </w:tcBorders>
                  <w:vAlign w:val="center"/>
                </w:tcPr>
                <w:p w14:paraId="68E9B10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单位</w:t>
                  </w:r>
                </w:p>
              </w:tc>
              <w:tc>
                <w:tcPr>
                  <w:tcW w:w="482" w:type="pct"/>
                  <w:tcBorders>
                    <w:tl2br w:val="nil"/>
                    <w:tr2bl w:val="nil"/>
                  </w:tcBorders>
                  <w:vAlign w:val="center"/>
                </w:tcPr>
                <w:p w14:paraId="5A4C26C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数量</w:t>
                  </w:r>
                </w:p>
              </w:tc>
              <w:tc>
                <w:tcPr>
                  <w:tcW w:w="494" w:type="pct"/>
                  <w:tcBorders>
                    <w:tl2br w:val="nil"/>
                    <w:tr2bl w:val="nil"/>
                  </w:tcBorders>
                  <w:vAlign w:val="center"/>
                </w:tcPr>
                <w:p w14:paraId="43D012F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备注</w:t>
                  </w:r>
                </w:p>
              </w:tc>
            </w:tr>
            <w:tr w14:paraId="1B828D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3" w:type="pct"/>
                  <w:tcBorders>
                    <w:tl2br w:val="nil"/>
                    <w:tr2bl w:val="nil"/>
                  </w:tcBorders>
                  <w:vAlign w:val="center"/>
                </w:tcPr>
                <w:p w14:paraId="4E376A5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1</w:t>
                  </w:r>
                </w:p>
              </w:tc>
              <w:tc>
                <w:tcPr>
                  <w:tcW w:w="568" w:type="pct"/>
                  <w:vMerge w:val="restart"/>
                  <w:tcBorders>
                    <w:tl2br w:val="nil"/>
                    <w:tr2bl w:val="nil"/>
                  </w:tcBorders>
                  <w:vAlign w:val="center"/>
                </w:tcPr>
                <w:p w14:paraId="4161B69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DR</w:t>
                  </w:r>
                  <w:r>
                    <w:rPr>
                      <w:rFonts w:hint="eastAsia" w:ascii="Times New Roman" w:hAnsi="Times New Roman" w:cs="Times New Roman"/>
                      <w:b w:val="0"/>
                      <w:bCs/>
                      <w:color w:val="auto"/>
                      <w:sz w:val="21"/>
                      <w:szCs w:val="21"/>
                      <w:highlight w:val="none"/>
                      <w:vertAlign w:val="baseline"/>
                      <w:lang w:val="en-US" w:eastAsia="zh-CN"/>
                    </w:rPr>
                    <w:t>室</w:t>
                  </w:r>
                </w:p>
              </w:tc>
              <w:tc>
                <w:tcPr>
                  <w:tcW w:w="1295" w:type="pct"/>
                  <w:tcBorders>
                    <w:tl2br w:val="nil"/>
                    <w:tr2bl w:val="nil"/>
                  </w:tcBorders>
                  <w:vAlign w:val="center"/>
                </w:tcPr>
                <w:p w14:paraId="2F8AC11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eastAsia" w:ascii="Times New Roman" w:hAnsi="Times New Roman" w:eastAsia="宋体"/>
                      <w:color w:val="auto"/>
                      <w:kern w:val="0"/>
                      <w:sz w:val="21"/>
                      <w:szCs w:val="21"/>
                      <w:lang w:eastAsia="zh-CN"/>
                    </w:rPr>
                    <w:t>全数字兽用彩色超声诊断系统</w:t>
                  </w:r>
                </w:p>
              </w:tc>
              <w:tc>
                <w:tcPr>
                  <w:tcW w:w="1226" w:type="pct"/>
                  <w:tcBorders>
                    <w:tl2br w:val="nil"/>
                    <w:tr2bl w:val="nil"/>
                  </w:tcBorders>
                  <w:vAlign w:val="center"/>
                </w:tcPr>
                <w:p w14:paraId="134916C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EDAN</w:t>
                  </w:r>
                </w:p>
              </w:tc>
              <w:tc>
                <w:tcPr>
                  <w:tcW w:w="499" w:type="pct"/>
                  <w:tcBorders>
                    <w:tl2br w:val="nil"/>
                    <w:tr2bl w:val="nil"/>
                  </w:tcBorders>
                  <w:vAlign w:val="center"/>
                </w:tcPr>
                <w:p w14:paraId="7B07860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台</w:t>
                  </w:r>
                </w:p>
              </w:tc>
              <w:tc>
                <w:tcPr>
                  <w:tcW w:w="482" w:type="pct"/>
                  <w:tcBorders>
                    <w:tl2br w:val="nil"/>
                    <w:tr2bl w:val="nil"/>
                  </w:tcBorders>
                  <w:vAlign w:val="center"/>
                </w:tcPr>
                <w:p w14:paraId="1BE4628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1</w:t>
                  </w:r>
                </w:p>
              </w:tc>
              <w:tc>
                <w:tcPr>
                  <w:tcW w:w="494" w:type="pct"/>
                  <w:tcBorders>
                    <w:tl2br w:val="nil"/>
                    <w:tr2bl w:val="nil"/>
                  </w:tcBorders>
                  <w:vAlign w:val="center"/>
                </w:tcPr>
                <w:p w14:paraId="54582D5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现有</w:t>
                  </w:r>
                </w:p>
              </w:tc>
            </w:tr>
            <w:tr w14:paraId="64A23C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3" w:type="pct"/>
                  <w:tcBorders>
                    <w:tl2br w:val="nil"/>
                    <w:tr2bl w:val="nil"/>
                  </w:tcBorders>
                  <w:vAlign w:val="center"/>
                </w:tcPr>
                <w:p w14:paraId="5D0C85E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2</w:t>
                  </w:r>
                </w:p>
              </w:tc>
              <w:tc>
                <w:tcPr>
                  <w:tcW w:w="568" w:type="pct"/>
                  <w:vMerge w:val="continue"/>
                  <w:tcBorders>
                    <w:tl2br w:val="nil"/>
                    <w:tr2bl w:val="nil"/>
                  </w:tcBorders>
                  <w:vAlign w:val="center"/>
                </w:tcPr>
                <w:p w14:paraId="1BC631A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color w:val="auto"/>
                      <w:sz w:val="21"/>
                      <w:szCs w:val="21"/>
                      <w:highlight w:val="none"/>
                      <w:vertAlign w:val="baseline"/>
                      <w:lang w:val="en-US" w:eastAsia="zh-CN"/>
                    </w:rPr>
                  </w:pPr>
                </w:p>
              </w:tc>
              <w:tc>
                <w:tcPr>
                  <w:tcW w:w="1295" w:type="pct"/>
                  <w:tcBorders>
                    <w:tl2br w:val="nil"/>
                    <w:tr2bl w:val="nil"/>
                  </w:tcBorders>
                  <w:vAlign w:val="center"/>
                </w:tcPr>
                <w:p w14:paraId="493524DC">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cs="Times New Roman"/>
                      <w:color w:val="auto"/>
                      <w:kern w:val="0"/>
                      <w:sz w:val="21"/>
                      <w:szCs w:val="21"/>
                      <w:lang w:val="en-US" w:eastAsia="zh-CN" w:bidi="ar-SA"/>
                    </w:rPr>
                  </w:pPr>
                  <w:r>
                    <w:rPr>
                      <w:rFonts w:hint="eastAsia" w:ascii="Times New Roman" w:hAnsi="Times New Roman" w:eastAsia="宋体"/>
                      <w:color w:val="auto"/>
                      <w:kern w:val="0"/>
                      <w:sz w:val="21"/>
                      <w:szCs w:val="21"/>
                      <w:lang w:eastAsia="zh-CN"/>
                    </w:rPr>
                    <w:t>动物专用数字化x射线摄影系统</w:t>
                  </w:r>
                </w:p>
              </w:tc>
              <w:tc>
                <w:tcPr>
                  <w:tcW w:w="1226" w:type="pct"/>
                  <w:tcBorders>
                    <w:tl2br w:val="nil"/>
                    <w:tr2bl w:val="nil"/>
                  </w:tcBorders>
                  <w:vAlign w:val="center"/>
                </w:tcPr>
                <w:p w14:paraId="638431A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Cs w:val="21"/>
                      <w:lang w:val="en-US" w:eastAsia="zh-CN"/>
                    </w:rPr>
                  </w:pPr>
                  <w:r>
                    <w:rPr>
                      <w:rFonts w:hint="eastAsia"/>
                      <w:color w:val="auto"/>
                      <w:szCs w:val="21"/>
                      <w:lang w:val="en-US" w:eastAsia="zh-CN"/>
                    </w:rPr>
                    <w:t>威图-Vetoo DX-V1</w:t>
                  </w:r>
                </w:p>
              </w:tc>
              <w:tc>
                <w:tcPr>
                  <w:tcW w:w="499" w:type="pct"/>
                  <w:tcBorders>
                    <w:tl2br w:val="nil"/>
                    <w:tr2bl w:val="nil"/>
                  </w:tcBorders>
                  <w:vAlign w:val="center"/>
                </w:tcPr>
                <w:p w14:paraId="586E60E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台</w:t>
                  </w:r>
                </w:p>
              </w:tc>
              <w:tc>
                <w:tcPr>
                  <w:tcW w:w="482" w:type="pct"/>
                  <w:tcBorders>
                    <w:tl2br w:val="nil"/>
                    <w:tr2bl w:val="nil"/>
                  </w:tcBorders>
                  <w:vAlign w:val="center"/>
                </w:tcPr>
                <w:p w14:paraId="309549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1</w:t>
                  </w:r>
                </w:p>
              </w:tc>
              <w:tc>
                <w:tcPr>
                  <w:tcW w:w="494" w:type="pct"/>
                  <w:tcBorders>
                    <w:tl2br w:val="nil"/>
                    <w:tr2bl w:val="nil"/>
                  </w:tcBorders>
                  <w:vAlign w:val="center"/>
                </w:tcPr>
                <w:p w14:paraId="1ED8ECB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现有</w:t>
                  </w:r>
                </w:p>
              </w:tc>
            </w:tr>
            <w:tr w14:paraId="6AEF4B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3" w:type="pct"/>
                  <w:tcBorders>
                    <w:tl2br w:val="nil"/>
                    <w:tr2bl w:val="nil"/>
                  </w:tcBorders>
                  <w:vAlign w:val="center"/>
                </w:tcPr>
                <w:p w14:paraId="2076F3E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3</w:t>
                  </w:r>
                </w:p>
              </w:tc>
              <w:tc>
                <w:tcPr>
                  <w:tcW w:w="568" w:type="pct"/>
                  <w:vMerge w:val="restart"/>
                  <w:tcBorders>
                    <w:tl2br w:val="nil"/>
                    <w:tr2bl w:val="nil"/>
                  </w:tcBorders>
                  <w:vAlign w:val="center"/>
                </w:tcPr>
                <w:p w14:paraId="2843479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化验室</w:t>
                  </w:r>
                </w:p>
              </w:tc>
              <w:tc>
                <w:tcPr>
                  <w:tcW w:w="1295" w:type="pct"/>
                  <w:tcBorders>
                    <w:tl2br w:val="nil"/>
                    <w:tr2bl w:val="nil"/>
                  </w:tcBorders>
                  <w:vAlign w:val="center"/>
                </w:tcPr>
                <w:p w14:paraId="3CFA170E">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ascii="Times New Roman" w:hAnsi="Times New Roman" w:eastAsia="宋体"/>
                      <w:color w:val="auto"/>
                      <w:kern w:val="0"/>
                      <w:sz w:val="21"/>
                      <w:szCs w:val="21"/>
                    </w:rPr>
                    <w:t>显微镜</w:t>
                  </w:r>
                </w:p>
              </w:tc>
              <w:tc>
                <w:tcPr>
                  <w:tcW w:w="1226" w:type="pct"/>
                  <w:tcBorders>
                    <w:tl2br w:val="nil"/>
                    <w:tr2bl w:val="nil"/>
                  </w:tcBorders>
                  <w:vAlign w:val="center"/>
                </w:tcPr>
                <w:p w14:paraId="6D221D4F">
                  <w:pPr>
                    <w:spacing w:line="360" w:lineRule="exact"/>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color w:val="auto"/>
                      <w:kern w:val="0"/>
                      <w:sz w:val="21"/>
                      <w:szCs w:val="21"/>
                      <w:lang w:val="en-US" w:eastAsia="zh-CN"/>
                    </w:rPr>
                    <w:t>奥林巴斯</w:t>
                  </w:r>
                </w:p>
              </w:tc>
              <w:tc>
                <w:tcPr>
                  <w:tcW w:w="499" w:type="pct"/>
                  <w:tcBorders>
                    <w:tl2br w:val="nil"/>
                    <w:tr2bl w:val="nil"/>
                  </w:tcBorders>
                  <w:vAlign w:val="center"/>
                </w:tcPr>
                <w:p w14:paraId="03B7767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台</w:t>
                  </w:r>
                </w:p>
              </w:tc>
              <w:tc>
                <w:tcPr>
                  <w:tcW w:w="482" w:type="pct"/>
                  <w:tcBorders>
                    <w:tl2br w:val="nil"/>
                    <w:tr2bl w:val="nil"/>
                  </w:tcBorders>
                  <w:vAlign w:val="center"/>
                </w:tcPr>
                <w:p w14:paraId="627AA2A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1</w:t>
                  </w:r>
                </w:p>
              </w:tc>
              <w:tc>
                <w:tcPr>
                  <w:tcW w:w="494" w:type="pct"/>
                  <w:tcBorders>
                    <w:tl2br w:val="nil"/>
                    <w:tr2bl w:val="nil"/>
                  </w:tcBorders>
                  <w:vAlign w:val="center"/>
                </w:tcPr>
                <w:p w14:paraId="387D7F7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现有</w:t>
                  </w:r>
                </w:p>
              </w:tc>
            </w:tr>
            <w:tr w14:paraId="5DAE8E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433" w:type="pct"/>
                  <w:tcBorders>
                    <w:tl2br w:val="nil"/>
                    <w:tr2bl w:val="nil"/>
                  </w:tcBorders>
                  <w:vAlign w:val="center"/>
                </w:tcPr>
                <w:p w14:paraId="3B4B1D9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4</w:t>
                  </w:r>
                </w:p>
              </w:tc>
              <w:tc>
                <w:tcPr>
                  <w:tcW w:w="568" w:type="pct"/>
                  <w:vMerge w:val="continue"/>
                  <w:tcBorders>
                    <w:tl2br w:val="nil"/>
                    <w:tr2bl w:val="nil"/>
                  </w:tcBorders>
                  <w:vAlign w:val="center"/>
                </w:tcPr>
                <w:p w14:paraId="0495008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p>
              </w:tc>
              <w:tc>
                <w:tcPr>
                  <w:tcW w:w="1295" w:type="pct"/>
                  <w:tcBorders>
                    <w:tl2br w:val="nil"/>
                    <w:tr2bl w:val="nil"/>
                  </w:tcBorders>
                  <w:vAlign w:val="center"/>
                </w:tcPr>
                <w:p w14:paraId="0FA1971D">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olor w:val="auto"/>
                      <w:kern w:val="0"/>
                      <w:sz w:val="21"/>
                      <w:szCs w:val="21"/>
                      <w:lang w:eastAsia="zh-CN"/>
                    </w:rPr>
                    <w:t>荧光免疫分析</w:t>
                  </w:r>
                </w:p>
              </w:tc>
              <w:tc>
                <w:tcPr>
                  <w:tcW w:w="1226" w:type="pct"/>
                  <w:tcBorders>
                    <w:tl2br w:val="nil"/>
                    <w:tr2bl w:val="nil"/>
                  </w:tcBorders>
                  <w:vAlign w:val="center"/>
                </w:tcPr>
                <w:p w14:paraId="254FB756">
                  <w:pPr>
                    <w:spacing w:line="360" w:lineRule="exact"/>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color w:val="auto"/>
                      <w:szCs w:val="21"/>
                      <w:lang w:val="en-US" w:eastAsia="zh-CN"/>
                    </w:rPr>
                    <w:t>/</w:t>
                  </w:r>
                </w:p>
              </w:tc>
              <w:tc>
                <w:tcPr>
                  <w:tcW w:w="499" w:type="pct"/>
                  <w:tcBorders>
                    <w:tl2br w:val="nil"/>
                    <w:tr2bl w:val="nil"/>
                  </w:tcBorders>
                  <w:vAlign w:val="center"/>
                </w:tcPr>
                <w:p w14:paraId="6B71CB0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台</w:t>
                  </w:r>
                </w:p>
              </w:tc>
              <w:tc>
                <w:tcPr>
                  <w:tcW w:w="482" w:type="pct"/>
                  <w:tcBorders>
                    <w:tl2br w:val="nil"/>
                    <w:tr2bl w:val="nil"/>
                  </w:tcBorders>
                  <w:vAlign w:val="center"/>
                </w:tcPr>
                <w:p w14:paraId="281C147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1</w:t>
                  </w:r>
                </w:p>
              </w:tc>
              <w:tc>
                <w:tcPr>
                  <w:tcW w:w="494" w:type="pct"/>
                  <w:tcBorders>
                    <w:tl2br w:val="nil"/>
                    <w:tr2bl w:val="nil"/>
                  </w:tcBorders>
                  <w:vAlign w:val="center"/>
                </w:tcPr>
                <w:p w14:paraId="7470C57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现有</w:t>
                  </w:r>
                </w:p>
              </w:tc>
            </w:tr>
            <w:tr w14:paraId="74DB30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433" w:type="pct"/>
                  <w:tcBorders>
                    <w:tl2br w:val="nil"/>
                    <w:tr2bl w:val="nil"/>
                  </w:tcBorders>
                  <w:vAlign w:val="center"/>
                </w:tcPr>
                <w:p w14:paraId="20BE00A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7</w:t>
                  </w:r>
                </w:p>
              </w:tc>
              <w:tc>
                <w:tcPr>
                  <w:tcW w:w="568" w:type="pct"/>
                  <w:vMerge w:val="continue"/>
                  <w:tcBorders>
                    <w:tl2br w:val="nil"/>
                    <w:tr2bl w:val="nil"/>
                  </w:tcBorders>
                  <w:vAlign w:val="center"/>
                </w:tcPr>
                <w:p w14:paraId="0C5A7AE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p>
              </w:tc>
              <w:tc>
                <w:tcPr>
                  <w:tcW w:w="1295" w:type="pct"/>
                  <w:tcBorders>
                    <w:tl2br w:val="nil"/>
                    <w:tr2bl w:val="nil"/>
                  </w:tcBorders>
                  <w:vAlign w:val="center"/>
                </w:tcPr>
                <w:p w14:paraId="27A436FA">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olor w:val="auto"/>
                      <w:kern w:val="0"/>
                      <w:sz w:val="21"/>
                      <w:szCs w:val="21"/>
                      <w:lang w:val="en-US" w:eastAsia="zh-CN"/>
                    </w:rPr>
                    <w:t>核</w:t>
                  </w:r>
                  <w:r>
                    <w:rPr>
                      <w:rFonts w:hint="eastAsia" w:ascii="Times New Roman" w:hAnsi="Times New Roman" w:eastAsia="宋体"/>
                      <w:color w:val="auto"/>
                      <w:kern w:val="0"/>
                      <w:sz w:val="21"/>
                      <w:szCs w:val="21"/>
                      <w:lang w:val="en-US" w:eastAsia="zh-CN"/>
                    </w:rPr>
                    <w:t>酸</w:t>
                  </w:r>
                  <w:r>
                    <w:rPr>
                      <w:rFonts w:hint="default" w:ascii="Times New Roman" w:hAnsi="Times New Roman" w:eastAsia="宋体"/>
                      <w:color w:val="auto"/>
                      <w:kern w:val="0"/>
                      <w:sz w:val="21"/>
                      <w:szCs w:val="21"/>
                      <w:lang w:val="en-US" w:eastAsia="zh-CN"/>
                    </w:rPr>
                    <w:t>提取仪</w:t>
                  </w:r>
                </w:p>
              </w:tc>
              <w:tc>
                <w:tcPr>
                  <w:tcW w:w="1226" w:type="pct"/>
                  <w:tcBorders>
                    <w:tl2br w:val="nil"/>
                    <w:tr2bl w:val="nil"/>
                  </w:tcBorders>
                  <w:vAlign w:val="center"/>
                </w:tcPr>
                <w:p w14:paraId="750BE3D6">
                  <w:pPr>
                    <w:spacing w:line="360" w:lineRule="exact"/>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color w:val="auto"/>
                      <w:szCs w:val="21"/>
                      <w:lang w:val="en-US" w:eastAsia="zh-CN"/>
                    </w:rPr>
                    <w:t>/</w:t>
                  </w:r>
                </w:p>
              </w:tc>
              <w:tc>
                <w:tcPr>
                  <w:tcW w:w="499" w:type="pct"/>
                  <w:tcBorders>
                    <w:tl2br w:val="nil"/>
                    <w:tr2bl w:val="nil"/>
                  </w:tcBorders>
                  <w:vAlign w:val="center"/>
                </w:tcPr>
                <w:p w14:paraId="0BD345E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台</w:t>
                  </w:r>
                </w:p>
              </w:tc>
              <w:tc>
                <w:tcPr>
                  <w:tcW w:w="482" w:type="pct"/>
                  <w:tcBorders>
                    <w:tl2br w:val="nil"/>
                    <w:tr2bl w:val="nil"/>
                  </w:tcBorders>
                  <w:vAlign w:val="center"/>
                </w:tcPr>
                <w:p w14:paraId="2298EAE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1</w:t>
                  </w:r>
                </w:p>
              </w:tc>
              <w:tc>
                <w:tcPr>
                  <w:tcW w:w="494" w:type="pct"/>
                  <w:tcBorders>
                    <w:tl2br w:val="nil"/>
                    <w:tr2bl w:val="nil"/>
                  </w:tcBorders>
                  <w:vAlign w:val="center"/>
                </w:tcPr>
                <w:p w14:paraId="1ADF5EC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现有</w:t>
                  </w:r>
                </w:p>
              </w:tc>
            </w:tr>
            <w:tr w14:paraId="0E2F21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433" w:type="pct"/>
                  <w:tcBorders>
                    <w:tl2br w:val="nil"/>
                    <w:tr2bl w:val="nil"/>
                  </w:tcBorders>
                  <w:vAlign w:val="center"/>
                </w:tcPr>
                <w:p w14:paraId="47E9833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8</w:t>
                  </w:r>
                </w:p>
              </w:tc>
              <w:tc>
                <w:tcPr>
                  <w:tcW w:w="568" w:type="pct"/>
                  <w:vMerge w:val="continue"/>
                  <w:tcBorders>
                    <w:tl2br w:val="nil"/>
                    <w:tr2bl w:val="nil"/>
                  </w:tcBorders>
                  <w:vAlign w:val="center"/>
                </w:tcPr>
                <w:p w14:paraId="4DE6A82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p>
              </w:tc>
              <w:tc>
                <w:tcPr>
                  <w:tcW w:w="1295" w:type="pct"/>
                  <w:tcBorders>
                    <w:tl2br w:val="nil"/>
                    <w:tr2bl w:val="nil"/>
                  </w:tcBorders>
                  <w:vAlign w:val="center"/>
                </w:tcPr>
                <w:p w14:paraId="65A112E8">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olor w:val="auto"/>
                      <w:kern w:val="0"/>
                      <w:sz w:val="21"/>
                      <w:szCs w:val="21"/>
                      <w:lang w:eastAsia="zh-CN"/>
                    </w:rPr>
                    <w:t>离心机</w:t>
                  </w:r>
                </w:p>
              </w:tc>
              <w:tc>
                <w:tcPr>
                  <w:tcW w:w="1226" w:type="pct"/>
                  <w:tcBorders>
                    <w:tl2br w:val="nil"/>
                    <w:tr2bl w:val="nil"/>
                  </w:tcBorders>
                  <w:vAlign w:val="center"/>
                </w:tcPr>
                <w:p w14:paraId="59C1C964">
                  <w:pPr>
                    <w:spacing w:line="360" w:lineRule="exact"/>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color w:val="auto"/>
                      <w:szCs w:val="21"/>
                      <w:lang w:val="en-US" w:eastAsia="zh-CN"/>
                    </w:rPr>
                    <w:t>JC-7KA</w:t>
                  </w:r>
                </w:p>
              </w:tc>
              <w:tc>
                <w:tcPr>
                  <w:tcW w:w="499" w:type="pct"/>
                  <w:tcBorders>
                    <w:tl2br w:val="nil"/>
                    <w:tr2bl w:val="nil"/>
                  </w:tcBorders>
                  <w:vAlign w:val="center"/>
                </w:tcPr>
                <w:p w14:paraId="179F355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台</w:t>
                  </w:r>
                </w:p>
              </w:tc>
              <w:tc>
                <w:tcPr>
                  <w:tcW w:w="482" w:type="pct"/>
                  <w:tcBorders>
                    <w:tl2br w:val="nil"/>
                    <w:tr2bl w:val="nil"/>
                  </w:tcBorders>
                  <w:vAlign w:val="center"/>
                </w:tcPr>
                <w:p w14:paraId="0FA0B1E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1</w:t>
                  </w:r>
                </w:p>
              </w:tc>
              <w:tc>
                <w:tcPr>
                  <w:tcW w:w="494" w:type="pct"/>
                  <w:tcBorders>
                    <w:tl2br w:val="nil"/>
                    <w:tr2bl w:val="nil"/>
                  </w:tcBorders>
                  <w:vAlign w:val="center"/>
                </w:tcPr>
                <w:p w14:paraId="68EB069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现有</w:t>
                  </w:r>
                </w:p>
              </w:tc>
            </w:tr>
            <w:tr w14:paraId="4ECE3A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433" w:type="pct"/>
                  <w:tcBorders>
                    <w:tl2br w:val="nil"/>
                    <w:tr2bl w:val="nil"/>
                  </w:tcBorders>
                  <w:vAlign w:val="center"/>
                </w:tcPr>
                <w:p w14:paraId="0F7541D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9</w:t>
                  </w:r>
                </w:p>
              </w:tc>
              <w:tc>
                <w:tcPr>
                  <w:tcW w:w="568" w:type="pct"/>
                  <w:vMerge w:val="continue"/>
                  <w:tcBorders>
                    <w:tl2br w:val="nil"/>
                    <w:tr2bl w:val="nil"/>
                  </w:tcBorders>
                  <w:vAlign w:val="center"/>
                </w:tcPr>
                <w:p w14:paraId="26A9B73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p>
              </w:tc>
              <w:tc>
                <w:tcPr>
                  <w:tcW w:w="1295" w:type="pct"/>
                  <w:tcBorders>
                    <w:tl2br w:val="nil"/>
                    <w:tr2bl w:val="nil"/>
                  </w:tcBorders>
                  <w:vAlign w:val="center"/>
                </w:tcPr>
                <w:p w14:paraId="431F7740">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olor w:val="auto"/>
                      <w:kern w:val="0"/>
                      <w:sz w:val="21"/>
                      <w:szCs w:val="21"/>
                      <w:lang w:eastAsia="zh-CN"/>
                    </w:rPr>
                  </w:pPr>
                  <w:r>
                    <w:rPr>
                      <w:rFonts w:hint="eastAsia" w:ascii="Times New Roman" w:hAnsi="Times New Roman" w:eastAsia="宋体"/>
                      <w:color w:val="auto"/>
                      <w:kern w:val="0"/>
                      <w:sz w:val="21"/>
                      <w:szCs w:val="21"/>
                      <w:lang w:val="en-US" w:eastAsia="zh-CN"/>
                    </w:rPr>
                    <w:t>全自动生化分析仪</w:t>
                  </w:r>
                </w:p>
              </w:tc>
              <w:tc>
                <w:tcPr>
                  <w:tcW w:w="1226" w:type="pct"/>
                  <w:tcBorders>
                    <w:tl2br w:val="nil"/>
                    <w:tr2bl w:val="nil"/>
                  </w:tcBorders>
                  <w:vAlign w:val="center"/>
                </w:tcPr>
                <w:p w14:paraId="692C1E48">
                  <w:pPr>
                    <w:spacing w:line="360" w:lineRule="exact"/>
                    <w:jc w:val="center"/>
                    <w:rPr>
                      <w:rFonts w:hint="eastAsia"/>
                      <w:color w:val="auto"/>
                      <w:szCs w:val="21"/>
                      <w:lang w:val="en-US" w:eastAsia="zh-CN"/>
                    </w:rPr>
                  </w:pPr>
                  <w:r>
                    <w:rPr>
                      <w:rFonts w:hint="eastAsia" w:ascii="Times New Roman" w:hAnsi="Times New Roman" w:cs="Times New Roman"/>
                      <w:color w:val="auto"/>
                      <w:kern w:val="0"/>
                      <w:sz w:val="21"/>
                      <w:szCs w:val="21"/>
                      <w:lang w:val="en-US" w:eastAsia="zh-CN" w:bidi="ar-SA"/>
                    </w:rPr>
                    <w:t>Vetxpertc5</w:t>
                  </w:r>
                </w:p>
              </w:tc>
              <w:tc>
                <w:tcPr>
                  <w:tcW w:w="499" w:type="pct"/>
                  <w:tcBorders>
                    <w:tl2br w:val="nil"/>
                    <w:tr2bl w:val="nil"/>
                  </w:tcBorders>
                  <w:vAlign w:val="center"/>
                </w:tcPr>
                <w:p w14:paraId="5BB4EFE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台</w:t>
                  </w:r>
                </w:p>
              </w:tc>
              <w:tc>
                <w:tcPr>
                  <w:tcW w:w="482" w:type="pct"/>
                  <w:tcBorders>
                    <w:tl2br w:val="nil"/>
                    <w:tr2bl w:val="nil"/>
                  </w:tcBorders>
                  <w:vAlign w:val="center"/>
                </w:tcPr>
                <w:p w14:paraId="2BE877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1</w:t>
                  </w:r>
                </w:p>
              </w:tc>
              <w:tc>
                <w:tcPr>
                  <w:tcW w:w="494" w:type="pct"/>
                  <w:tcBorders>
                    <w:tl2br w:val="nil"/>
                    <w:tr2bl w:val="nil"/>
                  </w:tcBorders>
                  <w:vAlign w:val="center"/>
                </w:tcPr>
                <w:p w14:paraId="06BE7E8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现有</w:t>
                  </w:r>
                </w:p>
              </w:tc>
            </w:tr>
            <w:tr w14:paraId="170E9E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433" w:type="pct"/>
                  <w:tcBorders>
                    <w:tl2br w:val="nil"/>
                    <w:tr2bl w:val="nil"/>
                  </w:tcBorders>
                  <w:vAlign w:val="center"/>
                </w:tcPr>
                <w:p w14:paraId="0163AE5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olor w:val="auto"/>
                      <w:lang w:val="en-US" w:eastAsia="zh-CN"/>
                    </w:rPr>
                  </w:pPr>
                  <w:r>
                    <w:rPr>
                      <w:rFonts w:hint="eastAsia" w:cs="Times New Roman"/>
                      <w:b w:val="0"/>
                      <w:bCs/>
                      <w:color w:val="auto"/>
                      <w:sz w:val="21"/>
                      <w:szCs w:val="21"/>
                      <w:highlight w:val="none"/>
                      <w:vertAlign w:val="baseline"/>
                      <w:lang w:val="en-US" w:eastAsia="zh-CN"/>
                    </w:rPr>
                    <w:t>10</w:t>
                  </w:r>
                </w:p>
              </w:tc>
              <w:tc>
                <w:tcPr>
                  <w:tcW w:w="568" w:type="pct"/>
                  <w:vMerge w:val="continue"/>
                  <w:tcBorders>
                    <w:tl2br w:val="nil"/>
                    <w:tr2bl w:val="nil"/>
                  </w:tcBorders>
                  <w:vAlign w:val="center"/>
                </w:tcPr>
                <w:p w14:paraId="470D3E4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rPr>
                  </w:pPr>
                </w:p>
              </w:tc>
              <w:tc>
                <w:tcPr>
                  <w:tcW w:w="1295" w:type="pct"/>
                  <w:tcBorders>
                    <w:tl2br w:val="nil"/>
                    <w:tr2bl w:val="nil"/>
                  </w:tcBorders>
                  <w:vAlign w:val="center"/>
                </w:tcPr>
                <w:p w14:paraId="097FC78E">
                  <w:pPr>
                    <w:keepNext w:val="0"/>
                    <w:keepLines w:val="0"/>
                    <w:pageBreakBefore w:val="0"/>
                    <w:widowControl/>
                    <w:kinsoku/>
                    <w:wordWrap/>
                    <w:overflowPunct/>
                    <w:topLinePunct w:val="0"/>
                    <w:autoSpaceDE/>
                    <w:autoSpaceDN/>
                    <w:bidi w:val="0"/>
                    <w:adjustRightInd/>
                    <w:snapToGrid/>
                    <w:spacing w:line="240" w:lineRule="auto"/>
                    <w:ind w:leftChars="0"/>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olor w:val="auto"/>
                      <w:kern w:val="0"/>
                      <w:sz w:val="21"/>
                      <w:szCs w:val="21"/>
                      <w:lang w:eastAsia="zh-CN"/>
                    </w:rPr>
                    <w:t>全自动血细胞分析仪</w:t>
                  </w:r>
                </w:p>
              </w:tc>
              <w:tc>
                <w:tcPr>
                  <w:tcW w:w="1226" w:type="pct"/>
                  <w:tcBorders>
                    <w:tl2br w:val="nil"/>
                    <w:tr2bl w:val="nil"/>
                  </w:tcBorders>
                  <w:vAlign w:val="center"/>
                </w:tcPr>
                <w:p w14:paraId="59C75183">
                  <w:pPr>
                    <w:spacing w:line="360" w:lineRule="exact"/>
                    <w:jc w:val="center"/>
                    <w:rPr>
                      <w:rFonts w:hint="eastAsia" w:ascii="Times New Roman" w:hAnsi="Times New Roman" w:eastAsia="宋体" w:cs="Times New Roman"/>
                      <w:b w:val="0"/>
                      <w:bCs/>
                      <w:color w:val="auto"/>
                      <w:sz w:val="21"/>
                      <w:szCs w:val="21"/>
                      <w:highlight w:val="none"/>
                      <w:vertAlign w:val="baseline"/>
                      <w:lang w:val="en-US" w:eastAsia="zh-CN"/>
                    </w:rPr>
                  </w:pPr>
                  <w:r>
                    <w:rPr>
                      <w:rFonts w:hint="eastAsia"/>
                      <w:color w:val="auto"/>
                      <w:szCs w:val="21"/>
                      <w:lang w:val="en-US" w:eastAsia="zh-CN"/>
                    </w:rPr>
                    <w:t>迈瑞-BC-2600vET</w:t>
                  </w:r>
                </w:p>
              </w:tc>
              <w:tc>
                <w:tcPr>
                  <w:tcW w:w="499" w:type="pct"/>
                  <w:tcBorders>
                    <w:tl2br w:val="nil"/>
                    <w:tr2bl w:val="nil"/>
                  </w:tcBorders>
                  <w:vAlign w:val="center"/>
                </w:tcPr>
                <w:p w14:paraId="0963BB6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台</w:t>
                  </w:r>
                </w:p>
              </w:tc>
              <w:tc>
                <w:tcPr>
                  <w:tcW w:w="482" w:type="pct"/>
                  <w:tcBorders>
                    <w:tl2br w:val="nil"/>
                    <w:tr2bl w:val="nil"/>
                  </w:tcBorders>
                  <w:vAlign w:val="center"/>
                </w:tcPr>
                <w:p w14:paraId="42BC0D8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1</w:t>
                  </w:r>
                </w:p>
              </w:tc>
              <w:tc>
                <w:tcPr>
                  <w:tcW w:w="494" w:type="pct"/>
                  <w:tcBorders>
                    <w:tl2br w:val="nil"/>
                    <w:tr2bl w:val="nil"/>
                  </w:tcBorders>
                  <w:vAlign w:val="center"/>
                </w:tcPr>
                <w:p w14:paraId="1CDB925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现有</w:t>
                  </w:r>
                </w:p>
              </w:tc>
            </w:tr>
            <w:tr w14:paraId="03A338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433" w:type="pct"/>
                  <w:tcBorders>
                    <w:tl2br w:val="nil"/>
                    <w:tr2bl w:val="nil"/>
                  </w:tcBorders>
                  <w:vAlign w:val="center"/>
                </w:tcPr>
                <w:p w14:paraId="5188D9D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11</w:t>
                  </w:r>
                </w:p>
              </w:tc>
              <w:tc>
                <w:tcPr>
                  <w:tcW w:w="568" w:type="pct"/>
                  <w:vMerge w:val="continue"/>
                  <w:tcBorders>
                    <w:tl2br w:val="nil"/>
                    <w:tr2bl w:val="nil"/>
                  </w:tcBorders>
                  <w:vAlign w:val="center"/>
                </w:tcPr>
                <w:p w14:paraId="7BA2A8D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rPr>
                  </w:pPr>
                </w:p>
              </w:tc>
              <w:tc>
                <w:tcPr>
                  <w:tcW w:w="1295" w:type="pct"/>
                  <w:tcBorders>
                    <w:tl2br w:val="nil"/>
                    <w:tr2bl w:val="nil"/>
                  </w:tcBorders>
                  <w:vAlign w:val="center"/>
                </w:tcPr>
                <w:p w14:paraId="79A80F74">
                  <w:pPr>
                    <w:keepNext w:val="0"/>
                    <w:keepLines w:val="0"/>
                    <w:pageBreakBefore w:val="0"/>
                    <w:widowControl/>
                    <w:kinsoku/>
                    <w:wordWrap/>
                    <w:overflowPunct/>
                    <w:topLinePunct w:val="0"/>
                    <w:autoSpaceDE/>
                    <w:autoSpaceDN/>
                    <w:bidi w:val="0"/>
                    <w:adjustRightInd/>
                    <w:snapToGrid/>
                    <w:spacing w:line="240" w:lineRule="auto"/>
                    <w:ind w:leftChars="0"/>
                    <w:jc w:val="center"/>
                    <w:textAlignment w:val="auto"/>
                    <w:rPr>
                      <w:rFonts w:hint="eastAsia" w:ascii="Times New Roman" w:hAnsi="Times New Roman" w:eastAsia="宋体"/>
                      <w:color w:val="auto"/>
                      <w:kern w:val="0"/>
                      <w:sz w:val="21"/>
                      <w:szCs w:val="21"/>
                      <w:lang w:eastAsia="zh-CN"/>
                    </w:rPr>
                  </w:pPr>
                  <w:r>
                    <w:rPr>
                      <w:rFonts w:hint="eastAsia" w:ascii="Times New Roman" w:hAnsi="Times New Roman" w:eastAsia="宋体"/>
                      <w:color w:val="auto"/>
                      <w:kern w:val="0"/>
                      <w:sz w:val="21"/>
                      <w:szCs w:val="21"/>
                      <w:lang w:eastAsia="zh-CN"/>
                    </w:rPr>
                    <w:t>荧光免疫分析仪</w:t>
                  </w:r>
                </w:p>
              </w:tc>
              <w:tc>
                <w:tcPr>
                  <w:tcW w:w="1226" w:type="pct"/>
                  <w:tcBorders>
                    <w:tl2br w:val="nil"/>
                    <w:tr2bl w:val="nil"/>
                  </w:tcBorders>
                  <w:vAlign w:val="center"/>
                </w:tcPr>
                <w:p w14:paraId="34ED25EF">
                  <w:pPr>
                    <w:spacing w:line="360" w:lineRule="exact"/>
                    <w:jc w:val="center"/>
                    <w:rPr>
                      <w:rFonts w:hint="default"/>
                      <w:color w:val="auto"/>
                      <w:szCs w:val="21"/>
                      <w:lang w:val="en-US" w:eastAsia="zh-CN"/>
                    </w:rPr>
                  </w:pPr>
                  <w:r>
                    <w:rPr>
                      <w:rFonts w:hint="eastAsia"/>
                      <w:color w:val="auto"/>
                      <w:szCs w:val="21"/>
                      <w:lang w:val="en-US" w:eastAsia="zh-CN"/>
                    </w:rPr>
                    <w:t>/</w:t>
                  </w:r>
                </w:p>
              </w:tc>
              <w:tc>
                <w:tcPr>
                  <w:tcW w:w="499" w:type="pct"/>
                  <w:tcBorders>
                    <w:tl2br w:val="nil"/>
                    <w:tr2bl w:val="nil"/>
                  </w:tcBorders>
                  <w:vAlign w:val="center"/>
                </w:tcPr>
                <w:p w14:paraId="1DDB7C2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台</w:t>
                  </w:r>
                </w:p>
              </w:tc>
              <w:tc>
                <w:tcPr>
                  <w:tcW w:w="482" w:type="pct"/>
                  <w:tcBorders>
                    <w:tl2br w:val="nil"/>
                    <w:tr2bl w:val="nil"/>
                  </w:tcBorders>
                  <w:vAlign w:val="center"/>
                </w:tcPr>
                <w:p w14:paraId="401FFC7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1</w:t>
                  </w:r>
                </w:p>
              </w:tc>
              <w:tc>
                <w:tcPr>
                  <w:tcW w:w="494" w:type="pct"/>
                  <w:tcBorders>
                    <w:tl2br w:val="nil"/>
                    <w:tr2bl w:val="nil"/>
                  </w:tcBorders>
                  <w:vAlign w:val="center"/>
                </w:tcPr>
                <w:p w14:paraId="00DADA9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现有</w:t>
                  </w:r>
                </w:p>
              </w:tc>
            </w:tr>
            <w:tr w14:paraId="2835AC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 w:hRule="atLeast"/>
              </w:trPr>
              <w:tc>
                <w:tcPr>
                  <w:tcW w:w="433" w:type="pct"/>
                  <w:tcBorders>
                    <w:tl2br w:val="nil"/>
                    <w:tr2bl w:val="nil"/>
                  </w:tcBorders>
                  <w:vAlign w:val="center"/>
                </w:tcPr>
                <w:p w14:paraId="2284050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12</w:t>
                  </w:r>
                </w:p>
              </w:tc>
              <w:tc>
                <w:tcPr>
                  <w:tcW w:w="568" w:type="pct"/>
                  <w:vMerge w:val="restart"/>
                  <w:tcBorders>
                    <w:tl2br w:val="nil"/>
                    <w:tr2bl w:val="nil"/>
                  </w:tcBorders>
                  <w:vAlign w:val="center"/>
                </w:tcPr>
                <w:p w14:paraId="7A447CA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手术室</w:t>
                  </w:r>
                </w:p>
              </w:tc>
              <w:tc>
                <w:tcPr>
                  <w:tcW w:w="1295" w:type="pct"/>
                  <w:tcBorders>
                    <w:tl2br w:val="nil"/>
                    <w:tr2bl w:val="nil"/>
                  </w:tcBorders>
                  <w:vAlign w:val="center"/>
                </w:tcPr>
                <w:p w14:paraId="08491EC2">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olor w:val="auto"/>
                      <w:kern w:val="0"/>
                      <w:sz w:val="21"/>
                      <w:szCs w:val="21"/>
                      <w:lang w:eastAsia="zh-CN"/>
                    </w:rPr>
                    <w:t>多参数监护仪</w:t>
                  </w:r>
                </w:p>
              </w:tc>
              <w:tc>
                <w:tcPr>
                  <w:tcW w:w="1226" w:type="pct"/>
                  <w:tcBorders>
                    <w:tl2br w:val="nil"/>
                    <w:tr2bl w:val="nil"/>
                  </w:tcBorders>
                  <w:vAlign w:val="center"/>
                </w:tcPr>
                <w:p w14:paraId="48E21833">
                  <w:pPr>
                    <w:spacing w:line="360" w:lineRule="exact"/>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w:t>
                  </w:r>
                </w:p>
              </w:tc>
              <w:tc>
                <w:tcPr>
                  <w:tcW w:w="499" w:type="pct"/>
                  <w:tcBorders>
                    <w:tl2br w:val="nil"/>
                    <w:tr2bl w:val="nil"/>
                  </w:tcBorders>
                  <w:vAlign w:val="center"/>
                </w:tcPr>
                <w:p w14:paraId="24598FA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台</w:t>
                  </w:r>
                </w:p>
              </w:tc>
              <w:tc>
                <w:tcPr>
                  <w:tcW w:w="482" w:type="pct"/>
                  <w:tcBorders>
                    <w:tl2br w:val="nil"/>
                    <w:tr2bl w:val="nil"/>
                  </w:tcBorders>
                  <w:vAlign w:val="center"/>
                </w:tcPr>
                <w:p w14:paraId="0A5AF09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1</w:t>
                  </w:r>
                </w:p>
              </w:tc>
              <w:tc>
                <w:tcPr>
                  <w:tcW w:w="494" w:type="pct"/>
                  <w:tcBorders>
                    <w:tl2br w:val="nil"/>
                    <w:tr2bl w:val="nil"/>
                  </w:tcBorders>
                  <w:vAlign w:val="center"/>
                </w:tcPr>
                <w:p w14:paraId="7EC79B5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新增</w:t>
                  </w:r>
                </w:p>
              </w:tc>
            </w:tr>
            <w:tr w14:paraId="526567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 w:hRule="atLeast"/>
              </w:trPr>
              <w:tc>
                <w:tcPr>
                  <w:tcW w:w="433" w:type="pct"/>
                  <w:tcBorders>
                    <w:tl2br w:val="nil"/>
                    <w:tr2bl w:val="nil"/>
                  </w:tcBorders>
                  <w:vAlign w:val="center"/>
                </w:tcPr>
                <w:p w14:paraId="42F577D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13</w:t>
                  </w:r>
                </w:p>
              </w:tc>
              <w:tc>
                <w:tcPr>
                  <w:tcW w:w="568" w:type="pct"/>
                  <w:vMerge w:val="continue"/>
                  <w:tcBorders>
                    <w:tl2br w:val="nil"/>
                    <w:tr2bl w:val="nil"/>
                  </w:tcBorders>
                  <w:vAlign w:val="center"/>
                </w:tcPr>
                <w:p w14:paraId="6B88000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color w:val="auto"/>
                      <w:sz w:val="21"/>
                      <w:szCs w:val="21"/>
                      <w:highlight w:val="none"/>
                      <w:vertAlign w:val="baseline"/>
                      <w:lang w:val="en-US" w:eastAsia="zh-CN"/>
                    </w:rPr>
                  </w:pPr>
                </w:p>
              </w:tc>
              <w:tc>
                <w:tcPr>
                  <w:tcW w:w="1295" w:type="pct"/>
                  <w:tcBorders>
                    <w:tl2br w:val="nil"/>
                    <w:tr2bl w:val="nil"/>
                  </w:tcBorders>
                  <w:vAlign w:val="center"/>
                </w:tcPr>
                <w:p w14:paraId="2657F367">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color w:val="auto"/>
                      <w:kern w:val="0"/>
                      <w:sz w:val="21"/>
                      <w:szCs w:val="21"/>
                      <w:lang w:val="en-US" w:eastAsia="zh-CN"/>
                    </w:rPr>
                    <w:t>兽用</w:t>
                  </w:r>
                  <w:r>
                    <w:rPr>
                      <w:rFonts w:hint="eastAsia" w:ascii="Times New Roman" w:hAnsi="Times New Roman" w:eastAsia="宋体"/>
                      <w:color w:val="auto"/>
                      <w:kern w:val="0"/>
                      <w:sz w:val="21"/>
                      <w:szCs w:val="21"/>
                      <w:lang w:eastAsia="zh-CN"/>
                    </w:rPr>
                    <w:t>麻醉机</w:t>
                  </w:r>
                </w:p>
              </w:tc>
              <w:tc>
                <w:tcPr>
                  <w:tcW w:w="1226" w:type="pct"/>
                  <w:tcBorders>
                    <w:tl2br w:val="nil"/>
                    <w:tr2bl w:val="nil"/>
                  </w:tcBorders>
                  <w:vAlign w:val="center"/>
                </w:tcPr>
                <w:p w14:paraId="278D8E8F">
                  <w:pPr>
                    <w:spacing w:line="360" w:lineRule="exact"/>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color w:val="auto"/>
                      <w:szCs w:val="21"/>
                      <w:lang w:val="en-US" w:eastAsia="zh-CN"/>
                    </w:rPr>
                    <w:t>迈瑞-Veta 5</w:t>
                  </w:r>
                </w:p>
              </w:tc>
              <w:tc>
                <w:tcPr>
                  <w:tcW w:w="499" w:type="pct"/>
                  <w:tcBorders>
                    <w:tl2br w:val="nil"/>
                    <w:tr2bl w:val="nil"/>
                  </w:tcBorders>
                  <w:vAlign w:val="center"/>
                </w:tcPr>
                <w:p w14:paraId="29D853C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台</w:t>
                  </w:r>
                </w:p>
              </w:tc>
              <w:tc>
                <w:tcPr>
                  <w:tcW w:w="482" w:type="pct"/>
                  <w:tcBorders>
                    <w:tl2br w:val="nil"/>
                    <w:tr2bl w:val="nil"/>
                  </w:tcBorders>
                  <w:vAlign w:val="center"/>
                </w:tcPr>
                <w:p w14:paraId="7F91D3C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1</w:t>
                  </w:r>
                </w:p>
              </w:tc>
              <w:tc>
                <w:tcPr>
                  <w:tcW w:w="494" w:type="pct"/>
                  <w:tcBorders>
                    <w:tl2br w:val="nil"/>
                    <w:tr2bl w:val="nil"/>
                  </w:tcBorders>
                  <w:vAlign w:val="center"/>
                </w:tcPr>
                <w:p w14:paraId="0F726C0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新增</w:t>
                  </w:r>
                </w:p>
              </w:tc>
            </w:tr>
            <w:tr w14:paraId="3B4904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 w:hRule="atLeast"/>
              </w:trPr>
              <w:tc>
                <w:tcPr>
                  <w:tcW w:w="433" w:type="pct"/>
                  <w:tcBorders>
                    <w:tl2br w:val="nil"/>
                    <w:tr2bl w:val="nil"/>
                  </w:tcBorders>
                  <w:vAlign w:val="center"/>
                </w:tcPr>
                <w:p w14:paraId="17FB778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14</w:t>
                  </w:r>
                </w:p>
              </w:tc>
              <w:tc>
                <w:tcPr>
                  <w:tcW w:w="568" w:type="pct"/>
                  <w:vMerge w:val="continue"/>
                  <w:tcBorders>
                    <w:tl2br w:val="nil"/>
                    <w:tr2bl w:val="nil"/>
                  </w:tcBorders>
                  <w:vAlign w:val="center"/>
                </w:tcPr>
                <w:p w14:paraId="579F017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p>
              </w:tc>
              <w:tc>
                <w:tcPr>
                  <w:tcW w:w="1295" w:type="pct"/>
                  <w:tcBorders>
                    <w:tl2br w:val="nil"/>
                    <w:tr2bl w:val="nil"/>
                  </w:tcBorders>
                  <w:vAlign w:val="center"/>
                </w:tcPr>
                <w:p w14:paraId="6483EFA9">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olor w:val="auto"/>
                      <w:kern w:val="0"/>
                      <w:sz w:val="21"/>
                      <w:szCs w:val="21"/>
                      <w:lang w:eastAsia="zh-CN"/>
                    </w:rPr>
                    <w:t>无影灯</w:t>
                  </w:r>
                </w:p>
              </w:tc>
              <w:tc>
                <w:tcPr>
                  <w:tcW w:w="1226" w:type="pct"/>
                  <w:tcBorders>
                    <w:tl2br w:val="nil"/>
                    <w:tr2bl w:val="nil"/>
                  </w:tcBorders>
                  <w:vAlign w:val="center"/>
                </w:tcPr>
                <w:p w14:paraId="693B1CA4">
                  <w:pPr>
                    <w:spacing w:line="360" w:lineRule="exact"/>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w:t>
                  </w:r>
                </w:p>
              </w:tc>
              <w:tc>
                <w:tcPr>
                  <w:tcW w:w="499" w:type="pct"/>
                  <w:tcBorders>
                    <w:tl2br w:val="nil"/>
                    <w:tr2bl w:val="nil"/>
                  </w:tcBorders>
                  <w:vAlign w:val="center"/>
                </w:tcPr>
                <w:p w14:paraId="23BC1E3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台</w:t>
                  </w:r>
                </w:p>
              </w:tc>
              <w:tc>
                <w:tcPr>
                  <w:tcW w:w="482" w:type="pct"/>
                  <w:tcBorders>
                    <w:tl2br w:val="nil"/>
                    <w:tr2bl w:val="nil"/>
                  </w:tcBorders>
                  <w:vAlign w:val="center"/>
                </w:tcPr>
                <w:p w14:paraId="4CA9D62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1</w:t>
                  </w:r>
                </w:p>
              </w:tc>
              <w:tc>
                <w:tcPr>
                  <w:tcW w:w="494" w:type="pct"/>
                  <w:tcBorders>
                    <w:tl2br w:val="nil"/>
                    <w:tr2bl w:val="nil"/>
                  </w:tcBorders>
                  <w:vAlign w:val="center"/>
                </w:tcPr>
                <w:p w14:paraId="525B678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现有</w:t>
                  </w:r>
                </w:p>
              </w:tc>
            </w:tr>
            <w:tr w14:paraId="1A124A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433" w:type="pct"/>
                  <w:tcBorders>
                    <w:tl2br w:val="nil"/>
                    <w:tr2bl w:val="nil"/>
                  </w:tcBorders>
                  <w:vAlign w:val="center"/>
                </w:tcPr>
                <w:p w14:paraId="2091647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15</w:t>
                  </w:r>
                </w:p>
              </w:tc>
              <w:tc>
                <w:tcPr>
                  <w:tcW w:w="568" w:type="pct"/>
                  <w:vMerge w:val="continue"/>
                  <w:tcBorders>
                    <w:tl2br w:val="nil"/>
                    <w:tr2bl w:val="nil"/>
                  </w:tcBorders>
                  <w:vAlign w:val="center"/>
                </w:tcPr>
                <w:p w14:paraId="5DC2A70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p>
              </w:tc>
              <w:tc>
                <w:tcPr>
                  <w:tcW w:w="1295" w:type="pct"/>
                  <w:tcBorders>
                    <w:tl2br w:val="nil"/>
                    <w:tr2bl w:val="nil"/>
                  </w:tcBorders>
                  <w:vAlign w:val="center"/>
                </w:tcPr>
                <w:p w14:paraId="1AF68E91">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olor w:val="auto"/>
                      <w:kern w:val="0"/>
                      <w:sz w:val="21"/>
                      <w:szCs w:val="21"/>
                      <w:lang w:eastAsia="zh-CN"/>
                    </w:rPr>
                    <w:t>手提式压力蒸汽灭菌器</w:t>
                  </w:r>
                </w:p>
              </w:tc>
              <w:tc>
                <w:tcPr>
                  <w:tcW w:w="1226" w:type="pct"/>
                  <w:tcBorders>
                    <w:tl2br w:val="nil"/>
                    <w:tr2bl w:val="nil"/>
                  </w:tcBorders>
                  <w:vAlign w:val="center"/>
                </w:tcPr>
                <w:p w14:paraId="37899216">
                  <w:pPr>
                    <w:spacing w:line="360" w:lineRule="exact"/>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color w:val="auto"/>
                      <w:szCs w:val="21"/>
                      <w:lang w:val="en-US" w:eastAsia="zh-CN"/>
                    </w:rPr>
                    <w:t>24L双阀</w:t>
                  </w:r>
                </w:p>
              </w:tc>
              <w:tc>
                <w:tcPr>
                  <w:tcW w:w="499" w:type="pct"/>
                  <w:tcBorders>
                    <w:tl2br w:val="nil"/>
                    <w:tr2bl w:val="nil"/>
                  </w:tcBorders>
                  <w:vAlign w:val="center"/>
                </w:tcPr>
                <w:p w14:paraId="0377D13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台</w:t>
                  </w:r>
                </w:p>
              </w:tc>
              <w:tc>
                <w:tcPr>
                  <w:tcW w:w="482" w:type="pct"/>
                  <w:tcBorders>
                    <w:tl2br w:val="nil"/>
                    <w:tr2bl w:val="nil"/>
                  </w:tcBorders>
                  <w:vAlign w:val="center"/>
                </w:tcPr>
                <w:p w14:paraId="4264EA3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1</w:t>
                  </w:r>
                </w:p>
              </w:tc>
              <w:tc>
                <w:tcPr>
                  <w:tcW w:w="494" w:type="pct"/>
                  <w:tcBorders>
                    <w:tl2br w:val="nil"/>
                    <w:tr2bl w:val="nil"/>
                  </w:tcBorders>
                  <w:vAlign w:val="center"/>
                </w:tcPr>
                <w:p w14:paraId="0AEC2F5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现有</w:t>
                  </w:r>
                </w:p>
              </w:tc>
            </w:tr>
            <w:tr w14:paraId="33CD08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8" w:hRule="atLeast"/>
              </w:trPr>
              <w:tc>
                <w:tcPr>
                  <w:tcW w:w="433" w:type="pct"/>
                  <w:tcBorders>
                    <w:tl2br w:val="nil"/>
                    <w:tr2bl w:val="nil"/>
                  </w:tcBorders>
                  <w:vAlign w:val="center"/>
                </w:tcPr>
                <w:p w14:paraId="1DB20F0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16</w:t>
                  </w:r>
                </w:p>
              </w:tc>
              <w:tc>
                <w:tcPr>
                  <w:tcW w:w="568" w:type="pct"/>
                  <w:vMerge w:val="continue"/>
                  <w:tcBorders>
                    <w:tl2br w:val="nil"/>
                    <w:tr2bl w:val="nil"/>
                  </w:tcBorders>
                  <w:vAlign w:val="center"/>
                </w:tcPr>
                <w:p w14:paraId="645DCFD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p>
              </w:tc>
              <w:tc>
                <w:tcPr>
                  <w:tcW w:w="1295" w:type="pct"/>
                  <w:tcBorders>
                    <w:tl2br w:val="nil"/>
                    <w:tr2bl w:val="nil"/>
                  </w:tcBorders>
                  <w:vAlign w:val="center"/>
                </w:tcPr>
                <w:p w14:paraId="55E59F1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超声刀</w:t>
                  </w:r>
                </w:p>
              </w:tc>
              <w:tc>
                <w:tcPr>
                  <w:tcW w:w="1226" w:type="pct"/>
                  <w:tcBorders>
                    <w:tl2br w:val="nil"/>
                    <w:tr2bl w:val="nil"/>
                  </w:tcBorders>
                  <w:vAlign w:val="center"/>
                </w:tcPr>
                <w:p w14:paraId="697F220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w:t>
                  </w:r>
                </w:p>
              </w:tc>
              <w:tc>
                <w:tcPr>
                  <w:tcW w:w="499" w:type="pct"/>
                  <w:tcBorders>
                    <w:tl2br w:val="nil"/>
                    <w:tr2bl w:val="nil"/>
                  </w:tcBorders>
                  <w:vAlign w:val="center"/>
                </w:tcPr>
                <w:p w14:paraId="6D21DEB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台</w:t>
                  </w:r>
                </w:p>
              </w:tc>
              <w:tc>
                <w:tcPr>
                  <w:tcW w:w="482" w:type="pct"/>
                  <w:tcBorders>
                    <w:tl2br w:val="nil"/>
                    <w:tr2bl w:val="nil"/>
                  </w:tcBorders>
                  <w:vAlign w:val="center"/>
                </w:tcPr>
                <w:p w14:paraId="1AEC8D9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1</w:t>
                  </w:r>
                </w:p>
              </w:tc>
              <w:tc>
                <w:tcPr>
                  <w:tcW w:w="494" w:type="pct"/>
                  <w:tcBorders>
                    <w:tl2br w:val="nil"/>
                    <w:tr2bl w:val="nil"/>
                  </w:tcBorders>
                  <w:vAlign w:val="center"/>
                </w:tcPr>
                <w:p w14:paraId="4A25A3C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现有</w:t>
                  </w:r>
                </w:p>
              </w:tc>
            </w:tr>
            <w:tr w14:paraId="5E08D7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8" w:hRule="atLeast"/>
              </w:trPr>
              <w:tc>
                <w:tcPr>
                  <w:tcW w:w="433" w:type="pct"/>
                  <w:tcBorders>
                    <w:tl2br w:val="nil"/>
                    <w:tr2bl w:val="nil"/>
                  </w:tcBorders>
                  <w:vAlign w:val="center"/>
                </w:tcPr>
                <w:p w14:paraId="5CBC40E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lang w:val="en-US" w:eastAsia="zh-CN"/>
                    </w:rPr>
                  </w:pPr>
                  <w:r>
                    <w:rPr>
                      <w:rFonts w:hint="eastAsia"/>
                      <w:color w:val="auto"/>
                      <w:lang w:val="en-US" w:eastAsia="zh-CN"/>
                    </w:rPr>
                    <w:t>17</w:t>
                  </w:r>
                </w:p>
              </w:tc>
              <w:tc>
                <w:tcPr>
                  <w:tcW w:w="568" w:type="pct"/>
                  <w:vMerge w:val="continue"/>
                  <w:tcBorders>
                    <w:tl2br w:val="nil"/>
                    <w:tr2bl w:val="nil"/>
                  </w:tcBorders>
                  <w:vAlign w:val="center"/>
                </w:tcPr>
                <w:p w14:paraId="3E78485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rPr>
                  </w:pPr>
                </w:p>
              </w:tc>
              <w:tc>
                <w:tcPr>
                  <w:tcW w:w="1295" w:type="pct"/>
                  <w:tcBorders>
                    <w:tl2br w:val="nil"/>
                    <w:tr2bl w:val="nil"/>
                  </w:tcBorders>
                  <w:vAlign w:val="center"/>
                </w:tcPr>
                <w:p w14:paraId="6D375E6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手术台</w:t>
                  </w:r>
                </w:p>
              </w:tc>
              <w:tc>
                <w:tcPr>
                  <w:tcW w:w="1226" w:type="pct"/>
                  <w:tcBorders>
                    <w:tl2br w:val="nil"/>
                    <w:tr2bl w:val="nil"/>
                  </w:tcBorders>
                  <w:vAlign w:val="center"/>
                </w:tcPr>
                <w:p w14:paraId="359EC2E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w:t>
                  </w:r>
                </w:p>
              </w:tc>
              <w:tc>
                <w:tcPr>
                  <w:tcW w:w="499" w:type="pct"/>
                  <w:tcBorders>
                    <w:tl2br w:val="nil"/>
                    <w:tr2bl w:val="nil"/>
                  </w:tcBorders>
                  <w:vAlign w:val="center"/>
                </w:tcPr>
                <w:p w14:paraId="7832FEB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台</w:t>
                  </w:r>
                </w:p>
              </w:tc>
              <w:tc>
                <w:tcPr>
                  <w:tcW w:w="482" w:type="pct"/>
                  <w:tcBorders>
                    <w:tl2br w:val="nil"/>
                    <w:tr2bl w:val="nil"/>
                  </w:tcBorders>
                  <w:vAlign w:val="center"/>
                </w:tcPr>
                <w:p w14:paraId="09D59A8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1</w:t>
                  </w:r>
                </w:p>
              </w:tc>
              <w:tc>
                <w:tcPr>
                  <w:tcW w:w="494" w:type="pct"/>
                  <w:tcBorders>
                    <w:tl2br w:val="nil"/>
                    <w:tr2bl w:val="nil"/>
                  </w:tcBorders>
                  <w:vAlign w:val="center"/>
                </w:tcPr>
                <w:p w14:paraId="069C65C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现有</w:t>
                  </w:r>
                </w:p>
              </w:tc>
            </w:tr>
            <w:tr w14:paraId="6B7DB4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433" w:type="pct"/>
                  <w:tcBorders>
                    <w:tl2br w:val="nil"/>
                    <w:tr2bl w:val="nil"/>
                  </w:tcBorders>
                  <w:vAlign w:val="center"/>
                </w:tcPr>
                <w:p w14:paraId="3D27D8F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18</w:t>
                  </w:r>
                </w:p>
              </w:tc>
              <w:tc>
                <w:tcPr>
                  <w:tcW w:w="568" w:type="pct"/>
                  <w:vMerge w:val="restart"/>
                  <w:tcBorders>
                    <w:tl2br w:val="nil"/>
                    <w:tr2bl w:val="nil"/>
                  </w:tcBorders>
                  <w:vAlign w:val="center"/>
                </w:tcPr>
                <w:p w14:paraId="087F342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美容室</w:t>
                  </w:r>
                </w:p>
              </w:tc>
              <w:tc>
                <w:tcPr>
                  <w:tcW w:w="1295" w:type="pct"/>
                  <w:tcBorders>
                    <w:tl2br w:val="nil"/>
                    <w:tr2bl w:val="nil"/>
                  </w:tcBorders>
                  <w:vAlign w:val="center"/>
                </w:tcPr>
                <w:p w14:paraId="72B07619">
                  <w:pPr>
                    <w:pStyle w:val="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color w:val="auto"/>
                      <w:kern w:val="2"/>
                      <w:sz w:val="21"/>
                      <w:szCs w:val="21"/>
                      <w:highlight w:val="none"/>
                      <w:lang w:val="en-US" w:eastAsia="zh-CN" w:bidi="ar-SA"/>
                    </w:rPr>
                    <w:t>洗浴池</w:t>
                  </w:r>
                </w:p>
              </w:tc>
              <w:tc>
                <w:tcPr>
                  <w:tcW w:w="1226" w:type="pct"/>
                  <w:tcBorders>
                    <w:tl2br w:val="nil"/>
                    <w:tr2bl w:val="nil"/>
                  </w:tcBorders>
                  <w:vAlign w:val="center"/>
                </w:tcPr>
                <w:p w14:paraId="5A28AF02">
                  <w:pPr>
                    <w:spacing w:line="360" w:lineRule="exact"/>
                    <w:jc w:val="center"/>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w:t>
                  </w:r>
                </w:p>
              </w:tc>
              <w:tc>
                <w:tcPr>
                  <w:tcW w:w="499" w:type="pct"/>
                  <w:tcBorders>
                    <w:tl2br w:val="nil"/>
                    <w:tr2bl w:val="nil"/>
                  </w:tcBorders>
                  <w:vAlign w:val="center"/>
                </w:tcPr>
                <w:p w14:paraId="0FC3B7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台</w:t>
                  </w:r>
                </w:p>
              </w:tc>
              <w:tc>
                <w:tcPr>
                  <w:tcW w:w="482" w:type="pct"/>
                  <w:tcBorders>
                    <w:tl2br w:val="nil"/>
                    <w:tr2bl w:val="nil"/>
                  </w:tcBorders>
                  <w:vAlign w:val="center"/>
                </w:tcPr>
                <w:p w14:paraId="7578CF0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1</w:t>
                  </w:r>
                </w:p>
              </w:tc>
              <w:tc>
                <w:tcPr>
                  <w:tcW w:w="494" w:type="pct"/>
                  <w:tcBorders>
                    <w:tl2br w:val="nil"/>
                    <w:tr2bl w:val="nil"/>
                  </w:tcBorders>
                  <w:vAlign w:val="center"/>
                </w:tcPr>
                <w:p w14:paraId="07476FC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现有</w:t>
                  </w:r>
                </w:p>
              </w:tc>
            </w:tr>
            <w:tr w14:paraId="6C8A54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433" w:type="pct"/>
                  <w:tcBorders>
                    <w:tl2br w:val="nil"/>
                    <w:tr2bl w:val="nil"/>
                  </w:tcBorders>
                  <w:vAlign w:val="center"/>
                </w:tcPr>
                <w:p w14:paraId="49680F8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19</w:t>
                  </w:r>
                </w:p>
              </w:tc>
              <w:tc>
                <w:tcPr>
                  <w:tcW w:w="568" w:type="pct"/>
                  <w:vMerge w:val="continue"/>
                  <w:tcBorders>
                    <w:tl2br w:val="nil"/>
                    <w:tr2bl w:val="nil"/>
                  </w:tcBorders>
                  <w:vAlign w:val="center"/>
                </w:tcPr>
                <w:p w14:paraId="1C3D01B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color w:val="auto"/>
                      <w:sz w:val="21"/>
                      <w:szCs w:val="21"/>
                      <w:highlight w:val="none"/>
                      <w:vertAlign w:val="baseline"/>
                      <w:lang w:val="en-US" w:eastAsia="zh-CN"/>
                    </w:rPr>
                  </w:pPr>
                </w:p>
              </w:tc>
              <w:tc>
                <w:tcPr>
                  <w:tcW w:w="1295" w:type="pct"/>
                  <w:tcBorders>
                    <w:tl2br w:val="nil"/>
                    <w:tr2bl w:val="nil"/>
                  </w:tcBorders>
                  <w:vAlign w:val="center"/>
                </w:tcPr>
                <w:p w14:paraId="69DC0842">
                  <w:pPr>
                    <w:pStyle w:val="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Cs w:val="21"/>
                      <w:lang w:val="en-US" w:eastAsia="zh-CN"/>
                    </w:rPr>
                  </w:pPr>
                  <w:r>
                    <w:rPr>
                      <w:rFonts w:hint="eastAsia" w:ascii="Times New Roman" w:hAnsi="Times New Roman" w:eastAsia="宋体" w:cs="Times New Roman"/>
                      <w:color w:val="auto"/>
                      <w:kern w:val="2"/>
                      <w:sz w:val="21"/>
                      <w:szCs w:val="21"/>
                      <w:highlight w:val="none"/>
                      <w:lang w:val="en-US" w:eastAsia="zh-CN" w:bidi="ar-SA"/>
                    </w:rPr>
                    <w:t>宠物烘干机</w:t>
                  </w:r>
                </w:p>
              </w:tc>
              <w:tc>
                <w:tcPr>
                  <w:tcW w:w="1226" w:type="pct"/>
                  <w:tcBorders>
                    <w:tl2br w:val="nil"/>
                    <w:tr2bl w:val="nil"/>
                  </w:tcBorders>
                  <w:vAlign w:val="center"/>
                </w:tcPr>
                <w:p w14:paraId="209F733D">
                  <w:pPr>
                    <w:spacing w:line="360" w:lineRule="exact"/>
                    <w:jc w:val="center"/>
                    <w:rPr>
                      <w:rFonts w:hint="eastAsia"/>
                      <w:color w:val="auto"/>
                      <w:szCs w:val="21"/>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w:t>
                  </w:r>
                </w:p>
              </w:tc>
              <w:tc>
                <w:tcPr>
                  <w:tcW w:w="499" w:type="pct"/>
                  <w:tcBorders>
                    <w:tl2br w:val="nil"/>
                    <w:tr2bl w:val="nil"/>
                  </w:tcBorders>
                  <w:vAlign w:val="center"/>
                </w:tcPr>
                <w:p w14:paraId="4081104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台</w:t>
                  </w:r>
                </w:p>
              </w:tc>
              <w:tc>
                <w:tcPr>
                  <w:tcW w:w="482" w:type="pct"/>
                  <w:tcBorders>
                    <w:tl2br w:val="nil"/>
                    <w:tr2bl w:val="nil"/>
                  </w:tcBorders>
                  <w:vAlign w:val="center"/>
                </w:tcPr>
                <w:p w14:paraId="31E369E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1</w:t>
                  </w:r>
                </w:p>
              </w:tc>
              <w:tc>
                <w:tcPr>
                  <w:tcW w:w="494" w:type="pct"/>
                  <w:tcBorders>
                    <w:tl2br w:val="nil"/>
                    <w:tr2bl w:val="nil"/>
                  </w:tcBorders>
                  <w:vAlign w:val="center"/>
                </w:tcPr>
                <w:p w14:paraId="2B7FF4E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现有</w:t>
                  </w:r>
                </w:p>
              </w:tc>
            </w:tr>
            <w:tr w14:paraId="472B43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433" w:type="pct"/>
                  <w:tcBorders>
                    <w:tl2br w:val="nil"/>
                    <w:tr2bl w:val="nil"/>
                  </w:tcBorders>
                  <w:vAlign w:val="center"/>
                </w:tcPr>
                <w:p w14:paraId="503BE79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20</w:t>
                  </w:r>
                </w:p>
              </w:tc>
              <w:tc>
                <w:tcPr>
                  <w:tcW w:w="568" w:type="pct"/>
                  <w:vMerge w:val="continue"/>
                  <w:tcBorders>
                    <w:tl2br w:val="nil"/>
                    <w:tr2bl w:val="nil"/>
                  </w:tcBorders>
                  <w:vAlign w:val="center"/>
                </w:tcPr>
                <w:p w14:paraId="398921E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color w:val="auto"/>
                      <w:sz w:val="21"/>
                      <w:szCs w:val="21"/>
                      <w:highlight w:val="none"/>
                      <w:vertAlign w:val="baseline"/>
                      <w:lang w:val="en-US" w:eastAsia="zh-CN"/>
                    </w:rPr>
                  </w:pPr>
                </w:p>
              </w:tc>
              <w:tc>
                <w:tcPr>
                  <w:tcW w:w="1295" w:type="pct"/>
                  <w:tcBorders>
                    <w:tl2br w:val="nil"/>
                    <w:tr2bl w:val="nil"/>
                  </w:tcBorders>
                  <w:vAlign w:val="center"/>
                </w:tcPr>
                <w:p w14:paraId="63AA41B1">
                  <w:pPr>
                    <w:pStyle w:val="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color w:val="auto"/>
                      <w:kern w:val="2"/>
                      <w:sz w:val="21"/>
                      <w:szCs w:val="21"/>
                      <w:highlight w:val="none"/>
                      <w:lang w:val="en-US" w:eastAsia="zh-CN" w:bidi="ar-SA"/>
                    </w:rPr>
                    <w:t>热水器</w:t>
                  </w:r>
                </w:p>
              </w:tc>
              <w:tc>
                <w:tcPr>
                  <w:tcW w:w="1226" w:type="pct"/>
                  <w:tcBorders>
                    <w:tl2br w:val="nil"/>
                    <w:tr2bl w:val="nil"/>
                  </w:tcBorders>
                  <w:vAlign w:val="center"/>
                </w:tcPr>
                <w:p w14:paraId="029B67B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w:t>
                  </w:r>
                </w:p>
              </w:tc>
              <w:tc>
                <w:tcPr>
                  <w:tcW w:w="499" w:type="pct"/>
                  <w:tcBorders>
                    <w:tl2br w:val="nil"/>
                    <w:tr2bl w:val="nil"/>
                  </w:tcBorders>
                  <w:vAlign w:val="center"/>
                </w:tcPr>
                <w:p w14:paraId="49CF62B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台</w:t>
                  </w:r>
                </w:p>
              </w:tc>
              <w:tc>
                <w:tcPr>
                  <w:tcW w:w="482" w:type="pct"/>
                  <w:tcBorders>
                    <w:tl2br w:val="nil"/>
                    <w:tr2bl w:val="nil"/>
                  </w:tcBorders>
                  <w:vAlign w:val="center"/>
                </w:tcPr>
                <w:p w14:paraId="5589A84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1</w:t>
                  </w:r>
                </w:p>
              </w:tc>
              <w:tc>
                <w:tcPr>
                  <w:tcW w:w="494" w:type="pct"/>
                  <w:tcBorders>
                    <w:tl2br w:val="nil"/>
                    <w:tr2bl w:val="nil"/>
                  </w:tcBorders>
                  <w:vAlign w:val="center"/>
                </w:tcPr>
                <w:p w14:paraId="0164DE8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现有</w:t>
                  </w:r>
                </w:p>
              </w:tc>
            </w:tr>
            <w:tr w14:paraId="0B28CF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433" w:type="pct"/>
                  <w:tcBorders>
                    <w:tl2br w:val="nil"/>
                    <w:tr2bl w:val="nil"/>
                  </w:tcBorders>
                  <w:vAlign w:val="center"/>
                </w:tcPr>
                <w:p w14:paraId="174D850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21</w:t>
                  </w:r>
                </w:p>
              </w:tc>
              <w:tc>
                <w:tcPr>
                  <w:tcW w:w="568" w:type="pct"/>
                  <w:tcBorders>
                    <w:tl2br w:val="nil"/>
                    <w:tr2bl w:val="nil"/>
                  </w:tcBorders>
                  <w:vAlign w:val="center"/>
                </w:tcPr>
                <w:p w14:paraId="07F8749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废水处理设施</w:t>
                  </w:r>
                </w:p>
              </w:tc>
              <w:tc>
                <w:tcPr>
                  <w:tcW w:w="1295" w:type="pct"/>
                  <w:tcBorders>
                    <w:tl2br w:val="nil"/>
                    <w:tr2bl w:val="nil"/>
                  </w:tcBorders>
                  <w:vAlign w:val="center"/>
                </w:tcPr>
                <w:p w14:paraId="395E1D1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消毒箱</w:t>
                  </w:r>
                </w:p>
              </w:tc>
              <w:tc>
                <w:tcPr>
                  <w:tcW w:w="1226" w:type="pct"/>
                  <w:tcBorders>
                    <w:tl2br w:val="nil"/>
                    <w:tr2bl w:val="nil"/>
                  </w:tcBorders>
                  <w:vAlign w:val="center"/>
                </w:tcPr>
                <w:p w14:paraId="58D060A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50</w:t>
                  </w:r>
                  <w:r>
                    <w:rPr>
                      <w:rFonts w:hint="eastAsia" w:ascii="Times New Roman" w:hAnsi="Times New Roman" w:eastAsia="宋体" w:cs="Times New Roman"/>
                      <w:b w:val="0"/>
                      <w:bCs/>
                      <w:color w:val="auto"/>
                      <w:sz w:val="21"/>
                      <w:szCs w:val="21"/>
                      <w:highlight w:val="none"/>
                      <w:vertAlign w:val="baseline"/>
                      <w:lang w:val="en-US" w:eastAsia="zh-CN"/>
                    </w:rPr>
                    <w:t>L、20L</w:t>
                  </w:r>
                </w:p>
              </w:tc>
              <w:tc>
                <w:tcPr>
                  <w:tcW w:w="499" w:type="pct"/>
                  <w:tcBorders>
                    <w:tl2br w:val="nil"/>
                    <w:tr2bl w:val="nil"/>
                  </w:tcBorders>
                  <w:vAlign w:val="center"/>
                </w:tcPr>
                <w:p w14:paraId="2333910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台</w:t>
                  </w:r>
                </w:p>
              </w:tc>
              <w:tc>
                <w:tcPr>
                  <w:tcW w:w="482" w:type="pct"/>
                  <w:tcBorders>
                    <w:tl2br w:val="nil"/>
                    <w:tr2bl w:val="nil"/>
                  </w:tcBorders>
                  <w:vAlign w:val="center"/>
                </w:tcPr>
                <w:p w14:paraId="00CFA43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2</w:t>
                  </w:r>
                </w:p>
              </w:tc>
              <w:tc>
                <w:tcPr>
                  <w:tcW w:w="494" w:type="pct"/>
                  <w:tcBorders>
                    <w:tl2br w:val="nil"/>
                    <w:tr2bl w:val="nil"/>
                  </w:tcBorders>
                  <w:vAlign w:val="center"/>
                </w:tcPr>
                <w:p w14:paraId="42325B8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现有</w:t>
                  </w:r>
                </w:p>
              </w:tc>
            </w:tr>
            <w:tr w14:paraId="58C46F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433" w:type="pct"/>
                  <w:tcBorders>
                    <w:tl2br w:val="nil"/>
                    <w:tr2bl w:val="nil"/>
                  </w:tcBorders>
                  <w:vAlign w:val="center"/>
                </w:tcPr>
                <w:p w14:paraId="6E150C6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22</w:t>
                  </w:r>
                </w:p>
              </w:tc>
              <w:tc>
                <w:tcPr>
                  <w:tcW w:w="568" w:type="pct"/>
                  <w:vMerge w:val="restart"/>
                  <w:tcBorders>
                    <w:tl2br w:val="nil"/>
                    <w:tr2bl w:val="nil"/>
                  </w:tcBorders>
                  <w:vAlign w:val="center"/>
                </w:tcPr>
                <w:p w14:paraId="73202C0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住院室</w:t>
                  </w:r>
                </w:p>
              </w:tc>
              <w:tc>
                <w:tcPr>
                  <w:tcW w:w="1295" w:type="pct"/>
                  <w:tcBorders>
                    <w:tl2br w:val="nil"/>
                    <w:tr2bl w:val="nil"/>
                  </w:tcBorders>
                  <w:vAlign w:val="center"/>
                </w:tcPr>
                <w:p w14:paraId="4378731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狗笼</w:t>
                  </w:r>
                </w:p>
              </w:tc>
              <w:tc>
                <w:tcPr>
                  <w:tcW w:w="1226" w:type="pct"/>
                  <w:tcBorders>
                    <w:tl2br w:val="nil"/>
                    <w:tr2bl w:val="nil"/>
                  </w:tcBorders>
                  <w:vAlign w:val="center"/>
                </w:tcPr>
                <w:p w14:paraId="2CD4378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w:t>
                  </w:r>
                </w:p>
              </w:tc>
              <w:tc>
                <w:tcPr>
                  <w:tcW w:w="499" w:type="pct"/>
                  <w:tcBorders>
                    <w:tl2br w:val="nil"/>
                    <w:tr2bl w:val="nil"/>
                  </w:tcBorders>
                  <w:vAlign w:val="center"/>
                </w:tcPr>
                <w:p w14:paraId="6D997DC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个</w:t>
                  </w:r>
                </w:p>
              </w:tc>
              <w:tc>
                <w:tcPr>
                  <w:tcW w:w="482" w:type="pct"/>
                  <w:tcBorders>
                    <w:tl2br w:val="nil"/>
                    <w:tr2bl w:val="nil"/>
                  </w:tcBorders>
                  <w:vAlign w:val="center"/>
                </w:tcPr>
                <w:p w14:paraId="3ECE4AD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6</w:t>
                  </w:r>
                </w:p>
              </w:tc>
              <w:tc>
                <w:tcPr>
                  <w:tcW w:w="494" w:type="pct"/>
                  <w:tcBorders>
                    <w:tl2br w:val="nil"/>
                    <w:tr2bl w:val="nil"/>
                  </w:tcBorders>
                  <w:vAlign w:val="center"/>
                </w:tcPr>
                <w:p w14:paraId="06A690B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color w:val="auto"/>
                      <w:sz w:val="21"/>
                      <w:szCs w:val="21"/>
                      <w:highlight w:val="none"/>
                      <w:vertAlign w:val="baseline"/>
                      <w:lang w:val="en-US" w:eastAsia="zh-CN"/>
                    </w:rPr>
                  </w:pPr>
                  <w:r>
                    <w:rPr>
                      <w:rFonts w:hint="eastAsia"/>
                      <w:color w:val="auto"/>
                      <w:kern w:val="0"/>
                      <w:sz w:val="21"/>
                      <w:szCs w:val="21"/>
                      <w:lang w:val="en-US" w:eastAsia="zh-CN"/>
                    </w:rPr>
                    <w:t>现有</w:t>
                  </w:r>
                </w:p>
              </w:tc>
            </w:tr>
            <w:tr w14:paraId="570396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433" w:type="pct"/>
                  <w:tcBorders>
                    <w:tl2br w:val="nil"/>
                    <w:tr2bl w:val="nil"/>
                  </w:tcBorders>
                  <w:vAlign w:val="center"/>
                </w:tcPr>
                <w:p w14:paraId="2B212B2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23</w:t>
                  </w:r>
                </w:p>
              </w:tc>
              <w:tc>
                <w:tcPr>
                  <w:tcW w:w="568" w:type="pct"/>
                  <w:vMerge w:val="continue"/>
                  <w:tcBorders>
                    <w:tl2br w:val="nil"/>
                    <w:tr2bl w:val="nil"/>
                  </w:tcBorders>
                  <w:vAlign w:val="center"/>
                </w:tcPr>
                <w:p w14:paraId="705BAF3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color w:val="auto"/>
                      <w:sz w:val="21"/>
                      <w:szCs w:val="21"/>
                      <w:highlight w:val="none"/>
                      <w:vertAlign w:val="baseline"/>
                      <w:lang w:val="en-US" w:eastAsia="zh-CN"/>
                    </w:rPr>
                  </w:pPr>
                </w:p>
              </w:tc>
              <w:tc>
                <w:tcPr>
                  <w:tcW w:w="1295" w:type="pct"/>
                  <w:tcBorders>
                    <w:tl2br w:val="nil"/>
                    <w:tr2bl w:val="nil"/>
                  </w:tcBorders>
                  <w:vAlign w:val="center"/>
                </w:tcPr>
                <w:p w14:paraId="56BD3F0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猫笼</w:t>
                  </w:r>
                </w:p>
              </w:tc>
              <w:tc>
                <w:tcPr>
                  <w:tcW w:w="1226" w:type="pct"/>
                  <w:tcBorders>
                    <w:tl2br w:val="nil"/>
                    <w:tr2bl w:val="nil"/>
                  </w:tcBorders>
                  <w:vAlign w:val="center"/>
                </w:tcPr>
                <w:p w14:paraId="79D5541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w:t>
                  </w:r>
                </w:p>
              </w:tc>
              <w:tc>
                <w:tcPr>
                  <w:tcW w:w="499" w:type="pct"/>
                  <w:tcBorders>
                    <w:tl2br w:val="nil"/>
                    <w:tr2bl w:val="nil"/>
                  </w:tcBorders>
                  <w:vAlign w:val="center"/>
                </w:tcPr>
                <w:p w14:paraId="19B0E11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个</w:t>
                  </w:r>
                </w:p>
              </w:tc>
              <w:tc>
                <w:tcPr>
                  <w:tcW w:w="482" w:type="pct"/>
                  <w:tcBorders>
                    <w:tl2br w:val="nil"/>
                    <w:tr2bl w:val="nil"/>
                  </w:tcBorders>
                  <w:vAlign w:val="center"/>
                </w:tcPr>
                <w:p w14:paraId="5CF25FA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6</w:t>
                  </w:r>
                </w:p>
              </w:tc>
              <w:tc>
                <w:tcPr>
                  <w:tcW w:w="494" w:type="pct"/>
                  <w:tcBorders>
                    <w:tl2br w:val="nil"/>
                    <w:tr2bl w:val="nil"/>
                  </w:tcBorders>
                  <w:vAlign w:val="center"/>
                </w:tcPr>
                <w:p w14:paraId="65B980B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color w:val="auto"/>
                      <w:sz w:val="21"/>
                      <w:szCs w:val="21"/>
                      <w:highlight w:val="none"/>
                      <w:vertAlign w:val="baseline"/>
                      <w:lang w:val="en-US" w:eastAsia="zh-CN"/>
                    </w:rPr>
                  </w:pPr>
                  <w:r>
                    <w:rPr>
                      <w:rFonts w:hint="eastAsia"/>
                      <w:color w:val="auto"/>
                      <w:kern w:val="0"/>
                      <w:sz w:val="21"/>
                      <w:szCs w:val="21"/>
                      <w:lang w:val="en-US" w:eastAsia="zh-CN"/>
                    </w:rPr>
                    <w:t>现有</w:t>
                  </w:r>
                </w:p>
              </w:tc>
            </w:tr>
            <w:tr w14:paraId="3FC746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433" w:type="pct"/>
                  <w:tcBorders>
                    <w:tl2br w:val="nil"/>
                    <w:tr2bl w:val="nil"/>
                  </w:tcBorders>
                  <w:vAlign w:val="center"/>
                </w:tcPr>
                <w:p w14:paraId="3AD7755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24</w:t>
                  </w:r>
                </w:p>
              </w:tc>
              <w:tc>
                <w:tcPr>
                  <w:tcW w:w="568" w:type="pct"/>
                  <w:tcBorders>
                    <w:tl2br w:val="nil"/>
                    <w:tr2bl w:val="nil"/>
                  </w:tcBorders>
                  <w:vAlign w:val="center"/>
                </w:tcPr>
                <w:p w14:paraId="33E5ABE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隔离式</w:t>
                  </w:r>
                </w:p>
              </w:tc>
              <w:tc>
                <w:tcPr>
                  <w:tcW w:w="1295" w:type="pct"/>
                  <w:tcBorders>
                    <w:tl2br w:val="nil"/>
                    <w:tr2bl w:val="nil"/>
                  </w:tcBorders>
                  <w:vAlign w:val="center"/>
                </w:tcPr>
                <w:p w14:paraId="54C049B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笼子</w:t>
                  </w:r>
                </w:p>
              </w:tc>
              <w:tc>
                <w:tcPr>
                  <w:tcW w:w="1226" w:type="pct"/>
                  <w:tcBorders>
                    <w:tl2br w:val="nil"/>
                    <w:tr2bl w:val="nil"/>
                  </w:tcBorders>
                  <w:vAlign w:val="center"/>
                </w:tcPr>
                <w:p w14:paraId="699B922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w:t>
                  </w:r>
                </w:p>
              </w:tc>
              <w:tc>
                <w:tcPr>
                  <w:tcW w:w="499" w:type="pct"/>
                  <w:tcBorders>
                    <w:tl2br w:val="nil"/>
                    <w:tr2bl w:val="nil"/>
                  </w:tcBorders>
                  <w:vAlign w:val="center"/>
                </w:tcPr>
                <w:p w14:paraId="48679BD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个</w:t>
                  </w:r>
                </w:p>
              </w:tc>
              <w:tc>
                <w:tcPr>
                  <w:tcW w:w="482" w:type="pct"/>
                  <w:tcBorders>
                    <w:tl2br w:val="nil"/>
                    <w:tr2bl w:val="nil"/>
                  </w:tcBorders>
                  <w:vAlign w:val="center"/>
                </w:tcPr>
                <w:p w14:paraId="1259A53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1</w:t>
                  </w:r>
                </w:p>
              </w:tc>
              <w:tc>
                <w:tcPr>
                  <w:tcW w:w="494" w:type="pct"/>
                  <w:tcBorders>
                    <w:tl2br w:val="nil"/>
                    <w:tr2bl w:val="nil"/>
                  </w:tcBorders>
                  <w:vAlign w:val="center"/>
                </w:tcPr>
                <w:p w14:paraId="00DD9FC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kern w:val="0"/>
                      <w:sz w:val="21"/>
                      <w:szCs w:val="21"/>
                      <w:lang w:val="en-US" w:eastAsia="zh-CN"/>
                    </w:rPr>
                  </w:pPr>
                  <w:r>
                    <w:rPr>
                      <w:rFonts w:hint="eastAsia"/>
                      <w:color w:val="auto"/>
                      <w:kern w:val="0"/>
                      <w:sz w:val="21"/>
                      <w:szCs w:val="21"/>
                      <w:lang w:val="en-US" w:eastAsia="zh-CN"/>
                    </w:rPr>
                    <w:t>现有</w:t>
                  </w:r>
                </w:p>
              </w:tc>
            </w:tr>
          </w:tbl>
          <w:p w14:paraId="370FAD3E">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cs="Times New Roman"/>
                <w:b/>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z w:val="24"/>
                <w:szCs w:val="24"/>
                <w:highlight w:val="none"/>
                <w:vertAlign w:val="baseline"/>
                <w:lang w:val="en-US" w:eastAsia="zh-CN"/>
                <w14:textFill>
                  <w14:solidFill>
                    <w14:schemeClr w14:val="tx1"/>
                  </w14:solidFill>
                </w14:textFill>
              </w:rPr>
              <w:t>2.5主要原辅材料</w:t>
            </w:r>
          </w:p>
          <w:p w14:paraId="33B182E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项目主要原辅材料详见表 2.5-1。</w:t>
            </w:r>
          </w:p>
          <w:p w14:paraId="27701C2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z w:val="24"/>
                <w:szCs w:val="24"/>
                <w:highlight w:val="none"/>
                <w:vertAlign w:val="baseline"/>
                <w:lang w:val="en-US" w:eastAsia="zh-CN"/>
                <w14:textFill>
                  <w14:solidFill>
                    <w14:schemeClr w14:val="tx1"/>
                  </w14:solidFill>
                </w14:textFill>
              </w:rPr>
              <w:t>表2.5-1项目主要原辅材料一览表</w:t>
            </w:r>
          </w:p>
          <w:tbl>
            <w:tblPr>
              <w:tblStyle w:val="21"/>
              <w:tblW w:w="4995"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24"/>
              <w:gridCol w:w="848"/>
              <w:gridCol w:w="2199"/>
              <w:gridCol w:w="847"/>
              <w:gridCol w:w="1512"/>
              <w:gridCol w:w="859"/>
              <w:gridCol w:w="682"/>
              <w:gridCol w:w="973"/>
            </w:tblGrid>
            <w:tr w14:paraId="01CE5A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10" w:type="pct"/>
                  <w:gridSpan w:val="2"/>
                  <w:tcBorders>
                    <w:tl2br w:val="nil"/>
                    <w:tr2bl w:val="nil"/>
                  </w:tcBorders>
                  <w:vAlign w:val="center"/>
                </w:tcPr>
                <w:p w14:paraId="5E99F690">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r>
                    <w:rPr>
                      <w:rFonts w:hint="eastAsia" w:ascii="Times New Roman" w:hAnsi="Times New Roman" w:cs="Times New Roman"/>
                      <w:b w:val="0"/>
                      <w:bCs/>
                      <w:color w:val="auto"/>
                      <w:sz w:val="21"/>
                      <w:szCs w:val="21"/>
                      <w:vertAlign w:val="baseline"/>
                      <w:lang w:val="en-US" w:eastAsia="zh-CN"/>
                    </w:rPr>
                    <w:t>类别</w:t>
                  </w:r>
                </w:p>
              </w:tc>
              <w:tc>
                <w:tcPr>
                  <w:tcW w:w="1334" w:type="pct"/>
                  <w:tcBorders>
                    <w:tl2br w:val="nil"/>
                    <w:tr2bl w:val="nil"/>
                  </w:tcBorders>
                  <w:vAlign w:val="center"/>
                </w:tcPr>
                <w:p w14:paraId="198E675B">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r>
                    <w:rPr>
                      <w:rFonts w:hint="eastAsia" w:ascii="Times New Roman" w:hAnsi="Times New Roman" w:cs="Times New Roman"/>
                      <w:b w:val="0"/>
                      <w:bCs/>
                      <w:color w:val="auto"/>
                      <w:sz w:val="21"/>
                      <w:szCs w:val="21"/>
                      <w:vertAlign w:val="baseline"/>
                      <w:lang w:val="en-US" w:eastAsia="zh-CN"/>
                    </w:rPr>
                    <w:t>名称</w:t>
                  </w:r>
                </w:p>
              </w:tc>
              <w:tc>
                <w:tcPr>
                  <w:tcW w:w="513" w:type="pct"/>
                  <w:tcBorders>
                    <w:tl2br w:val="nil"/>
                    <w:tr2bl w:val="nil"/>
                  </w:tcBorders>
                  <w:vAlign w:val="center"/>
                </w:tcPr>
                <w:p w14:paraId="1179C360">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r>
                    <w:rPr>
                      <w:rFonts w:hint="eastAsia" w:ascii="Times New Roman" w:hAnsi="Times New Roman" w:cs="Times New Roman"/>
                      <w:b w:val="0"/>
                      <w:bCs/>
                      <w:color w:val="auto"/>
                      <w:sz w:val="21"/>
                      <w:szCs w:val="21"/>
                      <w:vertAlign w:val="baseline"/>
                      <w:lang w:val="en-US" w:eastAsia="zh-CN"/>
                    </w:rPr>
                    <w:t>年用量</w:t>
                  </w:r>
                </w:p>
              </w:tc>
              <w:tc>
                <w:tcPr>
                  <w:tcW w:w="916" w:type="pct"/>
                  <w:tcBorders>
                    <w:tl2br w:val="nil"/>
                    <w:tr2bl w:val="nil"/>
                  </w:tcBorders>
                  <w:vAlign w:val="center"/>
                </w:tcPr>
                <w:p w14:paraId="003E2D1F">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r>
                    <w:rPr>
                      <w:rFonts w:hint="eastAsia" w:ascii="Times New Roman" w:hAnsi="Times New Roman" w:cs="Times New Roman"/>
                      <w:b w:val="0"/>
                      <w:bCs/>
                      <w:color w:val="auto"/>
                      <w:sz w:val="21"/>
                      <w:szCs w:val="21"/>
                      <w:vertAlign w:val="baseline"/>
                      <w:lang w:val="en-US" w:eastAsia="zh-CN"/>
                    </w:rPr>
                    <w:t>规格/型号</w:t>
                  </w:r>
                </w:p>
              </w:tc>
              <w:tc>
                <w:tcPr>
                  <w:tcW w:w="520" w:type="pct"/>
                  <w:tcBorders>
                    <w:tl2br w:val="nil"/>
                    <w:tr2bl w:val="nil"/>
                  </w:tcBorders>
                  <w:vAlign w:val="center"/>
                </w:tcPr>
                <w:p w14:paraId="7BE1946A">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r>
                    <w:rPr>
                      <w:rFonts w:hint="eastAsia" w:ascii="Times New Roman" w:hAnsi="Times New Roman" w:cs="Times New Roman"/>
                      <w:b w:val="0"/>
                      <w:bCs/>
                      <w:color w:val="auto"/>
                      <w:sz w:val="21"/>
                      <w:szCs w:val="21"/>
                      <w:vertAlign w:val="baseline"/>
                      <w:lang w:val="en-US" w:eastAsia="zh-CN"/>
                    </w:rPr>
                    <w:t>暂存量</w:t>
                  </w:r>
                </w:p>
              </w:tc>
              <w:tc>
                <w:tcPr>
                  <w:tcW w:w="413" w:type="pct"/>
                  <w:tcBorders>
                    <w:tl2br w:val="nil"/>
                    <w:tr2bl w:val="nil"/>
                  </w:tcBorders>
                  <w:vAlign w:val="center"/>
                </w:tcPr>
                <w:p w14:paraId="75408E94">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r>
                    <w:rPr>
                      <w:rFonts w:hint="eastAsia" w:ascii="Times New Roman" w:hAnsi="Times New Roman" w:cs="Times New Roman"/>
                      <w:b w:val="0"/>
                      <w:bCs/>
                      <w:color w:val="auto"/>
                      <w:sz w:val="21"/>
                      <w:szCs w:val="21"/>
                      <w:vertAlign w:val="baseline"/>
                      <w:lang w:val="en-US" w:eastAsia="zh-CN"/>
                    </w:rPr>
                    <w:t>位置</w:t>
                  </w:r>
                </w:p>
              </w:tc>
              <w:tc>
                <w:tcPr>
                  <w:tcW w:w="590" w:type="pct"/>
                  <w:tcBorders>
                    <w:tl2br w:val="nil"/>
                    <w:tr2bl w:val="nil"/>
                  </w:tcBorders>
                  <w:vAlign w:val="center"/>
                </w:tcPr>
                <w:p w14:paraId="13BF0876">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r>
                    <w:rPr>
                      <w:rFonts w:hint="eastAsia" w:ascii="Times New Roman" w:hAnsi="Times New Roman" w:cs="Times New Roman"/>
                      <w:b w:val="0"/>
                      <w:bCs/>
                      <w:color w:val="auto"/>
                      <w:sz w:val="21"/>
                      <w:szCs w:val="21"/>
                      <w:vertAlign w:val="baseline"/>
                      <w:lang w:val="en-US" w:eastAsia="zh-CN"/>
                    </w:rPr>
                    <w:t>备注</w:t>
                  </w:r>
                </w:p>
              </w:tc>
            </w:tr>
            <w:tr w14:paraId="361567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710" w:type="pct"/>
                  <w:gridSpan w:val="2"/>
                  <w:vMerge w:val="restart"/>
                  <w:tcBorders>
                    <w:tl2br w:val="nil"/>
                    <w:tr2bl w:val="nil"/>
                  </w:tcBorders>
                  <w:vAlign w:val="center"/>
                </w:tcPr>
                <w:p w14:paraId="05B3E74B">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医疗器械</w:t>
                  </w:r>
                </w:p>
              </w:tc>
              <w:tc>
                <w:tcPr>
                  <w:tcW w:w="1334" w:type="pct"/>
                  <w:tcBorders>
                    <w:tl2br w:val="nil"/>
                    <w:tr2bl w:val="nil"/>
                  </w:tcBorders>
                  <w:shd w:val="clear" w:color="auto" w:fill="auto"/>
                  <w:vAlign w:val="center"/>
                </w:tcPr>
                <w:p w14:paraId="1F238BDF">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olor w:val="auto"/>
                      <w:kern w:val="0"/>
                      <w:sz w:val="21"/>
                      <w:szCs w:val="21"/>
                      <w:lang w:eastAsia="zh-CN"/>
                    </w:rPr>
                    <w:t>棉球</w:t>
                  </w:r>
                </w:p>
              </w:tc>
              <w:tc>
                <w:tcPr>
                  <w:tcW w:w="513" w:type="pct"/>
                  <w:tcBorders>
                    <w:tl2br w:val="nil"/>
                    <w:tr2bl w:val="nil"/>
                  </w:tcBorders>
                  <w:shd w:val="clear" w:color="auto" w:fill="auto"/>
                  <w:vAlign w:val="center"/>
                </w:tcPr>
                <w:p w14:paraId="25AFD68D">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7</w:t>
                  </w:r>
                </w:p>
              </w:tc>
              <w:tc>
                <w:tcPr>
                  <w:tcW w:w="916" w:type="pct"/>
                  <w:tcBorders>
                    <w:tl2br w:val="nil"/>
                    <w:tr2bl w:val="nil"/>
                  </w:tcBorders>
                  <w:shd w:val="clear" w:color="auto" w:fill="auto"/>
                  <w:vAlign w:val="center"/>
                </w:tcPr>
                <w:p w14:paraId="3ADE7E37">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olor w:val="auto"/>
                      <w:sz w:val="21"/>
                      <w:szCs w:val="21"/>
                      <w:lang w:eastAsia="zh-CN"/>
                    </w:rPr>
                    <w:t>包</w:t>
                  </w:r>
                </w:p>
              </w:tc>
              <w:tc>
                <w:tcPr>
                  <w:tcW w:w="520" w:type="pct"/>
                  <w:tcBorders>
                    <w:tl2br w:val="nil"/>
                    <w:tr2bl w:val="nil"/>
                  </w:tcBorders>
                  <w:shd w:val="clear" w:color="auto" w:fill="auto"/>
                  <w:vAlign w:val="center"/>
                </w:tcPr>
                <w:p w14:paraId="6BCFBBE0">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lang w:val="en-US" w:eastAsia="zh-CN" w:bidi="ar-SA"/>
                    </w:rPr>
                    <w:t>1</w:t>
                  </w:r>
                </w:p>
              </w:tc>
              <w:tc>
                <w:tcPr>
                  <w:tcW w:w="413" w:type="pct"/>
                  <w:vMerge w:val="restart"/>
                  <w:tcBorders>
                    <w:tl2br w:val="nil"/>
                    <w:tr2bl w:val="nil"/>
                  </w:tcBorders>
                  <w:vAlign w:val="center"/>
                </w:tcPr>
                <w:p w14:paraId="41F0AF87">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药房</w:t>
                  </w:r>
                </w:p>
              </w:tc>
              <w:tc>
                <w:tcPr>
                  <w:tcW w:w="590" w:type="pct"/>
                  <w:tcBorders>
                    <w:tl2br w:val="nil"/>
                    <w:tr2bl w:val="nil"/>
                  </w:tcBorders>
                  <w:shd w:val="clear" w:color="auto" w:fill="auto"/>
                  <w:vAlign w:val="center"/>
                </w:tcPr>
                <w:p w14:paraId="2AAA45A8">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color w:val="auto"/>
                      <w:kern w:val="2"/>
                      <w:sz w:val="21"/>
                      <w:szCs w:val="21"/>
                      <w:vertAlign w:val="baseline"/>
                      <w:lang w:val="en-US" w:eastAsia="zh-CN" w:bidi="ar-SA"/>
                    </w:rPr>
                  </w:pPr>
                  <w:r>
                    <w:rPr>
                      <w:rFonts w:hint="eastAsia" w:cs="Times New Roman"/>
                      <w:b w:val="0"/>
                      <w:bCs/>
                      <w:color w:val="auto"/>
                      <w:sz w:val="21"/>
                      <w:szCs w:val="21"/>
                      <w:vertAlign w:val="baseline"/>
                      <w:lang w:val="en-US" w:eastAsia="zh-CN"/>
                    </w:rPr>
                    <w:t>外购</w:t>
                  </w:r>
                </w:p>
              </w:tc>
            </w:tr>
            <w:tr w14:paraId="2C5911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10" w:type="pct"/>
                  <w:gridSpan w:val="2"/>
                  <w:vMerge w:val="continue"/>
                  <w:tcBorders>
                    <w:tl2br w:val="nil"/>
                    <w:tr2bl w:val="nil"/>
                  </w:tcBorders>
                  <w:vAlign w:val="center"/>
                </w:tcPr>
                <w:p w14:paraId="37B0EEF9">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p>
              </w:tc>
              <w:tc>
                <w:tcPr>
                  <w:tcW w:w="1334" w:type="pct"/>
                  <w:tcBorders>
                    <w:tl2br w:val="nil"/>
                    <w:tr2bl w:val="nil"/>
                  </w:tcBorders>
                  <w:shd w:val="clear" w:color="auto" w:fill="auto"/>
                  <w:vAlign w:val="center"/>
                </w:tcPr>
                <w:p w14:paraId="6DA8CB9D">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olor w:val="auto"/>
                      <w:kern w:val="0"/>
                      <w:sz w:val="21"/>
                      <w:szCs w:val="21"/>
                      <w:lang w:eastAsia="zh-CN"/>
                    </w:rPr>
                    <w:t>注射器</w:t>
                  </w:r>
                </w:p>
              </w:tc>
              <w:tc>
                <w:tcPr>
                  <w:tcW w:w="513" w:type="pct"/>
                  <w:tcBorders>
                    <w:tl2br w:val="nil"/>
                    <w:tr2bl w:val="nil"/>
                  </w:tcBorders>
                  <w:shd w:val="clear" w:color="auto" w:fill="auto"/>
                  <w:vAlign w:val="center"/>
                </w:tcPr>
                <w:p w14:paraId="2FF9C658">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10</w:t>
                  </w:r>
                </w:p>
              </w:tc>
              <w:tc>
                <w:tcPr>
                  <w:tcW w:w="916" w:type="pct"/>
                  <w:tcBorders>
                    <w:tl2br w:val="nil"/>
                    <w:tr2bl w:val="nil"/>
                  </w:tcBorders>
                  <w:shd w:val="clear" w:color="auto" w:fill="auto"/>
                  <w:vAlign w:val="center"/>
                </w:tcPr>
                <w:p w14:paraId="3FCB033F">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olor w:val="auto"/>
                      <w:sz w:val="21"/>
                      <w:szCs w:val="21"/>
                      <w:lang w:eastAsia="zh-CN"/>
                    </w:rPr>
                    <w:t>箱</w:t>
                  </w:r>
                </w:p>
              </w:tc>
              <w:tc>
                <w:tcPr>
                  <w:tcW w:w="520" w:type="pct"/>
                  <w:tcBorders>
                    <w:tl2br w:val="nil"/>
                    <w:tr2bl w:val="nil"/>
                  </w:tcBorders>
                  <w:shd w:val="clear" w:color="auto" w:fill="auto"/>
                  <w:vAlign w:val="center"/>
                </w:tcPr>
                <w:p w14:paraId="685DF11D">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lang w:val="en-US" w:eastAsia="zh-CN" w:bidi="ar-SA"/>
                    </w:rPr>
                    <w:t>10</w:t>
                  </w:r>
                </w:p>
              </w:tc>
              <w:tc>
                <w:tcPr>
                  <w:tcW w:w="413" w:type="pct"/>
                  <w:vMerge w:val="continue"/>
                  <w:tcBorders>
                    <w:tl2br w:val="nil"/>
                    <w:tr2bl w:val="nil"/>
                  </w:tcBorders>
                  <w:vAlign w:val="center"/>
                </w:tcPr>
                <w:p w14:paraId="50E86F05">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p>
              </w:tc>
              <w:tc>
                <w:tcPr>
                  <w:tcW w:w="590" w:type="pct"/>
                  <w:tcBorders>
                    <w:tl2br w:val="nil"/>
                    <w:tr2bl w:val="nil"/>
                  </w:tcBorders>
                  <w:shd w:val="clear" w:color="auto" w:fill="auto"/>
                  <w:vAlign w:val="center"/>
                </w:tcPr>
                <w:p w14:paraId="20C6C417">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color w:val="auto"/>
                      <w:kern w:val="2"/>
                      <w:sz w:val="21"/>
                      <w:szCs w:val="21"/>
                      <w:vertAlign w:val="baseline"/>
                      <w:lang w:val="en-US" w:eastAsia="zh-CN" w:bidi="ar-SA"/>
                    </w:rPr>
                  </w:pPr>
                  <w:r>
                    <w:rPr>
                      <w:rFonts w:hint="eastAsia" w:cs="Times New Roman"/>
                      <w:b w:val="0"/>
                      <w:bCs/>
                      <w:color w:val="auto"/>
                      <w:sz w:val="21"/>
                      <w:szCs w:val="21"/>
                      <w:vertAlign w:val="baseline"/>
                      <w:lang w:val="en-US" w:eastAsia="zh-CN"/>
                    </w:rPr>
                    <w:t>外购</w:t>
                  </w:r>
                </w:p>
              </w:tc>
            </w:tr>
            <w:tr w14:paraId="465BE9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10" w:type="pct"/>
                  <w:gridSpan w:val="2"/>
                  <w:vMerge w:val="continue"/>
                  <w:tcBorders>
                    <w:tl2br w:val="nil"/>
                    <w:tr2bl w:val="nil"/>
                  </w:tcBorders>
                  <w:vAlign w:val="center"/>
                </w:tcPr>
                <w:p w14:paraId="1DFD48B1">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p>
              </w:tc>
              <w:tc>
                <w:tcPr>
                  <w:tcW w:w="1334" w:type="pct"/>
                  <w:tcBorders>
                    <w:tl2br w:val="nil"/>
                    <w:tr2bl w:val="nil"/>
                  </w:tcBorders>
                  <w:shd w:val="clear" w:color="auto" w:fill="auto"/>
                  <w:vAlign w:val="center"/>
                </w:tcPr>
                <w:p w14:paraId="3BEDED6F">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olor w:val="auto"/>
                      <w:kern w:val="0"/>
                      <w:sz w:val="21"/>
                      <w:szCs w:val="21"/>
                      <w:lang w:eastAsia="zh-CN"/>
                    </w:rPr>
                    <w:t>纱布</w:t>
                  </w:r>
                </w:p>
              </w:tc>
              <w:tc>
                <w:tcPr>
                  <w:tcW w:w="513" w:type="pct"/>
                  <w:tcBorders>
                    <w:tl2br w:val="nil"/>
                    <w:tr2bl w:val="nil"/>
                  </w:tcBorders>
                  <w:shd w:val="clear" w:color="auto" w:fill="auto"/>
                  <w:vAlign w:val="center"/>
                </w:tcPr>
                <w:p w14:paraId="3AD2E4C7">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5</w:t>
                  </w:r>
                </w:p>
              </w:tc>
              <w:tc>
                <w:tcPr>
                  <w:tcW w:w="916" w:type="pct"/>
                  <w:tcBorders>
                    <w:tl2br w:val="nil"/>
                    <w:tr2bl w:val="nil"/>
                  </w:tcBorders>
                  <w:shd w:val="clear" w:color="auto" w:fill="auto"/>
                  <w:vAlign w:val="center"/>
                </w:tcPr>
                <w:p w14:paraId="6A1D7EE4">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olor w:val="auto"/>
                      <w:sz w:val="21"/>
                      <w:szCs w:val="21"/>
                      <w:lang w:eastAsia="zh-CN"/>
                    </w:rPr>
                    <w:t>包</w:t>
                  </w:r>
                </w:p>
              </w:tc>
              <w:tc>
                <w:tcPr>
                  <w:tcW w:w="520" w:type="pct"/>
                  <w:tcBorders>
                    <w:tl2br w:val="nil"/>
                    <w:tr2bl w:val="nil"/>
                  </w:tcBorders>
                  <w:shd w:val="clear" w:color="auto" w:fill="auto"/>
                  <w:vAlign w:val="center"/>
                </w:tcPr>
                <w:p w14:paraId="1A23F04F">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lang w:val="en-US" w:eastAsia="zh-CN" w:bidi="ar-SA"/>
                    </w:rPr>
                    <w:t>5</w:t>
                  </w:r>
                </w:p>
              </w:tc>
              <w:tc>
                <w:tcPr>
                  <w:tcW w:w="413" w:type="pct"/>
                  <w:vMerge w:val="continue"/>
                  <w:tcBorders>
                    <w:tl2br w:val="nil"/>
                    <w:tr2bl w:val="nil"/>
                  </w:tcBorders>
                  <w:vAlign w:val="center"/>
                </w:tcPr>
                <w:p w14:paraId="3BDE0CDE">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p>
              </w:tc>
              <w:tc>
                <w:tcPr>
                  <w:tcW w:w="590" w:type="pct"/>
                  <w:tcBorders>
                    <w:tl2br w:val="nil"/>
                    <w:tr2bl w:val="nil"/>
                  </w:tcBorders>
                  <w:shd w:val="clear" w:color="auto" w:fill="auto"/>
                  <w:vAlign w:val="center"/>
                </w:tcPr>
                <w:p w14:paraId="2A9F677D">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color w:val="auto"/>
                      <w:kern w:val="2"/>
                      <w:sz w:val="21"/>
                      <w:szCs w:val="21"/>
                      <w:vertAlign w:val="baseline"/>
                      <w:lang w:val="en-US" w:eastAsia="zh-CN" w:bidi="ar-SA"/>
                    </w:rPr>
                  </w:pPr>
                  <w:r>
                    <w:rPr>
                      <w:rFonts w:hint="eastAsia" w:cs="Times New Roman"/>
                      <w:b w:val="0"/>
                      <w:bCs/>
                      <w:color w:val="auto"/>
                      <w:sz w:val="21"/>
                      <w:szCs w:val="21"/>
                      <w:vertAlign w:val="baseline"/>
                      <w:lang w:val="en-US" w:eastAsia="zh-CN"/>
                    </w:rPr>
                    <w:t>外购</w:t>
                  </w:r>
                </w:p>
              </w:tc>
            </w:tr>
            <w:tr w14:paraId="6A278C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10" w:type="pct"/>
                  <w:gridSpan w:val="2"/>
                  <w:vMerge w:val="continue"/>
                  <w:tcBorders>
                    <w:tl2br w:val="nil"/>
                    <w:tr2bl w:val="nil"/>
                  </w:tcBorders>
                  <w:vAlign w:val="center"/>
                </w:tcPr>
                <w:p w14:paraId="0ED0E05F">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p>
              </w:tc>
              <w:tc>
                <w:tcPr>
                  <w:tcW w:w="1334" w:type="pct"/>
                  <w:tcBorders>
                    <w:tl2br w:val="nil"/>
                    <w:tr2bl w:val="nil"/>
                  </w:tcBorders>
                  <w:shd w:val="clear" w:color="auto" w:fill="auto"/>
                  <w:vAlign w:val="center"/>
                </w:tcPr>
                <w:p w14:paraId="049F96DF">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default" w:ascii="Times New Roman" w:hAnsi="Times New Roman" w:eastAsia="宋体"/>
                      <w:color w:val="auto"/>
                      <w:kern w:val="0"/>
                      <w:sz w:val="21"/>
                      <w:szCs w:val="21"/>
                      <w:lang w:val="en-US" w:eastAsia="zh-CN"/>
                    </w:rPr>
                  </w:pPr>
                  <w:r>
                    <w:rPr>
                      <w:rFonts w:ascii="Times New Roman" w:hAnsi="Times New Roman" w:eastAsia="宋体"/>
                      <w:color w:val="auto"/>
                      <w:kern w:val="0"/>
                      <w:sz w:val="21"/>
                      <w:szCs w:val="21"/>
                    </w:rPr>
                    <w:t>输液袋</w:t>
                  </w:r>
                </w:p>
              </w:tc>
              <w:tc>
                <w:tcPr>
                  <w:tcW w:w="513" w:type="pct"/>
                  <w:tcBorders>
                    <w:tl2br w:val="nil"/>
                    <w:tr2bl w:val="nil"/>
                  </w:tcBorders>
                  <w:shd w:val="clear" w:color="auto" w:fill="auto"/>
                  <w:vAlign w:val="center"/>
                </w:tcPr>
                <w:p w14:paraId="4C970323">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5</w:t>
                  </w:r>
                </w:p>
              </w:tc>
              <w:tc>
                <w:tcPr>
                  <w:tcW w:w="916" w:type="pct"/>
                  <w:tcBorders>
                    <w:tl2br w:val="nil"/>
                    <w:tr2bl w:val="nil"/>
                  </w:tcBorders>
                  <w:shd w:val="clear" w:color="auto" w:fill="auto"/>
                  <w:vAlign w:val="center"/>
                </w:tcPr>
                <w:p w14:paraId="33494347">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olor w:val="auto"/>
                      <w:sz w:val="21"/>
                      <w:szCs w:val="21"/>
                      <w:lang w:eastAsia="zh-CN"/>
                    </w:rPr>
                    <w:t>箱</w:t>
                  </w:r>
                </w:p>
              </w:tc>
              <w:tc>
                <w:tcPr>
                  <w:tcW w:w="520" w:type="pct"/>
                  <w:tcBorders>
                    <w:tl2br w:val="nil"/>
                    <w:tr2bl w:val="nil"/>
                  </w:tcBorders>
                  <w:shd w:val="clear" w:color="auto" w:fill="auto"/>
                  <w:vAlign w:val="center"/>
                </w:tcPr>
                <w:p w14:paraId="40E07535">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lang w:val="en-US" w:eastAsia="zh-CN" w:bidi="ar-SA"/>
                    </w:rPr>
                    <w:t>1</w:t>
                  </w:r>
                </w:p>
              </w:tc>
              <w:tc>
                <w:tcPr>
                  <w:tcW w:w="413" w:type="pct"/>
                  <w:vMerge w:val="continue"/>
                  <w:tcBorders>
                    <w:tl2br w:val="nil"/>
                    <w:tr2bl w:val="nil"/>
                  </w:tcBorders>
                  <w:vAlign w:val="center"/>
                </w:tcPr>
                <w:p w14:paraId="28A571F1">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p>
              </w:tc>
              <w:tc>
                <w:tcPr>
                  <w:tcW w:w="590" w:type="pct"/>
                  <w:tcBorders>
                    <w:tl2br w:val="nil"/>
                    <w:tr2bl w:val="nil"/>
                  </w:tcBorders>
                  <w:shd w:val="clear" w:color="auto" w:fill="auto"/>
                  <w:vAlign w:val="center"/>
                </w:tcPr>
                <w:p w14:paraId="551BF2CD">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color w:val="auto"/>
                      <w:kern w:val="2"/>
                      <w:sz w:val="21"/>
                      <w:szCs w:val="21"/>
                      <w:vertAlign w:val="baseline"/>
                      <w:lang w:val="en-US" w:eastAsia="zh-CN" w:bidi="ar-SA"/>
                    </w:rPr>
                  </w:pPr>
                  <w:r>
                    <w:rPr>
                      <w:rFonts w:hint="eastAsia" w:cs="Times New Roman"/>
                      <w:b w:val="0"/>
                      <w:bCs/>
                      <w:color w:val="auto"/>
                      <w:sz w:val="21"/>
                      <w:szCs w:val="21"/>
                      <w:vertAlign w:val="baseline"/>
                      <w:lang w:val="en-US" w:eastAsia="zh-CN"/>
                    </w:rPr>
                    <w:t>外购</w:t>
                  </w:r>
                </w:p>
              </w:tc>
            </w:tr>
            <w:tr w14:paraId="7523B8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96" w:type="pct"/>
                  <w:vMerge w:val="restart"/>
                  <w:tcBorders>
                    <w:tl2br w:val="nil"/>
                    <w:tr2bl w:val="nil"/>
                  </w:tcBorders>
                  <w:shd w:val="clear" w:color="auto" w:fill="auto"/>
                  <w:vAlign w:val="center"/>
                </w:tcPr>
                <w:p w14:paraId="17DF1BEF">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olor w:val="auto"/>
                      <w:sz w:val="21"/>
                      <w:szCs w:val="21"/>
                      <w:lang w:val="en-US" w:eastAsia="zh-CN"/>
                    </w:rPr>
                    <w:t>药品</w:t>
                  </w:r>
                </w:p>
              </w:tc>
              <w:tc>
                <w:tcPr>
                  <w:tcW w:w="514" w:type="pct"/>
                  <w:vMerge w:val="restart"/>
                  <w:tcBorders>
                    <w:tl2br w:val="nil"/>
                    <w:tr2bl w:val="nil"/>
                  </w:tcBorders>
                  <w:shd w:val="clear" w:color="auto" w:fill="auto"/>
                  <w:vAlign w:val="center"/>
                </w:tcPr>
                <w:p w14:paraId="4919237B">
                  <w:pPr>
                    <w:keepNext w:val="0"/>
                    <w:keepLines w:val="0"/>
                    <w:pageBreakBefore w:val="0"/>
                    <w:kinsoku/>
                    <w:wordWrap/>
                    <w:overflowPunct/>
                    <w:topLinePunct w:val="0"/>
                    <w:autoSpaceDE/>
                    <w:autoSpaceDN/>
                    <w:bidi w:val="0"/>
                    <w:spacing w:line="240" w:lineRule="auto"/>
                    <w:jc w:val="center"/>
                    <w:rPr>
                      <w:rFonts w:hint="default" w:ascii="Times New Roman" w:hAnsi="Times New Roman"/>
                      <w:color w:val="auto"/>
                      <w:sz w:val="21"/>
                      <w:szCs w:val="21"/>
                      <w:lang w:val="en-US" w:eastAsia="zh-CN"/>
                    </w:rPr>
                  </w:pPr>
                  <w:r>
                    <w:rPr>
                      <w:rFonts w:hint="eastAsia"/>
                      <w:color w:val="auto"/>
                      <w:sz w:val="21"/>
                      <w:szCs w:val="21"/>
                      <w:lang w:val="en-US" w:eastAsia="zh-CN"/>
                    </w:rPr>
                    <w:t>抗生素</w:t>
                  </w:r>
                </w:p>
              </w:tc>
              <w:tc>
                <w:tcPr>
                  <w:tcW w:w="1334" w:type="pct"/>
                  <w:tcBorders>
                    <w:tl2br w:val="nil"/>
                    <w:tr2bl w:val="nil"/>
                  </w:tcBorders>
                  <w:shd w:val="clear" w:color="auto" w:fill="auto"/>
                  <w:vAlign w:val="center"/>
                </w:tcPr>
                <w:p w14:paraId="29B9D51B">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头孢赛呋钠注射液</w:t>
                  </w:r>
                </w:p>
              </w:tc>
              <w:tc>
                <w:tcPr>
                  <w:tcW w:w="513" w:type="pct"/>
                  <w:tcBorders>
                    <w:tl2br w:val="nil"/>
                    <w:tr2bl w:val="nil"/>
                  </w:tcBorders>
                  <w:shd w:val="clear" w:color="auto" w:fill="auto"/>
                  <w:vAlign w:val="center"/>
                </w:tcPr>
                <w:p w14:paraId="50EE50D1">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100</w:t>
                  </w:r>
                </w:p>
              </w:tc>
              <w:tc>
                <w:tcPr>
                  <w:tcW w:w="916" w:type="pct"/>
                  <w:tcBorders>
                    <w:tl2br w:val="nil"/>
                    <w:tr2bl w:val="nil"/>
                  </w:tcBorders>
                  <w:shd w:val="clear" w:color="auto" w:fill="auto"/>
                  <w:vAlign w:val="center"/>
                </w:tcPr>
                <w:p w14:paraId="54FCF9B4">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olor w:val="auto"/>
                      <w:lang w:val="en-US" w:eastAsia="zh-CN"/>
                    </w:rPr>
                    <w:t>支</w:t>
                  </w:r>
                </w:p>
              </w:tc>
              <w:tc>
                <w:tcPr>
                  <w:tcW w:w="520" w:type="pct"/>
                  <w:tcBorders>
                    <w:tl2br w:val="nil"/>
                    <w:tr2bl w:val="nil"/>
                  </w:tcBorders>
                  <w:shd w:val="clear" w:color="auto" w:fill="auto"/>
                  <w:vAlign w:val="center"/>
                </w:tcPr>
                <w:p w14:paraId="3C1C20BA">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lang w:val="en-US" w:eastAsia="zh-CN" w:bidi="ar-SA"/>
                    </w:rPr>
                    <w:t>100</w:t>
                  </w:r>
                </w:p>
              </w:tc>
              <w:tc>
                <w:tcPr>
                  <w:tcW w:w="413" w:type="pct"/>
                  <w:vMerge w:val="continue"/>
                  <w:tcBorders>
                    <w:tl2br w:val="nil"/>
                    <w:tr2bl w:val="nil"/>
                  </w:tcBorders>
                  <w:vAlign w:val="center"/>
                </w:tcPr>
                <w:p w14:paraId="3BBE0A6C">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p>
              </w:tc>
              <w:tc>
                <w:tcPr>
                  <w:tcW w:w="590" w:type="pct"/>
                  <w:tcBorders>
                    <w:tl2br w:val="nil"/>
                    <w:tr2bl w:val="nil"/>
                  </w:tcBorders>
                  <w:shd w:val="clear" w:color="auto" w:fill="auto"/>
                  <w:vAlign w:val="center"/>
                </w:tcPr>
                <w:p w14:paraId="3B581742">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color w:val="auto"/>
                      <w:kern w:val="2"/>
                      <w:sz w:val="21"/>
                      <w:szCs w:val="21"/>
                      <w:vertAlign w:val="baseline"/>
                      <w:lang w:val="en-US" w:eastAsia="zh-CN" w:bidi="ar-SA"/>
                    </w:rPr>
                  </w:pPr>
                  <w:r>
                    <w:rPr>
                      <w:rFonts w:hint="eastAsia" w:cs="Times New Roman"/>
                      <w:b w:val="0"/>
                      <w:bCs/>
                      <w:color w:val="auto"/>
                      <w:sz w:val="21"/>
                      <w:szCs w:val="21"/>
                      <w:vertAlign w:val="baseline"/>
                      <w:lang w:val="en-US" w:eastAsia="zh-CN"/>
                    </w:rPr>
                    <w:t>外购</w:t>
                  </w:r>
                </w:p>
              </w:tc>
            </w:tr>
            <w:tr w14:paraId="1C7AA0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96" w:type="pct"/>
                  <w:vMerge w:val="continue"/>
                  <w:tcBorders>
                    <w:tl2br w:val="nil"/>
                    <w:tr2bl w:val="nil"/>
                  </w:tcBorders>
                  <w:shd w:val="clear" w:color="auto" w:fill="auto"/>
                  <w:vAlign w:val="center"/>
                </w:tcPr>
                <w:p w14:paraId="6F939F6D">
                  <w:pPr>
                    <w:keepNext w:val="0"/>
                    <w:keepLines w:val="0"/>
                    <w:pageBreakBefore w:val="0"/>
                    <w:kinsoku/>
                    <w:wordWrap/>
                    <w:overflowPunct/>
                    <w:topLinePunct w:val="0"/>
                    <w:autoSpaceDE/>
                    <w:autoSpaceDN/>
                    <w:bidi w:val="0"/>
                    <w:spacing w:line="240" w:lineRule="auto"/>
                    <w:jc w:val="center"/>
                    <w:rPr>
                      <w:rFonts w:hint="eastAsia" w:ascii="Times New Roman" w:hAnsi="Times New Roman"/>
                      <w:color w:val="auto"/>
                      <w:sz w:val="21"/>
                      <w:szCs w:val="21"/>
                      <w:lang w:val="en-US" w:eastAsia="zh-CN"/>
                    </w:rPr>
                  </w:pPr>
                </w:p>
              </w:tc>
              <w:tc>
                <w:tcPr>
                  <w:tcW w:w="514" w:type="pct"/>
                  <w:vMerge w:val="continue"/>
                  <w:tcBorders>
                    <w:tl2br w:val="nil"/>
                    <w:tr2bl w:val="nil"/>
                  </w:tcBorders>
                  <w:shd w:val="clear" w:color="auto" w:fill="auto"/>
                  <w:vAlign w:val="center"/>
                </w:tcPr>
                <w:p w14:paraId="5291D268">
                  <w:pPr>
                    <w:keepNext w:val="0"/>
                    <w:keepLines w:val="0"/>
                    <w:pageBreakBefore w:val="0"/>
                    <w:kinsoku/>
                    <w:wordWrap/>
                    <w:overflowPunct/>
                    <w:topLinePunct w:val="0"/>
                    <w:autoSpaceDE/>
                    <w:autoSpaceDN/>
                    <w:bidi w:val="0"/>
                    <w:spacing w:line="240" w:lineRule="auto"/>
                    <w:jc w:val="center"/>
                    <w:rPr>
                      <w:rFonts w:hint="eastAsia" w:ascii="Times New Roman" w:hAnsi="Times New Roman"/>
                      <w:color w:val="auto"/>
                      <w:sz w:val="21"/>
                      <w:szCs w:val="21"/>
                      <w:lang w:val="en-US" w:eastAsia="zh-CN"/>
                    </w:rPr>
                  </w:pPr>
                </w:p>
              </w:tc>
              <w:tc>
                <w:tcPr>
                  <w:tcW w:w="1334" w:type="pct"/>
                  <w:tcBorders>
                    <w:tl2br w:val="nil"/>
                    <w:tr2bl w:val="nil"/>
                  </w:tcBorders>
                  <w:shd w:val="clear" w:color="auto" w:fill="auto"/>
                  <w:vAlign w:val="center"/>
                </w:tcPr>
                <w:p w14:paraId="57EDEC94">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default" w:ascii="Times New Roman" w:hAnsi="Times New Roman" w:eastAsia="宋体"/>
                      <w:color w:val="auto"/>
                      <w:kern w:val="0"/>
                      <w:sz w:val="21"/>
                      <w:szCs w:val="21"/>
                      <w:lang w:val="en-US" w:eastAsia="zh-CN"/>
                    </w:rPr>
                  </w:pPr>
                  <w:r>
                    <w:rPr>
                      <w:rFonts w:hint="eastAsia"/>
                      <w:color w:val="auto"/>
                      <w:lang w:val="en-US" w:eastAsia="zh-CN"/>
                    </w:rPr>
                    <w:t>恩诺沙星注射液</w:t>
                  </w:r>
                </w:p>
              </w:tc>
              <w:tc>
                <w:tcPr>
                  <w:tcW w:w="513" w:type="pct"/>
                  <w:tcBorders>
                    <w:tl2br w:val="nil"/>
                    <w:tr2bl w:val="nil"/>
                  </w:tcBorders>
                  <w:shd w:val="clear" w:color="auto" w:fill="auto"/>
                  <w:vAlign w:val="center"/>
                </w:tcPr>
                <w:p w14:paraId="153FB5C5">
                  <w:pPr>
                    <w:keepNext w:val="0"/>
                    <w:keepLines w:val="0"/>
                    <w:pageBreakBefore w:val="0"/>
                    <w:kinsoku/>
                    <w:wordWrap/>
                    <w:overflowPunct/>
                    <w:topLinePunct w:val="0"/>
                    <w:autoSpaceDE/>
                    <w:autoSpaceDN/>
                    <w:bidi w:val="0"/>
                    <w:spacing w:line="240" w:lineRule="auto"/>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1</w:t>
                  </w:r>
                </w:p>
              </w:tc>
              <w:tc>
                <w:tcPr>
                  <w:tcW w:w="916" w:type="pct"/>
                  <w:tcBorders>
                    <w:tl2br w:val="nil"/>
                    <w:tr2bl w:val="nil"/>
                  </w:tcBorders>
                  <w:shd w:val="clear" w:color="auto" w:fill="auto"/>
                  <w:vAlign w:val="center"/>
                </w:tcPr>
                <w:p w14:paraId="54BCF832">
                  <w:pPr>
                    <w:keepNext w:val="0"/>
                    <w:keepLines w:val="0"/>
                    <w:pageBreakBefore w:val="0"/>
                    <w:kinsoku/>
                    <w:wordWrap/>
                    <w:overflowPunct/>
                    <w:topLinePunct w:val="0"/>
                    <w:autoSpaceDE/>
                    <w:autoSpaceDN/>
                    <w:bidi w:val="0"/>
                    <w:spacing w:line="240" w:lineRule="auto"/>
                    <w:jc w:val="center"/>
                    <w:rPr>
                      <w:rFonts w:hint="default" w:ascii="Times New Roman" w:hAnsi="Times New Roman"/>
                      <w:color w:val="auto"/>
                      <w:sz w:val="21"/>
                      <w:szCs w:val="21"/>
                      <w:lang w:val="en-US" w:eastAsia="zh-CN"/>
                    </w:rPr>
                  </w:pPr>
                  <w:r>
                    <w:rPr>
                      <w:rFonts w:hint="eastAsia"/>
                      <w:color w:val="auto"/>
                      <w:sz w:val="21"/>
                      <w:szCs w:val="21"/>
                      <w:lang w:val="en-US" w:eastAsia="zh-CN"/>
                    </w:rPr>
                    <w:t>瓶</w:t>
                  </w:r>
                </w:p>
              </w:tc>
              <w:tc>
                <w:tcPr>
                  <w:tcW w:w="520" w:type="pct"/>
                  <w:tcBorders>
                    <w:tl2br w:val="nil"/>
                    <w:tr2bl w:val="nil"/>
                  </w:tcBorders>
                  <w:shd w:val="clear" w:color="auto" w:fill="auto"/>
                  <w:vAlign w:val="center"/>
                </w:tcPr>
                <w:p w14:paraId="0DDB5C6F">
                  <w:pPr>
                    <w:keepNext w:val="0"/>
                    <w:keepLines w:val="0"/>
                    <w:pageBreakBefore w:val="0"/>
                    <w:kinsoku/>
                    <w:wordWrap/>
                    <w:overflowPunct/>
                    <w:topLinePunct w:val="0"/>
                    <w:autoSpaceDE/>
                    <w:autoSpaceDN/>
                    <w:bidi w:val="0"/>
                    <w:spacing w:line="240" w:lineRule="auto"/>
                    <w:jc w:val="center"/>
                    <w:rPr>
                      <w:rFonts w:hint="default" w:ascii="Times New Roman" w:hAnsi="Times New Roman"/>
                      <w:color w:val="auto"/>
                      <w:sz w:val="21"/>
                      <w:szCs w:val="21"/>
                      <w:lang w:val="en-US" w:eastAsia="zh-CN"/>
                    </w:rPr>
                  </w:pPr>
                  <w:r>
                    <w:rPr>
                      <w:rFonts w:hint="default" w:ascii="Times New Roman" w:hAnsi="Times New Roman"/>
                      <w:color w:val="auto"/>
                      <w:sz w:val="21"/>
                      <w:lang w:val="en-US" w:eastAsia="zh-CN"/>
                    </w:rPr>
                    <w:t>1</w:t>
                  </w:r>
                </w:p>
              </w:tc>
              <w:tc>
                <w:tcPr>
                  <w:tcW w:w="413" w:type="pct"/>
                  <w:vMerge w:val="continue"/>
                  <w:tcBorders>
                    <w:tl2br w:val="nil"/>
                    <w:tr2bl w:val="nil"/>
                  </w:tcBorders>
                  <w:vAlign w:val="center"/>
                </w:tcPr>
                <w:p w14:paraId="3E78EE58">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p>
              </w:tc>
              <w:tc>
                <w:tcPr>
                  <w:tcW w:w="590" w:type="pct"/>
                  <w:tcBorders>
                    <w:tl2br w:val="nil"/>
                    <w:tr2bl w:val="nil"/>
                  </w:tcBorders>
                  <w:shd w:val="clear" w:color="auto" w:fill="auto"/>
                  <w:vAlign w:val="center"/>
                </w:tcPr>
                <w:p w14:paraId="1EC23CB9">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外购</w:t>
                  </w:r>
                </w:p>
              </w:tc>
            </w:tr>
            <w:tr w14:paraId="2BF4F3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96" w:type="pct"/>
                  <w:vMerge w:val="continue"/>
                  <w:tcBorders>
                    <w:tl2br w:val="nil"/>
                    <w:tr2bl w:val="nil"/>
                  </w:tcBorders>
                  <w:shd w:val="clear" w:color="auto" w:fill="auto"/>
                  <w:vAlign w:val="center"/>
                </w:tcPr>
                <w:p w14:paraId="54612FA5">
                  <w:pPr>
                    <w:keepNext w:val="0"/>
                    <w:keepLines w:val="0"/>
                    <w:pageBreakBefore w:val="0"/>
                    <w:kinsoku/>
                    <w:wordWrap/>
                    <w:overflowPunct/>
                    <w:topLinePunct w:val="0"/>
                    <w:autoSpaceDE/>
                    <w:autoSpaceDN/>
                    <w:bidi w:val="0"/>
                    <w:spacing w:line="240" w:lineRule="auto"/>
                    <w:jc w:val="center"/>
                    <w:rPr>
                      <w:rFonts w:hint="eastAsia" w:ascii="Times New Roman" w:hAnsi="Times New Roman"/>
                      <w:color w:val="auto"/>
                      <w:sz w:val="21"/>
                      <w:szCs w:val="21"/>
                      <w:lang w:val="en-US" w:eastAsia="zh-CN"/>
                    </w:rPr>
                  </w:pPr>
                </w:p>
              </w:tc>
              <w:tc>
                <w:tcPr>
                  <w:tcW w:w="514" w:type="pct"/>
                  <w:vMerge w:val="continue"/>
                  <w:tcBorders>
                    <w:tl2br w:val="nil"/>
                    <w:tr2bl w:val="nil"/>
                  </w:tcBorders>
                  <w:shd w:val="clear" w:color="auto" w:fill="auto"/>
                  <w:vAlign w:val="center"/>
                </w:tcPr>
                <w:p w14:paraId="37166071">
                  <w:pPr>
                    <w:keepNext w:val="0"/>
                    <w:keepLines w:val="0"/>
                    <w:pageBreakBefore w:val="0"/>
                    <w:kinsoku/>
                    <w:wordWrap/>
                    <w:overflowPunct/>
                    <w:topLinePunct w:val="0"/>
                    <w:autoSpaceDE/>
                    <w:autoSpaceDN/>
                    <w:bidi w:val="0"/>
                    <w:spacing w:line="240" w:lineRule="auto"/>
                    <w:jc w:val="center"/>
                    <w:rPr>
                      <w:rFonts w:hint="eastAsia" w:ascii="Times New Roman" w:hAnsi="Times New Roman"/>
                      <w:color w:val="auto"/>
                      <w:sz w:val="21"/>
                      <w:szCs w:val="21"/>
                      <w:lang w:val="en-US" w:eastAsia="zh-CN"/>
                    </w:rPr>
                  </w:pPr>
                </w:p>
              </w:tc>
              <w:tc>
                <w:tcPr>
                  <w:tcW w:w="1334" w:type="pct"/>
                  <w:tcBorders>
                    <w:tl2br w:val="nil"/>
                    <w:tr2bl w:val="nil"/>
                  </w:tcBorders>
                  <w:shd w:val="clear" w:color="auto" w:fill="auto"/>
                  <w:vAlign w:val="center"/>
                </w:tcPr>
                <w:p w14:paraId="0BAEAEBC">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default" w:ascii="Times New Roman" w:hAnsi="Times New Roman" w:eastAsia="宋体"/>
                      <w:color w:val="auto"/>
                      <w:kern w:val="0"/>
                      <w:sz w:val="21"/>
                      <w:szCs w:val="21"/>
                      <w:lang w:val="en-US" w:eastAsia="zh-CN"/>
                    </w:rPr>
                  </w:pPr>
                  <w:r>
                    <w:rPr>
                      <w:rFonts w:hint="eastAsia"/>
                      <w:color w:val="auto"/>
                      <w:lang w:val="en-US" w:eastAsia="zh-CN"/>
                    </w:rPr>
                    <w:t>马坡沙星片</w:t>
                  </w:r>
                </w:p>
              </w:tc>
              <w:tc>
                <w:tcPr>
                  <w:tcW w:w="513" w:type="pct"/>
                  <w:tcBorders>
                    <w:tl2br w:val="nil"/>
                    <w:tr2bl w:val="nil"/>
                  </w:tcBorders>
                  <w:shd w:val="clear" w:color="auto" w:fill="auto"/>
                  <w:vAlign w:val="center"/>
                </w:tcPr>
                <w:p w14:paraId="537F5487">
                  <w:pPr>
                    <w:keepNext w:val="0"/>
                    <w:keepLines w:val="0"/>
                    <w:pageBreakBefore w:val="0"/>
                    <w:kinsoku/>
                    <w:wordWrap/>
                    <w:overflowPunct/>
                    <w:topLinePunct w:val="0"/>
                    <w:autoSpaceDE/>
                    <w:autoSpaceDN/>
                    <w:bidi w:val="0"/>
                    <w:spacing w:line="240" w:lineRule="auto"/>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20</w:t>
                  </w:r>
                </w:p>
              </w:tc>
              <w:tc>
                <w:tcPr>
                  <w:tcW w:w="916" w:type="pct"/>
                  <w:tcBorders>
                    <w:tl2br w:val="nil"/>
                    <w:tr2bl w:val="nil"/>
                  </w:tcBorders>
                  <w:shd w:val="clear" w:color="auto" w:fill="auto"/>
                  <w:vAlign w:val="center"/>
                </w:tcPr>
                <w:p w14:paraId="4F2D5073">
                  <w:pPr>
                    <w:keepNext w:val="0"/>
                    <w:keepLines w:val="0"/>
                    <w:pageBreakBefore w:val="0"/>
                    <w:kinsoku/>
                    <w:wordWrap/>
                    <w:overflowPunct/>
                    <w:topLinePunct w:val="0"/>
                    <w:autoSpaceDE/>
                    <w:autoSpaceDN/>
                    <w:bidi w:val="0"/>
                    <w:spacing w:line="240" w:lineRule="auto"/>
                    <w:jc w:val="center"/>
                    <w:rPr>
                      <w:rFonts w:hint="default" w:ascii="Times New Roman" w:hAnsi="Times New Roman"/>
                      <w:color w:val="auto"/>
                      <w:sz w:val="21"/>
                      <w:szCs w:val="21"/>
                      <w:lang w:val="en-US" w:eastAsia="zh-CN"/>
                    </w:rPr>
                  </w:pPr>
                  <w:r>
                    <w:rPr>
                      <w:rFonts w:hint="eastAsia"/>
                      <w:color w:val="auto"/>
                      <w:sz w:val="21"/>
                      <w:szCs w:val="21"/>
                      <w:lang w:val="en-US" w:eastAsia="zh-CN"/>
                    </w:rPr>
                    <w:t>片</w:t>
                  </w:r>
                </w:p>
              </w:tc>
              <w:tc>
                <w:tcPr>
                  <w:tcW w:w="520" w:type="pct"/>
                  <w:tcBorders>
                    <w:tl2br w:val="nil"/>
                    <w:tr2bl w:val="nil"/>
                  </w:tcBorders>
                  <w:shd w:val="clear" w:color="auto" w:fill="auto"/>
                  <w:vAlign w:val="center"/>
                </w:tcPr>
                <w:p w14:paraId="3F56F2B4">
                  <w:pPr>
                    <w:keepNext w:val="0"/>
                    <w:keepLines w:val="0"/>
                    <w:pageBreakBefore w:val="0"/>
                    <w:kinsoku/>
                    <w:wordWrap/>
                    <w:overflowPunct/>
                    <w:topLinePunct w:val="0"/>
                    <w:autoSpaceDE/>
                    <w:autoSpaceDN/>
                    <w:bidi w:val="0"/>
                    <w:spacing w:line="240" w:lineRule="auto"/>
                    <w:jc w:val="center"/>
                    <w:rPr>
                      <w:rFonts w:hint="default" w:ascii="Times New Roman" w:hAnsi="Times New Roman"/>
                      <w:color w:val="auto"/>
                      <w:sz w:val="21"/>
                      <w:szCs w:val="21"/>
                      <w:lang w:val="en-US" w:eastAsia="zh-CN"/>
                    </w:rPr>
                  </w:pPr>
                  <w:r>
                    <w:rPr>
                      <w:rFonts w:hint="default" w:ascii="Times New Roman" w:hAnsi="Times New Roman"/>
                      <w:color w:val="auto"/>
                      <w:sz w:val="21"/>
                      <w:lang w:val="en-US" w:eastAsia="zh-CN"/>
                    </w:rPr>
                    <w:t>20</w:t>
                  </w:r>
                </w:p>
              </w:tc>
              <w:tc>
                <w:tcPr>
                  <w:tcW w:w="413" w:type="pct"/>
                  <w:vMerge w:val="continue"/>
                  <w:tcBorders>
                    <w:tl2br w:val="nil"/>
                    <w:tr2bl w:val="nil"/>
                  </w:tcBorders>
                  <w:vAlign w:val="center"/>
                </w:tcPr>
                <w:p w14:paraId="40550FF1">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p>
              </w:tc>
              <w:tc>
                <w:tcPr>
                  <w:tcW w:w="590" w:type="pct"/>
                  <w:tcBorders>
                    <w:tl2br w:val="nil"/>
                    <w:tr2bl w:val="nil"/>
                  </w:tcBorders>
                  <w:shd w:val="clear" w:color="auto" w:fill="auto"/>
                  <w:vAlign w:val="center"/>
                </w:tcPr>
                <w:p w14:paraId="704C356C">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b w:val="0"/>
                      <w:bCs/>
                      <w:color w:val="auto"/>
                      <w:kern w:val="2"/>
                      <w:sz w:val="21"/>
                      <w:szCs w:val="21"/>
                      <w:vertAlign w:val="baseline"/>
                      <w:lang w:val="en-US" w:eastAsia="zh-CN" w:bidi="ar-SA"/>
                    </w:rPr>
                  </w:pPr>
                  <w:r>
                    <w:rPr>
                      <w:rFonts w:hint="eastAsia" w:cs="Times New Roman"/>
                      <w:b w:val="0"/>
                      <w:bCs/>
                      <w:color w:val="auto"/>
                      <w:sz w:val="21"/>
                      <w:szCs w:val="21"/>
                      <w:vertAlign w:val="baseline"/>
                      <w:lang w:val="en-US" w:eastAsia="zh-CN"/>
                    </w:rPr>
                    <w:t>外购</w:t>
                  </w:r>
                </w:p>
              </w:tc>
            </w:tr>
            <w:tr w14:paraId="44D744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96" w:type="pct"/>
                  <w:vMerge w:val="continue"/>
                  <w:tcBorders>
                    <w:tl2br w:val="nil"/>
                    <w:tr2bl w:val="nil"/>
                  </w:tcBorders>
                  <w:shd w:val="clear" w:color="auto" w:fill="auto"/>
                  <w:vAlign w:val="center"/>
                </w:tcPr>
                <w:p w14:paraId="7A8C7990">
                  <w:pPr>
                    <w:keepNext w:val="0"/>
                    <w:keepLines w:val="0"/>
                    <w:pageBreakBefore w:val="0"/>
                    <w:kinsoku/>
                    <w:wordWrap/>
                    <w:overflowPunct/>
                    <w:topLinePunct w:val="0"/>
                    <w:autoSpaceDE/>
                    <w:autoSpaceDN/>
                    <w:bidi w:val="0"/>
                    <w:spacing w:line="240" w:lineRule="auto"/>
                    <w:jc w:val="center"/>
                    <w:rPr>
                      <w:rFonts w:hint="eastAsia" w:ascii="Times New Roman" w:hAnsi="Times New Roman"/>
                      <w:color w:val="auto"/>
                      <w:sz w:val="21"/>
                      <w:szCs w:val="21"/>
                      <w:lang w:val="en-US" w:eastAsia="zh-CN"/>
                    </w:rPr>
                  </w:pPr>
                </w:p>
              </w:tc>
              <w:tc>
                <w:tcPr>
                  <w:tcW w:w="514" w:type="pct"/>
                  <w:vMerge w:val="continue"/>
                  <w:tcBorders>
                    <w:tl2br w:val="nil"/>
                    <w:tr2bl w:val="nil"/>
                  </w:tcBorders>
                  <w:shd w:val="clear" w:color="auto" w:fill="auto"/>
                  <w:vAlign w:val="center"/>
                </w:tcPr>
                <w:p w14:paraId="4F41CFFA">
                  <w:pPr>
                    <w:keepNext w:val="0"/>
                    <w:keepLines w:val="0"/>
                    <w:pageBreakBefore w:val="0"/>
                    <w:kinsoku/>
                    <w:wordWrap/>
                    <w:overflowPunct/>
                    <w:topLinePunct w:val="0"/>
                    <w:autoSpaceDE/>
                    <w:autoSpaceDN/>
                    <w:bidi w:val="0"/>
                    <w:spacing w:line="240" w:lineRule="auto"/>
                    <w:jc w:val="center"/>
                    <w:rPr>
                      <w:rFonts w:hint="eastAsia" w:ascii="Times New Roman" w:hAnsi="Times New Roman"/>
                      <w:color w:val="auto"/>
                      <w:sz w:val="21"/>
                      <w:szCs w:val="21"/>
                      <w:lang w:val="en-US" w:eastAsia="zh-CN"/>
                    </w:rPr>
                  </w:pPr>
                </w:p>
              </w:tc>
              <w:tc>
                <w:tcPr>
                  <w:tcW w:w="1334" w:type="pct"/>
                  <w:tcBorders>
                    <w:tl2br w:val="nil"/>
                    <w:tr2bl w:val="nil"/>
                  </w:tcBorders>
                  <w:shd w:val="clear" w:color="auto" w:fill="auto"/>
                  <w:vAlign w:val="center"/>
                </w:tcPr>
                <w:p w14:paraId="74AACCF9">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default" w:ascii="Times New Roman" w:hAnsi="Times New Roman" w:eastAsia="宋体"/>
                      <w:color w:val="auto"/>
                      <w:kern w:val="0"/>
                      <w:sz w:val="21"/>
                      <w:szCs w:val="21"/>
                      <w:lang w:val="en-US" w:eastAsia="zh-CN"/>
                    </w:rPr>
                  </w:pPr>
                  <w:r>
                    <w:rPr>
                      <w:rFonts w:hint="eastAsia"/>
                      <w:color w:val="auto"/>
                      <w:lang w:val="en-US" w:eastAsia="zh-CN"/>
                    </w:rPr>
                    <w:t xml:space="preserve">恩诺沙星片 </w:t>
                  </w:r>
                </w:p>
              </w:tc>
              <w:tc>
                <w:tcPr>
                  <w:tcW w:w="513" w:type="pct"/>
                  <w:tcBorders>
                    <w:tl2br w:val="nil"/>
                    <w:tr2bl w:val="nil"/>
                  </w:tcBorders>
                  <w:shd w:val="clear" w:color="auto" w:fill="auto"/>
                  <w:vAlign w:val="center"/>
                </w:tcPr>
                <w:p w14:paraId="7C13EF62">
                  <w:pPr>
                    <w:keepNext w:val="0"/>
                    <w:keepLines w:val="0"/>
                    <w:pageBreakBefore w:val="0"/>
                    <w:kinsoku/>
                    <w:wordWrap/>
                    <w:overflowPunct/>
                    <w:topLinePunct w:val="0"/>
                    <w:autoSpaceDE/>
                    <w:autoSpaceDN/>
                    <w:bidi w:val="0"/>
                    <w:spacing w:line="240" w:lineRule="auto"/>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10</w:t>
                  </w:r>
                </w:p>
              </w:tc>
              <w:tc>
                <w:tcPr>
                  <w:tcW w:w="916" w:type="pct"/>
                  <w:tcBorders>
                    <w:tl2br w:val="nil"/>
                    <w:tr2bl w:val="nil"/>
                  </w:tcBorders>
                  <w:shd w:val="clear" w:color="auto" w:fill="auto"/>
                  <w:vAlign w:val="center"/>
                </w:tcPr>
                <w:p w14:paraId="1CE9F71E">
                  <w:pPr>
                    <w:keepNext w:val="0"/>
                    <w:keepLines w:val="0"/>
                    <w:pageBreakBefore w:val="0"/>
                    <w:kinsoku/>
                    <w:wordWrap/>
                    <w:overflowPunct/>
                    <w:topLinePunct w:val="0"/>
                    <w:autoSpaceDE/>
                    <w:autoSpaceDN/>
                    <w:bidi w:val="0"/>
                    <w:spacing w:line="240" w:lineRule="auto"/>
                    <w:jc w:val="center"/>
                    <w:rPr>
                      <w:rFonts w:hint="default" w:ascii="Times New Roman" w:hAnsi="Times New Roman"/>
                      <w:color w:val="auto"/>
                      <w:sz w:val="21"/>
                      <w:szCs w:val="21"/>
                      <w:lang w:val="en-US" w:eastAsia="zh-CN"/>
                    </w:rPr>
                  </w:pPr>
                  <w:r>
                    <w:rPr>
                      <w:rFonts w:hint="eastAsia"/>
                      <w:color w:val="auto"/>
                      <w:sz w:val="21"/>
                      <w:szCs w:val="21"/>
                      <w:lang w:val="en-US" w:eastAsia="zh-CN"/>
                    </w:rPr>
                    <w:t>片</w:t>
                  </w:r>
                </w:p>
              </w:tc>
              <w:tc>
                <w:tcPr>
                  <w:tcW w:w="520" w:type="pct"/>
                  <w:tcBorders>
                    <w:tl2br w:val="nil"/>
                    <w:tr2bl w:val="nil"/>
                  </w:tcBorders>
                  <w:shd w:val="clear" w:color="auto" w:fill="auto"/>
                  <w:vAlign w:val="center"/>
                </w:tcPr>
                <w:p w14:paraId="1DD0B9B4">
                  <w:pPr>
                    <w:keepNext w:val="0"/>
                    <w:keepLines w:val="0"/>
                    <w:pageBreakBefore w:val="0"/>
                    <w:kinsoku/>
                    <w:wordWrap/>
                    <w:overflowPunct/>
                    <w:topLinePunct w:val="0"/>
                    <w:autoSpaceDE/>
                    <w:autoSpaceDN/>
                    <w:bidi w:val="0"/>
                    <w:spacing w:line="240" w:lineRule="auto"/>
                    <w:jc w:val="center"/>
                    <w:rPr>
                      <w:rFonts w:hint="default" w:ascii="Times New Roman" w:hAnsi="Times New Roman"/>
                      <w:color w:val="auto"/>
                      <w:sz w:val="21"/>
                      <w:szCs w:val="21"/>
                      <w:lang w:val="en-US" w:eastAsia="zh-CN"/>
                    </w:rPr>
                  </w:pPr>
                  <w:r>
                    <w:rPr>
                      <w:rFonts w:hint="default" w:ascii="Times New Roman" w:hAnsi="Times New Roman"/>
                      <w:color w:val="auto"/>
                      <w:sz w:val="21"/>
                      <w:lang w:val="en-US" w:eastAsia="zh-CN"/>
                    </w:rPr>
                    <w:t>10</w:t>
                  </w:r>
                </w:p>
              </w:tc>
              <w:tc>
                <w:tcPr>
                  <w:tcW w:w="413" w:type="pct"/>
                  <w:vMerge w:val="continue"/>
                  <w:tcBorders>
                    <w:tl2br w:val="nil"/>
                    <w:tr2bl w:val="nil"/>
                  </w:tcBorders>
                  <w:vAlign w:val="center"/>
                </w:tcPr>
                <w:p w14:paraId="4F9188CD">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p>
              </w:tc>
              <w:tc>
                <w:tcPr>
                  <w:tcW w:w="590" w:type="pct"/>
                  <w:tcBorders>
                    <w:tl2br w:val="nil"/>
                    <w:tr2bl w:val="nil"/>
                  </w:tcBorders>
                  <w:shd w:val="clear" w:color="auto" w:fill="auto"/>
                  <w:vAlign w:val="center"/>
                </w:tcPr>
                <w:p w14:paraId="57DA353B">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b w:val="0"/>
                      <w:bCs/>
                      <w:color w:val="auto"/>
                      <w:kern w:val="2"/>
                      <w:sz w:val="21"/>
                      <w:szCs w:val="21"/>
                      <w:vertAlign w:val="baseline"/>
                      <w:lang w:val="en-US" w:eastAsia="zh-CN" w:bidi="ar-SA"/>
                    </w:rPr>
                  </w:pPr>
                  <w:r>
                    <w:rPr>
                      <w:rFonts w:hint="eastAsia" w:cs="Times New Roman"/>
                      <w:b w:val="0"/>
                      <w:bCs/>
                      <w:color w:val="auto"/>
                      <w:sz w:val="21"/>
                      <w:szCs w:val="21"/>
                      <w:vertAlign w:val="baseline"/>
                      <w:lang w:val="en-US" w:eastAsia="zh-CN"/>
                    </w:rPr>
                    <w:t>外购</w:t>
                  </w:r>
                </w:p>
              </w:tc>
            </w:tr>
            <w:tr w14:paraId="10DB32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96" w:type="pct"/>
                  <w:vMerge w:val="continue"/>
                  <w:tcBorders>
                    <w:tl2br w:val="nil"/>
                    <w:tr2bl w:val="nil"/>
                  </w:tcBorders>
                  <w:shd w:val="clear" w:color="auto" w:fill="auto"/>
                  <w:vAlign w:val="center"/>
                </w:tcPr>
                <w:p w14:paraId="54DA0B14">
                  <w:pPr>
                    <w:keepNext w:val="0"/>
                    <w:keepLines w:val="0"/>
                    <w:pageBreakBefore w:val="0"/>
                    <w:kinsoku/>
                    <w:wordWrap/>
                    <w:overflowPunct/>
                    <w:topLinePunct w:val="0"/>
                    <w:autoSpaceDE/>
                    <w:autoSpaceDN/>
                    <w:bidi w:val="0"/>
                    <w:spacing w:line="240" w:lineRule="auto"/>
                    <w:jc w:val="center"/>
                    <w:rPr>
                      <w:rFonts w:hint="eastAsia" w:ascii="Times New Roman" w:hAnsi="Times New Roman"/>
                      <w:color w:val="auto"/>
                      <w:sz w:val="21"/>
                      <w:szCs w:val="21"/>
                      <w:lang w:val="en-US" w:eastAsia="zh-CN"/>
                    </w:rPr>
                  </w:pPr>
                </w:p>
              </w:tc>
              <w:tc>
                <w:tcPr>
                  <w:tcW w:w="514" w:type="pct"/>
                  <w:vMerge w:val="continue"/>
                  <w:tcBorders>
                    <w:tl2br w:val="nil"/>
                    <w:tr2bl w:val="nil"/>
                  </w:tcBorders>
                  <w:shd w:val="clear" w:color="auto" w:fill="auto"/>
                  <w:vAlign w:val="center"/>
                </w:tcPr>
                <w:p w14:paraId="50FB6008">
                  <w:pPr>
                    <w:keepNext w:val="0"/>
                    <w:keepLines w:val="0"/>
                    <w:pageBreakBefore w:val="0"/>
                    <w:kinsoku/>
                    <w:wordWrap/>
                    <w:overflowPunct/>
                    <w:topLinePunct w:val="0"/>
                    <w:autoSpaceDE/>
                    <w:autoSpaceDN/>
                    <w:bidi w:val="0"/>
                    <w:spacing w:line="240" w:lineRule="auto"/>
                    <w:jc w:val="center"/>
                    <w:rPr>
                      <w:rFonts w:hint="eastAsia" w:ascii="Times New Roman" w:hAnsi="Times New Roman"/>
                      <w:color w:val="auto"/>
                      <w:sz w:val="21"/>
                      <w:szCs w:val="21"/>
                      <w:lang w:val="en-US" w:eastAsia="zh-CN"/>
                    </w:rPr>
                  </w:pPr>
                </w:p>
              </w:tc>
              <w:tc>
                <w:tcPr>
                  <w:tcW w:w="1334" w:type="pct"/>
                  <w:tcBorders>
                    <w:tl2br w:val="nil"/>
                    <w:tr2bl w:val="nil"/>
                  </w:tcBorders>
                  <w:shd w:val="clear" w:color="auto" w:fill="auto"/>
                  <w:vAlign w:val="center"/>
                </w:tcPr>
                <w:p w14:paraId="1A626915">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default" w:ascii="Times New Roman" w:hAnsi="Times New Roman" w:eastAsia="宋体"/>
                      <w:color w:val="auto"/>
                      <w:kern w:val="0"/>
                      <w:sz w:val="21"/>
                      <w:szCs w:val="21"/>
                      <w:lang w:val="en-US" w:eastAsia="zh-CN"/>
                    </w:rPr>
                  </w:pPr>
                  <w:r>
                    <w:rPr>
                      <w:rFonts w:hint="eastAsia"/>
                      <w:color w:val="auto"/>
                      <w:lang w:val="en-US" w:eastAsia="zh-CN"/>
                    </w:rPr>
                    <w:t>多西环素片</w:t>
                  </w:r>
                </w:p>
              </w:tc>
              <w:tc>
                <w:tcPr>
                  <w:tcW w:w="513" w:type="pct"/>
                  <w:tcBorders>
                    <w:tl2br w:val="nil"/>
                    <w:tr2bl w:val="nil"/>
                  </w:tcBorders>
                  <w:shd w:val="clear" w:color="auto" w:fill="auto"/>
                  <w:vAlign w:val="center"/>
                </w:tcPr>
                <w:p w14:paraId="22ED0F05">
                  <w:pPr>
                    <w:keepNext w:val="0"/>
                    <w:keepLines w:val="0"/>
                    <w:pageBreakBefore w:val="0"/>
                    <w:kinsoku/>
                    <w:wordWrap/>
                    <w:overflowPunct/>
                    <w:topLinePunct w:val="0"/>
                    <w:autoSpaceDE/>
                    <w:autoSpaceDN/>
                    <w:bidi w:val="0"/>
                    <w:spacing w:line="240" w:lineRule="auto"/>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50</w:t>
                  </w:r>
                </w:p>
              </w:tc>
              <w:tc>
                <w:tcPr>
                  <w:tcW w:w="916" w:type="pct"/>
                  <w:tcBorders>
                    <w:tl2br w:val="nil"/>
                    <w:tr2bl w:val="nil"/>
                  </w:tcBorders>
                  <w:shd w:val="clear" w:color="auto" w:fill="auto"/>
                  <w:vAlign w:val="center"/>
                </w:tcPr>
                <w:p w14:paraId="67BED9B1">
                  <w:pPr>
                    <w:keepNext w:val="0"/>
                    <w:keepLines w:val="0"/>
                    <w:pageBreakBefore w:val="0"/>
                    <w:kinsoku/>
                    <w:wordWrap/>
                    <w:overflowPunct/>
                    <w:topLinePunct w:val="0"/>
                    <w:autoSpaceDE/>
                    <w:autoSpaceDN/>
                    <w:bidi w:val="0"/>
                    <w:spacing w:line="240" w:lineRule="auto"/>
                    <w:jc w:val="center"/>
                    <w:rPr>
                      <w:rFonts w:hint="eastAsia" w:ascii="Times New Roman" w:hAnsi="Times New Roman"/>
                      <w:color w:val="auto"/>
                      <w:sz w:val="21"/>
                      <w:szCs w:val="21"/>
                      <w:lang w:eastAsia="zh-CN"/>
                    </w:rPr>
                  </w:pPr>
                  <w:r>
                    <w:rPr>
                      <w:rFonts w:hint="eastAsia"/>
                      <w:color w:val="auto"/>
                      <w:sz w:val="21"/>
                      <w:szCs w:val="21"/>
                      <w:lang w:val="en-US" w:eastAsia="zh-CN"/>
                    </w:rPr>
                    <w:t>片</w:t>
                  </w:r>
                </w:p>
              </w:tc>
              <w:tc>
                <w:tcPr>
                  <w:tcW w:w="520" w:type="pct"/>
                  <w:tcBorders>
                    <w:tl2br w:val="nil"/>
                    <w:tr2bl w:val="nil"/>
                  </w:tcBorders>
                  <w:shd w:val="clear" w:color="auto" w:fill="auto"/>
                  <w:vAlign w:val="center"/>
                </w:tcPr>
                <w:p w14:paraId="7A5C358F">
                  <w:pPr>
                    <w:keepNext w:val="0"/>
                    <w:keepLines w:val="0"/>
                    <w:pageBreakBefore w:val="0"/>
                    <w:kinsoku/>
                    <w:wordWrap/>
                    <w:overflowPunct/>
                    <w:topLinePunct w:val="0"/>
                    <w:autoSpaceDE/>
                    <w:autoSpaceDN/>
                    <w:bidi w:val="0"/>
                    <w:spacing w:line="240" w:lineRule="auto"/>
                    <w:jc w:val="center"/>
                    <w:rPr>
                      <w:rFonts w:hint="eastAsia" w:ascii="Times New Roman" w:hAnsi="Times New Roman"/>
                      <w:color w:val="auto"/>
                      <w:sz w:val="21"/>
                      <w:szCs w:val="21"/>
                      <w:lang w:val="en-US" w:eastAsia="zh-CN"/>
                    </w:rPr>
                  </w:pPr>
                  <w:r>
                    <w:rPr>
                      <w:rFonts w:hint="eastAsia" w:ascii="Times New Roman" w:hAnsi="Times New Roman"/>
                      <w:color w:val="auto"/>
                      <w:sz w:val="21"/>
                      <w:lang w:val="en-US" w:eastAsia="zh-CN"/>
                    </w:rPr>
                    <w:t>50</w:t>
                  </w:r>
                </w:p>
              </w:tc>
              <w:tc>
                <w:tcPr>
                  <w:tcW w:w="413" w:type="pct"/>
                  <w:vMerge w:val="continue"/>
                  <w:tcBorders>
                    <w:tl2br w:val="nil"/>
                    <w:tr2bl w:val="nil"/>
                  </w:tcBorders>
                  <w:vAlign w:val="center"/>
                </w:tcPr>
                <w:p w14:paraId="3FE141BB">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p>
              </w:tc>
              <w:tc>
                <w:tcPr>
                  <w:tcW w:w="590" w:type="pct"/>
                  <w:tcBorders>
                    <w:tl2br w:val="nil"/>
                    <w:tr2bl w:val="nil"/>
                  </w:tcBorders>
                  <w:shd w:val="clear" w:color="auto" w:fill="auto"/>
                  <w:vAlign w:val="center"/>
                </w:tcPr>
                <w:p w14:paraId="2D1E02D6">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b w:val="0"/>
                      <w:bCs/>
                      <w:color w:val="auto"/>
                      <w:kern w:val="2"/>
                      <w:sz w:val="21"/>
                      <w:szCs w:val="21"/>
                      <w:vertAlign w:val="baseline"/>
                      <w:lang w:val="en-US" w:eastAsia="zh-CN" w:bidi="ar-SA"/>
                    </w:rPr>
                  </w:pPr>
                  <w:r>
                    <w:rPr>
                      <w:rFonts w:hint="eastAsia" w:cs="Times New Roman"/>
                      <w:b w:val="0"/>
                      <w:bCs/>
                      <w:color w:val="auto"/>
                      <w:sz w:val="21"/>
                      <w:szCs w:val="21"/>
                      <w:vertAlign w:val="baseline"/>
                      <w:lang w:val="en-US" w:eastAsia="zh-CN"/>
                    </w:rPr>
                    <w:t>外购</w:t>
                  </w:r>
                </w:p>
              </w:tc>
            </w:tr>
            <w:tr w14:paraId="7D5871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96" w:type="pct"/>
                  <w:vMerge w:val="continue"/>
                  <w:tcBorders>
                    <w:tl2br w:val="nil"/>
                    <w:tr2bl w:val="nil"/>
                  </w:tcBorders>
                  <w:shd w:val="clear" w:color="auto" w:fill="auto"/>
                  <w:vAlign w:val="center"/>
                </w:tcPr>
                <w:p w14:paraId="54DEE360">
                  <w:pPr>
                    <w:keepNext w:val="0"/>
                    <w:keepLines w:val="0"/>
                    <w:pageBreakBefore w:val="0"/>
                    <w:kinsoku/>
                    <w:wordWrap/>
                    <w:overflowPunct/>
                    <w:topLinePunct w:val="0"/>
                    <w:autoSpaceDE/>
                    <w:autoSpaceDN/>
                    <w:bidi w:val="0"/>
                    <w:spacing w:line="240" w:lineRule="auto"/>
                    <w:jc w:val="center"/>
                    <w:rPr>
                      <w:rFonts w:hint="eastAsia" w:ascii="Times New Roman" w:hAnsi="Times New Roman"/>
                      <w:color w:val="auto"/>
                      <w:sz w:val="21"/>
                      <w:szCs w:val="21"/>
                      <w:lang w:val="en-US" w:eastAsia="zh-CN"/>
                    </w:rPr>
                  </w:pPr>
                </w:p>
              </w:tc>
              <w:tc>
                <w:tcPr>
                  <w:tcW w:w="514" w:type="pct"/>
                  <w:vMerge w:val="continue"/>
                  <w:tcBorders>
                    <w:tl2br w:val="nil"/>
                    <w:tr2bl w:val="nil"/>
                  </w:tcBorders>
                  <w:shd w:val="clear" w:color="auto" w:fill="auto"/>
                  <w:vAlign w:val="center"/>
                </w:tcPr>
                <w:p w14:paraId="2B2CBB38">
                  <w:pPr>
                    <w:keepNext w:val="0"/>
                    <w:keepLines w:val="0"/>
                    <w:pageBreakBefore w:val="0"/>
                    <w:kinsoku/>
                    <w:wordWrap/>
                    <w:overflowPunct/>
                    <w:topLinePunct w:val="0"/>
                    <w:autoSpaceDE/>
                    <w:autoSpaceDN/>
                    <w:bidi w:val="0"/>
                    <w:spacing w:line="240" w:lineRule="auto"/>
                    <w:jc w:val="center"/>
                    <w:rPr>
                      <w:rFonts w:hint="eastAsia" w:ascii="Times New Roman" w:hAnsi="Times New Roman"/>
                      <w:color w:val="auto"/>
                      <w:sz w:val="21"/>
                      <w:szCs w:val="21"/>
                      <w:lang w:val="en-US" w:eastAsia="zh-CN"/>
                    </w:rPr>
                  </w:pPr>
                </w:p>
              </w:tc>
              <w:tc>
                <w:tcPr>
                  <w:tcW w:w="1334" w:type="pct"/>
                  <w:tcBorders>
                    <w:tl2br w:val="nil"/>
                    <w:tr2bl w:val="nil"/>
                  </w:tcBorders>
                  <w:shd w:val="clear" w:color="auto" w:fill="auto"/>
                  <w:vAlign w:val="center"/>
                </w:tcPr>
                <w:p w14:paraId="7992DFC1">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default" w:ascii="Times New Roman" w:hAnsi="Times New Roman" w:eastAsia="宋体"/>
                      <w:color w:val="auto"/>
                      <w:kern w:val="0"/>
                      <w:sz w:val="21"/>
                      <w:szCs w:val="21"/>
                      <w:lang w:val="en-US" w:eastAsia="zh-CN"/>
                    </w:rPr>
                  </w:pPr>
                  <w:r>
                    <w:rPr>
                      <w:rFonts w:hint="eastAsia"/>
                      <w:color w:val="auto"/>
                      <w:lang w:val="en-US" w:eastAsia="zh-CN"/>
                    </w:rPr>
                    <w:t>甲硝唑片</w:t>
                  </w:r>
                </w:p>
              </w:tc>
              <w:tc>
                <w:tcPr>
                  <w:tcW w:w="513" w:type="pct"/>
                  <w:tcBorders>
                    <w:tl2br w:val="nil"/>
                    <w:tr2bl w:val="nil"/>
                  </w:tcBorders>
                  <w:shd w:val="clear" w:color="auto" w:fill="auto"/>
                  <w:vAlign w:val="center"/>
                </w:tcPr>
                <w:p w14:paraId="1899D06A">
                  <w:pPr>
                    <w:keepNext w:val="0"/>
                    <w:keepLines w:val="0"/>
                    <w:pageBreakBefore w:val="0"/>
                    <w:kinsoku/>
                    <w:wordWrap/>
                    <w:overflowPunct/>
                    <w:topLinePunct w:val="0"/>
                    <w:autoSpaceDE/>
                    <w:autoSpaceDN/>
                    <w:bidi w:val="0"/>
                    <w:spacing w:line="240" w:lineRule="auto"/>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50</w:t>
                  </w:r>
                </w:p>
              </w:tc>
              <w:tc>
                <w:tcPr>
                  <w:tcW w:w="916" w:type="pct"/>
                  <w:tcBorders>
                    <w:tl2br w:val="nil"/>
                    <w:tr2bl w:val="nil"/>
                  </w:tcBorders>
                  <w:shd w:val="clear" w:color="auto" w:fill="auto"/>
                  <w:vAlign w:val="center"/>
                </w:tcPr>
                <w:p w14:paraId="56673073">
                  <w:pPr>
                    <w:keepNext w:val="0"/>
                    <w:keepLines w:val="0"/>
                    <w:pageBreakBefore w:val="0"/>
                    <w:kinsoku/>
                    <w:wordWrap/>
                    <w:overflowPunct/>
                    <w:topLinePunct w:val="0"/>
                    <w:autoSpaceDE/>
                    <w:autoSpaceDN/>
                    <w:bidi w:val="0"/>
                    <w:spacing w:line="240" w:lineRule="auto"/>
                    <w:jc w:val="center"/>
                    <w:rPr>
                      <w:rFonts w:hint="default" w:ascii="Times New Roman" w:hAnsi="Times New Roman"/>
                      <w:color w:val="auto"/>
                      <w:sz w:val="21"/>
                      <w:szCs w:val="21"/>
                      <w:lang w:val="en-US" w:eastAsia="zh-CN"/>
                    </w:rPr>
                  </w:pPr>
                  <w:r>
                    <w:rPr>
                      <w:rFonts w:hint="eastAsia"/>
                      <w:color w:val="auto"/>
                      <w:sz w:val="21"/>
                      <w:szCs w:val="21"/>
                      <w:lang w:val="en-US" w:eastAsia="zh-CN"/>
                    </w:rPr>
                    <w:t>片</w:t>
                  </w:r>
                </w:p>
              </w:tc>
              <w:tc>
                <w:tcPr>
                  <w:tcW w:w="520" w:type="pct"/>
                  <w:tcBorders>
                    <w:tl2br w:val="nil"/>
                    <w:tr2bl w:val="nil"/>
                  </w:tcBorders>
                  <w:shd w:val="clear" w:color="auto" w:fill="auto"/>
                  <w:vAlign w:val="center"/>
                </w:tcPr>
                <w:p w14:paraId="636FEC26">
                  <w:pPr>
                    <w:keepNext w:val="0"/>
                    <w:keepLines w:val="0"/>
                    <w:pageBreakBefore w:val="0"/>
                    <w:kinsoku/>
                    <w:wordWrap/>
                    <w:overflowPunct/>
                    <w:topLinePunct w:val="0"/>
                    <w:autoSpaceDE/>
                    <w:autoSpaceDN/>
                    <w:bidi w:val="0"/>
                    <w:spacing w:line="240" w:lineRule="auto"/>
                    <w:jc w:val="center"/>
                    <w:rPr>
                      <w:rFonts w:hint="default" w:ascii="Times New Roman" w:hAnsi="Times New Roman"/>
                      <w:color w:val="auto"/>
                      <w:sz w:val="21"/>
                      <w:szCs w:val="21"/>
                      <w:lang w:val="en-US" w:eastAsia="zh-CN"/>
                    </w:rPr>
                  </w:pPr>
                  <w:r>
                    <w:rPr>
                      <w:rFonts w:hint="default" w:ascii="Times New Roman" w:hAnsi="Times New Roman"/>
                      <w:color w:val="auto"/>
                      <w:sz w:val="21"/>
                      <w:lang w:val="en-US" w:eastAsia="zh-CN"/>
                    </w:rPr>
                    <w:t>50</w:t>
                  </w:r>
                </w:p>
              </w:tc>
              <w:tc>
                <w:tcPr>
                  <w:tcW w:w="413" w:type="pct"/>
                  <w:vMerge w:val="continue"/>
                  <w:tcBorders>
                    <w:tl2br w:val="nil"/>
                    <w:tr2bl w:val="nil"/>
                  </w:tcBorders>
                  <w:vAlign w:val="center"/>
                </w:tcPr>
                <w:p w14:paraId="765107E3">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p>
              </w:tc>
              <w:tc>
                <w:tcPr>
                  <w:tcW w:w="590" w:type="pct"/>
                  <w:tcBorders>
                    <w:tl2br w:val="nil"/>
                    <w:tr2bl w:val="nil"/>
                  </w:tcBorders>
                  <w:shd w:val="clear" w:color="auto" w:fill="auto"/>
                  <w:vAlign w:val="center"/>
                </w:tcPr>
                <w:p w14:paraId="03D52E08">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b w:val="0"/>
                      <w:bCs/>
                      <w:color w:val="auto"/>
                      <w:kern w:val="2"/>
                      <w:sz w:val="21"/>
                      <w:szCs w:val="21"/>
                      <w:vertAlign w:val="baseline"/>
                      <w:lang w:val="en-US" w:eastAsia="zh-CN" w:bidi="ar-SA"/>
                    </w:rPr>
                  </w:pPr>
                  <w:r>
                    <w:rPr>
                      <w:rFonts w:hint="eastAsia" w:cs="Times New Roman"/>
                      <w:b w:val="0"/>
                      <w:bCs/>
                      <w:color w:val="auto"/>
                      <w:sz w:val="21"/>
                      <w:szCs w:val="21"/>
                      <w:vertAlign w:val="baseline"/>
                      <w:lang w:val="en-US" w:eastAsia="zh-CN"/>
                    </w:rPr>
                    <w:t>外购</w:t>
                  </w:r>
                </w:p>
              </w:tc>
            </w:tr>
            <w:tr w14:paraId="187351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96" w:type="pct"/>
                  <w:vMerge w:val="continue"/>
                  <w:tcBorders>
                    <w:tl2br w:val="nil"/>
                    <w:tr2bl w:val="nil"/>
                  </w:tcBorders>
                  <w:shd w:val="clear" w:color="auto" w:fill="auto"/>
                  <w:vAlign w:val="center"/>
                </w:tcPr>
                <w:p w14:paraId="34F28525">
                  <w:pPr>
                    <w:keepNext w:val="0"/>
                    <w:keepLines w:val="0"/>
                    <w:pageBreakBefore w:val="0"/>
                    <w:kinsoku/>
                    <w:wordWrap/>
                    <w:overflowPunct/>
                    <w:topLinePunct w:val="0"/>
                    <w:autoSpaceDE/>
                    <w:autoSpaceDN/>
                    <w:bidi w:val="0"/>
                    <w:spacing w:line="240" w:lineRule="auto"/>
                    <w:jc w:val="center"/>
                    <w:rPr>
                      <w:rFonts w:hint="eastAsia" w:ascii="Times New Roman" w:hAnsi="Times New Roman"/>
                      <w:color w:val="auto"/>
                      <w:sz w:val="21"/>
                      <w:szCs w:val="21"/>
                      <w:lang w:val="en-US" w:eastAsia="zh-CN"/>
                    </w:rPr>
                  </w:pPr>
                </w:p>
              </w:tc>
              <w:tc>
                <w:tcPr>
                  <w:tcW w:w="514" w:type="pct"/>
                  <w:vMerge w:val="restart"/>
                  <w:tcBorders>
                    <w:tl2br w:val="nil"/>
                    <w:tr2bl w:val="nil"/>
                  </w:tcBorders>
                  <w:shd w:val="clear" w:color="auto" w:fill="auto"/>
                  <w:vAlign w:val="center"/>
                </w:tcPr>
                <w:p w14:paraId="6A83B09E">
                  <w:pPr>
                    <w:keepNext w:val="0"/>
                    <w:keepLines w:val="0"/>
                    <w:pageBreakBefore w:val="0"/>
                    <w:kinsoku/>
                    <w:wordWrap/>
                    <w:overflowPunct/>
                    <w:topLinePunct w:val="0"/>
                    <w:autoSpaceDE/>
                    <w:autoSpaceDN/>
                    <w:bidi w:val="0"/>
                    <w:spacing w:line="240" w:lineRule="auto"/>
                    <w:jc w:val="center"/>
                    <w:rPr>
                      <w:rFonts w:hint="default" w:ascii="Times New Roman" w:hAnsi="Times New Roman"/>
                      <w:color w:val="auto"/>
                      <w:sz w:val="21"/>
                      <w:szCs w:val="21"/>
                      <w:lang w:val="en-US" w:eastAsia="zh-CN"/>
                    </w:rPr>
                  </w:pPr>
                  <w:r>
                    <w:rPr>
                      <w:rFonts w:hint="eastAsia"/>
                      <w:color w:val="auto"/>
                      <w:sz w:val="21"/>
                      <w:szCs w:val="21"/>
                      <w:lang w:val="en-US" w:eastAsia="zh-CN"/>
                    </w:rPr>
                    <w:t>消炎</w:t>
                  </w:r>
                </w:p>
              </w:tc>
              <w:tc>
                <w:tcPr>
                  <w:tcW w:w="1334" w:type="pct"/>
                  <w:tcBorders>
                    <w:tl2br w:val="nil"/>
                    <w:tr2bl w:val="nil"/>
                  </w:tcBorders>
                  <w:shd w:val="clear" w:color="auto" w:fill="auto"/>
                  <w:vAlign w:val="center"/>
                </w:tcPr>
                <w:p w14:paraId="698F42C0">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default" w:ascii="Times New Roman" w:hAnsi="Times New Roman" w:eastAsia="宋体"/>
                      <w:color w:val="auto"/>
                      <w:kern w:val="0"/>
                      <w:sz w:val="21"/>
                      <w:szCs w:val="21"/>
                      <w:lang w:val="en-US" w:eastAsia="zh-CN"/>
                    </w:rPr>
                  </w:pPr>
                  <w:r>
                    <w:rPr>
                      <w:rFonts w:hint="eastAsia"/>
                      <w:color w:val="auto"/>
                      <w:lang w:val="en-US" w:eastAsia="zh-CN"/>
                    </w:rPr>
                    <w:t>美洛昔康注射液</w:t>
                  </w:r>
                </w:p>
              </w:tc>
              <w:tc>
                <w:tcPr>
                  <w:tcW w:w="513" w:type="pct"/>
                  <w:tcBorders>
                    <w:tl2br w:val="nil"/>
                    <w:tr2bl w:val="nil"/>
                  </w:tcBorders>
                  <w:shd w:val="clear" w:color="auto" w:fill="auto"/>
                  <w:vAlign w:val="center"/>
                </w:tcPr>
                <w:p w14:paraId="0A9C3315">
                  <w:pPr>
                    <w:keepNext w:val="0"/>
                    <w:keepLines w:val="0"/>
                    <w:pageBreakBefore w:val="0"/>
                    <w:kinsoku/>
                    <w:wordWrap/>
                    <w:overflowPunct/>
                    <w:topLinePunct w:val="0"/>
                    <w:autoSpaceDE/>
                    <w:autoSpaceDN/>
                    <w:bidi w:val="0"/>
                    <w:spacing w:line="240" w:lineRule="auto"/>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1</w:t>
                  </w:r>
                </w:p>
              </w:tc>
              <w:tc>
                <w:tcPr>
                  <w:tcW w:w="916" w:type="pct"/>
                  <w:tcBorders>
                    <w:tl2br w:val="nil"/>
                    <w:tr2bl w:val="nil"/>
                  </w:tcBorders>
                  <w:shd w:val="clear" w:color="auto" w:fill="auto"/>
                  <w:vAlign w:val="center"/>
                </w:tcPr>
                <w:p w14:paraId="25B09EFF">
                  <w:pPr>
                    <w:keepNext w:val="0"/>
                    <w:keepLines w:val="0"/>
                    <w:pageBreakBefore w:val="0"/>
                    <w:kinsoku/>
                    <w:wordWrap/>
                    <w:overflowPunct/>
                    <w:topLinePunct w:val="0"/>
                    <w:autoSpaceDE/>
                    <w:autoSpaceDN/>
                    <w:bidi w:val="0"/>
                    <w:spacing w:line="240" w:lineRule="auto"/>
                    <w:jc w:val="center"/>
                    <w:rPr>
                      <w:rFonts w:hint="default" w:ascii="Times New Roman" w:hAnsi="Times New Roman"/>
                      <w:color w:val="auto"/>
                      <w:sz w:val="21"/>
                      <w:szCs w:val="21"/>
                      <w:lang w:val="en-US" w:eastAsia="zh-CN"/>
                    </w:rPr>
                  </w:pPr>
                  <w:r>
                    <w:rPr>
                      <w:rFonts w:hint="eastAsia"/>
                      <w:color w:val="auto"/>
                      <w:sz w:val="21"/>
                      <w:szCs w:val="21"/>
                      <w:lang w:val="en-US" w:eastAsia="zh-CN"/>
                    </w:rPr>
                    <w:t>瓶</w:t>
                  </w:r>
                </w:p>
              </w:tc>
              <w:tc>
                <w:tcPr>
                  <w:tcW w:w="520" w:type="pct"/>
                  <w:tcBorders>
                    <w:tl2br w:val="nil"/>
                    <w:tr2bl w:val="nil"/>
                  </w:tcBorders>
                  <w:shd w:val="clear" w:color="auto" w:fill="auto"/>
                  <w:vAlign w:val="center"/>
                </w:tcPr>
                <w:p w14:paraId="223D93ED">
                  <w:pPr>
                    <w:keepNext w:val="0"/>
                    <w:keepLines w:val="0"/>
                    <w:pageBreakBefore w:val="0"/>
                    <w:kinsoku/>
                    <w:wordWrap/>
                    <w:overflowPunct/>
                    <w:topLinePunct w:val="0"/>
                    <w:autoSpaceDE/>
                    <w:autoSpaceDN/>
                    <w:bidi w:val="0"/>
                    <w:spacing w:line="240" w:lineRule="auto"/>
                    <w:jc w:val="center"/>
                    <w:rPr>
                      <w:rFonts w:hint="default" w:ascii="Times New Roman" w:hAnsi="Times New Roman"/>
                      <w:color w:val="auto"/>
                      <w:sz w:val="21"/>
                      <w:szCs w:val="21"/>
                      <w:lang w:val="en-US" w:eastAsia="zh-CN"/>
                    </w:rPr>
                  </w:pPr>
                  <w:r>
                    <w:rPr>
                      <w:rFonts w:hint="default" w:ascii="Times New Roman" w:hAnsi="Times New Roman"/>
                      <w:color w:val="auto"/>
                      <w:sz w:val="21"/>
                      <w:lang w:val="en-US" w:eastAsia="zh-CN"/>
                    </w:rPr>
                    <w:t>1</w:t>
                  </w:r>
                </w:p>
              </w:tc>
              <w:tc>
                <w:tcPr>
                  <w:tcW w:w="413" w:type="pct"/>
                  <w:vMerge w:val="continue"/>
                  <w:tcBorders>
                    <w:tl2br w:val="nil"/>
                    <w:tr2bl w:val="nil"/>
                  </w:tcBorders>
                  <w:vAlign w:val="center"/>
                </w:tcPr>
                <w:p w14:paraId="08E27311">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p>
              </w:tc>
              <w:tc>
                <w:tcPr>
                  <w:tcW w:w="590" w:type="pct"/>
                  <w:tcBorders>
                    <w:tl2br w:val="nil"/>
                    <w:tr2bl w:val="nil"/>
                  </w:tcBorders>
                  <w:shd w:val="clear" w:color="auto" w:fill="auto"/>
                  <w:vAlign w:val="center"/>
                </w:tcPr>
                <w:p w14:paraId="49C22561">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b w:val="0"/>
                      <w:bCs/>
                      <w:color w:val="auto"/>
                      <w:kern w:val="2"/>
                      <w:sz w:val="21"/>
                      <w:szCs w:val="21"/>
                      <w:vertAlign w:val="baseline"/>
                      <w:lang w:val="en-US" w:eastAsia="zh-CN" w:bidi="ar-SA"/>
                    </w:rPr>
                  </w:pPr>
                  <w:r>
                    <w:rPr>
                      <w:rFonts w:hint="eastAsia" w:cs="Times New Roman"/>
                      <w:b w:val="0"/>
                      <w:bCs/>
                      <w:color w:val="auto"/>
                      <w:sz w:val="21"/>
                      <w:szCs w:val="21"/>
                      <w:vertAlign w:val="baseline"/>
                      <w:lang w:val="en-US" w:eastAsia="zh-CN"/>
                    </w:rPr>
                    <w:t>外购</w:t>
                  </w:r>
                </w:p>
              </w:tc>
            </w:tr>
            <w:tr w14:paraId="3750D5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96" w:type="pct"/>
                  <w:vMerge w:val="continue"/>
                  <w:tcBorders>
                    <w:tl2br w:val="nil"/>
                    <w:tr2bl w:val="nil"/>
                  </w:tcBorders>
                  <w:shd w:val="clear" w:color="auto" w:fill="auto"/>
                  <w:vAlign w:val="center"/>
                </w:tcPr>
                <w:p w14:paraId="0DBD3731">
                  <w:pPr>
                    <w:keepNext w:val="0"/>
                    <w:keepLines w:val="0"/>
                    <w:pageBreakBefore w:val="0"/>
                    <w:kinsoku/>
                    <w:wordWrap/>
                    <w:overflowPunct/>
                    <w:topLinePunct w:val="0"/>
                    <w:autoSpaceDE/>
                    <w:autoSpaceDN/>
                    <w:bidi w:val="0"/>
                    <w:spacing w:line="240" w:lineRule="auto"/>
                    <w:jc w:val="center"/>
                    <w:rPr>
                      <w:rFonts w:hint="eastAsia" w:ascii="Times New Roman" w:hAnsi="Times New Roman"/>
                      <w:color w:val="auto"/>
                      <w:sz w:val="21"/>
                      <w:szCs w:val="21"/>
                      <w:lang w:val="en-US" w:eastAsia="zh-CN"/>
                    </w:rPr>
                  </w:pPr>
                </w:p>
              </w:tc>
              <w:tc>
                <w:tcPr>
                  <w:tcW w:w="514" w:type="pct"/>
                  <w:vMerge w:val="continue"/>
                  <w:tcBorders>
                    <w:tl2br w:val="nil"/>
                    <w:tr2bl w:val="nil"/>
                  </w:tcBorders>
                  <w:shd w:val="clear" w:color="auto" w:fill="auto"/>
                  <w:vAlign w:val="center"/>
                </w:tcPr>
                <w:p w14:paraId="08571C34">
                  <w:pPr>
                    <w:keepNext w:val="0"/>
                    <w:keepLines w:val="0"/>
                    <w:pageBreakBefore w:val="0"/>
                    <w:kinsoku/>
                    <w:wordWrap/>
                    <w:overflowPunct/>
                    <w:topLinePunct w:val="0"/>
                    <w:autoSpaceDE/>
                    <w:autoSpaceDN/>
                    <w:bidi w:val="0"/>
                    <w:spacing w:line="240" w:lineRule="auto"/>
                    <w:jc w:val="center"/>
                    <w:rPr>
                      <w:rFonts w:hint="eastAsia" w:ascii="Times New Roman" w:hAnsi="Times New Roman"/>
                      <w:color w:val="auto"/>
                      <w:sz w:val="21"/>
                      <w:szCs w:val="21"/>
                      <w:lang w:val="en-US" w:eastAsia="zh-CN"/>
                    </w:rPr>
                  </w:pPr>
                </w:p>
              </w:tc>
              <w:tc>
                <w:tcPr>
                  <w:tcW w:w="1334" w:type="pct"/>
                  <w:tcBorders>
                    <w:tl2br w:val="nil"/>
                    <w:tr2bl w:val="nil"/>
                  </w:tcBorders>
                  <w:shd w:val="clear" w:color="auto" w:fill="auto"/>
                  <w:vAlign w:val="center"/>
                </w:tcPr>
                <w:p w14:paraId="37D3F675">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default" w:ascii="Times New Roman" w:hAnsi="Times New Roman" w:eastAsia="宋体"/>
                      <w:color w:val="auto"/>
                      <w:kern w:val="0"/>
                      <w:sz w:val="21"/>
                      <w:szCs w:val="21"/>
                      <w:lang w:val="en-US" w:eastAsia="zh-CN"/>
                    </w:rPr>
                  </w:pPr>
                  <w:r>
                    <w:rPr>
                      <w:rFonts w:hint="eastAsia"/>
                      <w:color w:val="auto"/>
                      <w:lang w:val="en-US" w:eastAsia="zh-CN"/>
                    </w:rPr>
                    <w:t>美洛昔康片</w:t>
                  </w:r>
                </w:p>
              </w:tc>
              <w:tc>
                <w:tcPr>
                  <w:tcW w:w="513" w:type="pct"/>
                  <w:tcBorders>
                    <w:tl2br w:val="nil"/>
                    <w:tr2bl w:val="nil"/>
                  </w:tcBorders>
                  <w:shd w:val="clear" w:color="auto" w:fill="auto"/>
                  <w:vAlign w:val="center"/>
                </w:tcPr>
                <w:p w14:paraId="141BB0DD">
                  <w:pPr>
                    <w:keepNext w:val="0"/>
                    <w:keepLines w:val="0"/>
                    <w:pageBreakBefore w:val="0"/>
                    <w:kinsoku/>
                    <w:wordWrap/>
                    <w:overflowPunct/>
                    <w:topLinePunct w:val="0"/>
                    <w:autoSpaceDE/>
                    <w:autoSpaceDN/>
                    <w:bidi w:val="0"/>
                    <w:spacing w:line="240" w:lineRule="auto"/>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40</w:t>
                  </w:r>
                </w:p>
              </w:tc>
              <w:tc>
                <w:tcPr>
                  <w:tcW w:w="916" w:type="pct"/>
                  <w:tcBorders>
                    <w:tl2br w:val="nil"/>
                    <w:tr2bl w:val="nil"/>
                  </w:tcBorders>
                  <w:shd w:val="clear" w:color="auto" w:fill="auto"/>
                  <w:vAlign w:val="center"/>
                </w:tcPr>
                <w:p w14:paraId="4909B339">
                  <w:pPr>
                    <w:keepNext w:val="0"/>
                    <w:keepLines w:val="0"/>
                    <w:pageBreakBefore w:val="0"/>
                    <w:kinsoku/>
                    <w:wordWrap/>
                    <w:overflowPunct/>
                    <w:topLinePunct w:val="0"/>
                    <w:autoSpaceDE/>
                    <w:autoSpaceDN/>
                    <w:bidi w:val="0"/>
                    <w:spacing w:line="240" w:lineRule="auto"/>
                    <w:jc w:val="center"/>
                    <w:rPr>
                      <w:rFonts w:hint="default" w:ascii="Times New Roman" w:hAnsi="Times New Roman"/>
                      <w:color w:val="auto"/>
                      <w:sz w:val="21"/>
                      <w:szCs w:val="21"/>
                      <w:lang w:val="en-US" w:eastAsia="zh-CN"/>
                    </w:rPr>
                  </w:pPr>
                  <w:r>
                    <w:rPr>
                      <w:rFonts w:hint="eastAsia"/>
                      <w:color w:val="auto"/>
                      <w:sz w:val="21"/>
                      <w:szCs w:val="21"/>
                      <w:lang w:val="en-US" w:eastAsia="zh-CN"/>
                    </w:rPr>
                    <w:t>片</w:t>
                  </w:r>
                </w:p>
              </w:tc>
              <w:tc>
                <w:tcPr>
                  <w:tcW w:w="520" w:type="pct"/>
                  <w:tcBorders>
                    <w:tl2br w:val="nil"/>
                    <w:tr2bl w:val="nil"/>
                  </w:tcBorders>
                  <w:shd w:val="clear" w:color="auto" w:fill="auto"/>
                  <w:vAlign w:val="center"/>
                </w:tcPr>
                <w:p w14:paraId="398F54A8">
                  <w:pPr>
                    <w:keepNext w:val="0"/>
                    <w:keepLines w:val="0"/>
                    <w:pageBreakBefore w:val="0"/>
                    <w:kinsoku/>
                    <w:wordWrap/>
                    <w:overflowPunct/>
                    <w:topLinePunct w:val="0"/>
                    <w:autoSpaceDE/>
                    <w:autoSpaceDN/>
                    <w:bidi w:val="0"/>
                    <w:spacing w:line="240" w:lineRule="auto"/>
                    <w:jc w:val="center"/>
                    <w:rPr>
                      <w:rFonts w:hint="default" w:ascii="Times New Roman" w:hAnsi="Times New Roman"/>
                      <w:color w:val="auto"/>
                      <w:sz w:val="21"/>
                      <w:szCs w:val="21"/>
                      <w:lang w:val="en-US" w:eastAsia="zh-CN"/>
                    </w:rPr>
                  </w:pPr>
                  <w:r>
                    <w:rPr>
                      <w:rFonts w:hint="default" w:ascii="Times New Roman" w:hAnsi="Times New Roman"/>
                      <w:color w:val="auto"/>
                      <w:sz w:val="21"/>
                      <w:lang w:val="en-US" w:eastAsia="zh-CN"/>
                    </w:rPr>
                    <w:t>40</w:t>
                  </w:r>
                </w:p>
              </w:tc>
              <w:tc>
                <w:tcPr>
                  <w:tcW w:w="413" w:type="pct"/>
                  <w:vMerge w:val="continue"/>
                  <w:tcBorders>
                    <w:tl2br w:val="nil"/>
                    <w:tr2bl w:val="nil"/>
                  </w:tcBorders>
                  <w:vAlign w:val="center"/>
                </w:tcPr>
                <w:p w14:paraId="5AF75C6B">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p>
              </w:tc>
              <w:tc>
                <w:tcPr>
                  <w:tcW w:w="590" w:type="pct"/>
                  <w:tcBorders>
                    <w:tl2br w:val="nil"/>
                    <w:tr2bl w:val="nil"/>
                  </w:tcBorders>
                  <w:shd w:val="clear" w:color="auto" w:fill="auto"/>
                  <w:vAlign w:val="center"/>
                </w:tcPr>
                <w:p w14:paraId="1AA69E10">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b w:val="0"/>
                      <w:bCs/>
                      <w:color w:val="auto"/>
                      <w:kern w:val="2"/>
                      <w:sz w:val="21"/>
                      <w:szCs w:val="21"/>
                      <w:vertAlign w:val="baseline"/>
                      <w:lang w:val="en-US" w:eastAsia="zh-CN" w:bidi="ar-SA"/>
                    </w:rPr>
                  </w:pPr>
                  <w:r>
                    <w:rPr>
                      <w:rFonts w:hint="eastAsia" w:cs="Times New Roman"/>
                      <w:b w:val="0"/>
                      <w:bCs/>
                      <w:color w:val="auto"/>
                      <w:sz w:val="21"/>
                      <w:szCs w:val="21"/>
                      <w:vertAlign w:val="baseline"/>
                      <w:lang w:val="en-US" w:eastAsia="zh-CN"/>
                    </w:rPr>
                    <w:t>外购</w:t>
                  </w:r>
                </w:p>
              </w:tc>
            </w:tr>
            <w:tr w14:paraId="26A78B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96" w:type="pct"/>
                  <w:vMerge w:val="continue"/>
                  <w:tcBorders>
                    <w:tl2br w:val="nil"/>
                    <w:tr2bl w:val="nil"/>
                  </w:tcBorders>
                  <w:shd w:val="clear" w:color="auto" w:fill="auto"/>
                  <w:vAlign w:val="center"/>
                </w:tcPr>
                <w:p w14:paraId="1B9AF84F">
                  <w:pPr>
                    <w:keepNext w:val="0"/>
                    <w:keepLines w:val="0"/>
                    <w:pageBreakBefore w:val="0"/>
                    <w:kinsoku/>
                    <w:wordWrap/>
                    <w:overflowPunct/>
                    <w:topLinePunct w:val="0"/>
                    <w:autoSpaceDE/>
                    <w:autoSpaceDN/>
                    <w:bidi w:val="0"/>
                    <w:spacing w:line="240" w:lineRule="auto"/>
                    <w:jc w:val="center"/>
                    <w:rPr>
                      <w:rFonts w:hint="eastAsia" w:ascii="Times New Roman" w:hAnsi="Times New Roman"/>
                      <w:color w:val="auto"/>
                      <w:sz w:val="21"/>
                      <w:szCs w:val="21"/>
                      <w:lang w:val="en-US" w:eastAsia="zh-CN"/>
                    </w:rPr>
                  </w:pPr>
                </w:p>
              </w:tc>
              <w:tc>
                <w:tcPr>
                  <w:tcW w:w="514" w:type="pct"/>
                  <w:tcBorders>
                    <w:tl2br w:val="nil"/>
                    <w:tr2bl w:val="nil"/>
                  </w:tcBorders>
                  <w:shd w:val="clear" w:color="auto" w:fill="auto"/>
                  <w:vAlign w:val="center"/>
                </w:tcPr>
                <w:p w14:paraId="1D061A14">
                  <w:pPr>
                    <w:keepNext w:val="0"/>
                    <w:keepLines w:val="0"/>
                    <w:pageBreakBefore w:val="0"/>
                    <w:kinsoku/>
                    <w:wordWrap/>
                    <w:overflowPunct/>
                    <w:topLinePunct w:val="0"/>
                    <w:autoSpaceDE/>
                    <w:autoSpaceDN/>
                    <w:bidi w:val="0"/>
                    <w:spacing w:line="240" w:lineRule="auto"/>
                    <w:jc w:val="center"/>
                    <w:rPr>
                      <w:rFonts w:hint="default" w:ascii="Times New Roman" w:hAnsi="Times New Roman"/>
                      <w:color w:val="auto"/>
                      <w:sz w:val="21"/>
                      <w:szCs w:val="21"/>
                      <w:lang w:val="en-US" w:eastAsia="zh-CN"/>
                    </w:rPr>
                  </w:pPr>
                  <w:r>
                    <w:rPr>
                      <w:rFonts w:hint="eastAsia"/>
                      <w:color w:val="auto"/>
                      <w:sz w:val="21"/>
                      <w:szCs w:val="21"/>
                      <w:lang w:val="en-US" w:eastAsia="zh-CN"/>
                    </w:rPr>
                    <w:t>麻醉剂</w:t>
                  </w:r>
                </w:p>
              </w:tc>
              <w:tc>
                <w:tcPr>
                  <w:tcW w:w="1334" w:type="pct"/>
                  <w:tcBorders>
                    <w:tl2br w:val="nil"/>
                    <w:tr2bl w:val="nil"/>
                  </w:tcBorders>
                  <w:shd w:val="clear" w:color="auto" w:fill="auto"/>
                  <w:vAlign w:val="center"/>
                </w:tcPr>
                <w:p w14:paraId="7EC28AA3">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eastAsia"/>
                      <w:color w:val="auto"/>
                      <w:lang w:val="en-US" w:eastAsia="zh-CN"/>
                    </w:rPr>
                  </w:pPr>
                  <w:r>
                    <w:rPr>
                      <w:rFonts w:hint="eastAsia"/>
                      <w:color w:val="auto"/>
                      <w:lang w:val="en-US" w:eastAsia="zh-CN"/>
                    </w:rPr>
                    <w:t>异氟烷</w:t>
                  </w:r>
                </w:p>
              </w:tc>
              <w:tc>
                <w:tcPr>
                  <w:tcW w:w="513" w:type="pct"/>
                  <w:tcBorders>
                    <w:tl2br w:val="nil"/>
                    <w:tr2bl w:val="nil"/>
                  </w:tcBorders>
                  <w:shd w:val="clear" w:color="auto" w:fill="auto"/>
                  <w:vAlign w:val="center"/>
                </w:tcPr>
                <w:p w14:paraId="5D011EC7">
                  <w:pPr>
                    <w:keepNext w:val="0"/>
                    <w:keepLines w:val="0"/>
                    <w:pageBreakBefore w:val="0"/>
                    <w:kinsoku/>
                    <w:wordWrap/>
                    <w:overflowPunct/>
                    <w:topLinePunct w:val="0"/>
                    <w:autoSpaceDE/>
                    <w:autoSpaceDN/>
                    <w:bidi w:val="0"/>
                    <w:spacing w:line="240" w:lineRule="auto"/>
                    <w:jc w:val="center"/>
                    <w:rPr>
                      <w:rFonts w:hint="default" w:ascii="Times New Roman" w:hAnsi="Times New Roman"/>
                      <w:color w:val="auto"/>
                      <w:sz w:val="21"/>
                      <w:lang w:val="en-US" w:eastAsia="zh-CN"/>
                    </w:rPr>
                  </w:pPr>
                  <w:r>
                    <w:rPr>
                      <w:rFonts w:hint="eastAsia" w:ascii="Times New Roman" w:hAnsi="Times New Roman"/>
                      <w:color w:val="auto"/>
                      <w:sz w:val="21"/>
                      <w:lang w:val="en-US" w:eastAsia="zh-CN"/>
                    </w:rPr>
                    <w:t>5</w:t>
                  </w:r>
                </w:p>
              </w:tc>
              <w:tc>
                <w:tcPr>
                  <w:tcW w:w="916" w:type="pct"/>
                  <w:tcBorders>
                    <w:tl2br w:val="nil"/>
                    <w:tr2bl w:val="nil"/>
                  </w:tcBorders>
                  <w:shd w:val="clear" w:color="auto" w:fill="auto"/>
                  <w:vAlign w:val="center"/>
                </w:tcPr>
                <w:p w14:paraId="2608A0F5">
                  <w:pPr>
                    <w:keepNext w:val="0"/>
                    <w:keepLines w:val="0"/>
                    <w:pageBreakBefore w:val="0"/>
                    <w:kinsoku/>
                    <w:wordWrap/>
                    <w:overflowPunct/>
                    <w:topLinePunct w:val="0"/>
                    <w:autoSpaceDE/>
                    <w:autoSpaceDN/>
                    <w:bidi w:val="0"/>
                    <w:spacing w:line="240" w:lineRule="auto"/>
                    <w:jc w:val="center"/>
                    <w:rPr>
                      <w:rFonts w:hint="eastAsia"/>
                      <w:color w:val="auto"/>
                      <w:sz w:val="21"/>
                      <w:szCs w:val="21"/>
                      <w:lang w:val="en-US" w:eastAsia="zh-CN"/>
                    </w:rPr>
                  </w:pPr>
                  <w:r>
                    <w:rPr>
                      <w:rFonts w:hint="eastAsia"/>
                      <w:color w:val="auto"/>
                      <w:sz w:val="21"/>
                      <w:lang w:val="en-US" w:eastAsia="zh-CN"/>
                    </w:rPr>
                    <w:t>瓶</w:t>
                  </w:r>
                </w:p>
              </w:tc>
              <w:tc>
                <w:tcPr>
                  <w:tcW w:w="520" w:type="pct"/>
                  <w:tcBorders>
                    <w:tl2br w:val="nil"/>
                    <w:tr2bl w:val="nil"/>
                  </w:tcBorders>
                  <w:shd w:val="clear" w:color="auto" w:fill="auto"/>
                  <w:vAlign w:val="center"/>
                </w:tcPr>
                <w:p w14:paraId="24F4F155">
                  <w:pPr>
                    <w:keepNext w:val="0"/>
                    <w:keepLines w:val="0"/>
                    <w:pageBreakBefore w:val="0"/>
                    <w:kinsoku/>
                    <w:wordWrap/>
                    <w:overflowPunct/>
                    <w:topLinePunct w:val="0"/>
                    <w:autoSpaceDE/>
                    <w:autoSpaceDN/>
                    <w:bidi w:val="0"/>
                    <w:spacing w:line="240" w:lineRule="auto"/>
                    <w:jc w:val="center"/>
                    <w:rPr>
                      <w:rFonts w:hint="default" w:ascii="Times New Roman" w:hAnsi="Times New Roman"/>
                      <w:color w:val="auto"/>
                      <w:sz w:val="21"/>
                      <w:lang w:val="en-US" w:eastAsia="zh-CN"/>
                    </w:rPr>
                  </w:pPr>
                  <w:r>
                    <w:rPr>
                      <w:rFonts w:hint="eastAsia"/>
                      <w:color w:val="auto"/>
                      <w:sz w:val="21"/>
                      <w:lang w:val="en-US" w:eastAsia="zh-CN"/>
                    </w:rPr>
                    <w:t>5</w:t>
                  </w:r>
                </w:p>
              </w:tc>
              <w:tc>
                <w:tcPr>
                  <w:tcW w:w="413" w:type="pct"/>
                  <w:vMerge w:val="continue"/>
                  <w:tcBorders>
                    <w:tl2br w:val="nil"/>
                    <w:tr2bl w:val="nil"/>
                  </w:tcBorders>
                  <w:vAlign w:val="center"/>
                </w:tcPr>
                <w:p w14:paraId="358D14DC">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p>
              </w:tc>
              <w:tc>
                <w:tcPr>
                  <w:tcW w:w="590" w:type="pct"/>
                  <w:tcBorders>
                    <w:tl2br w:val="nil"/>
                    <w:tr2bl w:val="nil"/>
                  </w:tcBorders>
                  <w:shd w:val="clear" w:color="auto" w:fill="auto"/>
                  <w:vAlign w:val="center"/>
                </w:tcPr>
                <w:p w14:paraId="3F68E5B7">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外购</w:t>
                  </w:r>
                </w:p>
              </w:tc>
            </w:tr>
            <w:tr w14:paraId="05F22B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10" w:type="pct"/>
                  <w:gridSpan w:val="2"/>
                  <w:vMerge w:val="restart"/>
                  <w:tcBorders>
                    <w:tl2br w:val="nil"/>
                    <w:tr2bl w:val="nil"/>
                  </w:tcBorders>
                  <w:shd w:val="clear" w:color="auto" w:fill="auto"/>
                  <w:vAlign w:val="center"/>
                </w:tcPr>
                <w:p w14:paraId="05281952">
                  <w:pPr>
                    <w:keepNext w:val="0"/>
                    <w:keepLines w:val="0"/>
                    <w:pageBreakBefore w:val="0"/>
                    <w:kinsoku/>
                    <w:wordWrap/>
                    <w:overflowPunct/>
                    <w:topLinePunct w:val="0"/>
                    <w:autoSpaceDE/>
                    <w:autoSpaceDN/>
                    <w:bidi w:val="0"/>
                    <w:spacing w:line="240" w:lineRule="auto"/>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检测试纸</w:t>
                  </w:r>
                </w:p>
              </w:tc>
              <w:tc>
                <w:tcPr>
                  <w:tcW w:w="1334" w:type="pct"/>
                  <w:tcBorders>
                    <w:tl2br w:val="nil"/>
                    <w:tr2bl w:val="nil"/>
                  </w:tcBorders>
                  <w:shd w:val="clear" w:color="auto" w:fill="auto"/>
                  <w:vAlign w:val="center"/>
                </w:tcPr>
                <w:p w14:paraId="3FE3B2B8">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default" w:ascii="Times New Roman" w:hAnsi="Times New Roman" w:eastAsia="宋体"/>
                      <w:color w:val="auto"/>
                      <w:kern w:val="0"/>
                      <w:sz w:val="21"/>
                      <w:szCs w:val="21"/>
                      <w:lang w:val="en-US" w:eastAsia="zh-CN"/>
                    </w:rPr>
                  </w:pPr>
                  <w:r>
                    <w:rPr>
                      <w:rFonts w:hint="eastAsia"/>
                      <w:color w:val="auto"/>
                      <w:lang w:val="en-US" w:eastAsia="zh-CN"/>
                    </w:rPr>
                    <w:t xml:space="preserve">细小病毒检测盒 </w:t>
                  </w:r>
                </w:p>
              </w:tc>
              <w:tc>
                <w:tcPr>
                  <w:tcW w:w="513" w:type="pct"/>
                  <w:tcBorders>
                    <w:tl2br w:val="nil"/>
                    <w:tr2bl w:val="nil"/>
                  </w:tcBorders>
                  <w:shd w:val="clear" w:color="auto" w:fill="auto"/>
                  <w:vAlign w:val="center"/>
                </w:tcPr>
                <w:p w14:paraId="3DB1689E">
                  <w:pPr>
                    <w:keepNext w:val="0"/>
                    <w:keepLines w:val="0"/>
                    <w:pageBreakBefore w:val="0"/>
                    <w:kinsoku/>
                    <w:wordWrap/>
                    <w:overflowPunct/>
                    <w:topLinePunct w:val="0"/>
                    <w:autoSpaceDE/>
                    <w:autoSpaceDN/>
                    <w:bidi w:val="0"/>
                    <w:spacing w:line="240" w:lineRule="auto"/>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20</w:t>
                  </w:r>
                </w:p>
              </w:tc>
              <w:tc>
                <w:tcPr>
                  <w:tcW w:w="916" w:type="pct"/>
                  <w:tcBorders>
                    <w:tl2br w:val="nil"/>
                    <w:tr2bl w:val="nil"/>
                  </w:tcBorders>
                  <w:shd w:val="clear" w:color="auto" w:fill="auto"/>
                  <w:vAlign w:val="center"/>
                </w:tcPr>
                <w:p w14:paraId="7083E5B6">
                  <w:pPr>
                    <w:keepNext w:val="0"/>
                    <w:keepLines w:val="0"/>
                    <w:pageBreakBefore w:val="0"/>
                    <w:kinsoku/>
                    <w:wordWrap/>
                    <w:overflowPunct/>
                    <w:topLinePunct w:val="0"/>
                    <w:autoSpaceDE/>
                    <w:autoSpaceDN/>
                    <w:bidi w:val="0"/>
                    <w:spacing w:line="240" w:lineRule="auto"/>
                    <w:jc w:val="center"/>
                    <w:rPr>
                      <w:rFonts w:hint="default" w:ascii="Times New Roman" w:hAnsi="Times New Roman"/>
                      <w:color w:val="auto"/>
                      <w:sz w:val="21"/>
                      <w:szCs w:val="21"/>
                      <w:lang w:val="en-US" w:eastAsia="zh-CN"/>
                    </w:rPr>
                  </w:pPr>
                  <w:r>
                    <w:rPr>
                      <w:rFonts w:hint="eastAsia"/>
                      <w:color w:val="auto"/>
                      <w:sz w:val="21"/>
                      <w:szCs w:val="21"/>
                      <w:lang w:val="en-US" w:eastAsia="zh-CN"/>
                    </w:rPr>
                    <w:t>个</w:t>
                  </w:r>
                </w:p>
              </w:tc>
              <w:tc>
                <w:tcPr>
                  <w:tcW w:w="520" w:type="pct"/>
                  <w:tcBorders>
                    <w:tl2br w:val="nil"/>
                    <w:tr2bl w:val="nil"/>
                  </w:tcBorders>
                  <w:shd w:val="clear" w:color="auto" w:fill="auto"/>
                  <w:vAlign w:val="center"/>
                </w:tcPr>
                <w:p w14:paraId="031B7751">
                  <w:pPr>
                    <w:keepNext w:val="0"/>
                    <w:keepLines w:val="0"/>
                    <w:pageBreakBefore w:val="0"/>
                    <w:kinsoku/>
                    <w:wordWrap/>
                    <w:overflowPunct/>
                    <w:topLinePunct w:val="0"/>
                    <w:autoSpaceDE/>
                    <w:autoSpaceDN/>
                    <w:bidi w:val="0"/>
                    <w:spacing w:line="240" w:lineRule="auto"/>
                    <w:jc w:val="center"/>
                    <w:rPr>
                      <w:rFonts w:hint="default" w:ascii="Times New Roman" w:hAnsi="Times New Roman"/>
                      <w:color w:val="auto"/>
                      <w:sz w:val="21"/>
                      <w:szCs w:val="21"/>
                      <w:lang w:val="en-US" w:eastAsia="zh-CN"/>
                    </w:rPr>
                  </w:pPr>
                  <w:r>
                    <w:rPr>
                      <w:rFonts w:hint="default" w:ascii="Times New Roman" w:hAnsi="Times New Roman"/>
                      <w:color w:val="auto"/>
                      <w:sz w:val="21"/>
                      <w:lang w:val="en-US" w:eastAsia="zh-CN"/>
                    </w:rPr>
                    <w:t>20</w:t>
                  </w:r>
                </w:p>
              </w:tc>
              <w:tc>
                <w:tcPr>
                  <w:tcW w:w="413" w:type="pct"/>
                  <w:vMerge w:val="restart"/>
                  <w:tcBorders>
                    <w:tl2br w:val="nil"/>
                    <w:tr2bl w:val="nil"/>
                  </w:tcBorders>
                  <w:vAlign w:val="center"/>
                </w:tcPr>
                <w:p w14:paraId="340F22A9">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化验室</w:t>
                  </w:r>
                </w:p>
              </w:tc>
              <w:tc>
                <w:tcPr>
                  <w:tcW w:w="590" w:type="pct"/>
                  <w:tcBorders>
                    <w:tl2br w:val="nil"/>
                    <w:tr2bl w:val="nil"/>
                  </w:tcBorders>
                  <w:shd w:val="clear" w:color="auto" w:fill="auto"/>
                  <w:vAlign w:val="center"/>
                </w:tcPr>
                <w:p w14:paraId="13053FF5">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color w:val="auto"/>
                      <w:kern w:val="2"/>
                      <w:sz w:val="21"/>
                      <w:szCs w:val="21"/>
                      <w:vertAlign w:val="baseline"/>
                      <w:lang w:val="en-US" w:eastAsia="zh-CN" w:bidi="ar-SA"/>
                    </w:rPr>
                  </w:pPr>
                  <w:r>
                    <w:rPr>
                      <w:rFonts w:hint="eastAsia" w:cs="Times New Roman"/>
                      <w:b w:val="0"/>
                      <w:bCs/>
                      <w:color w:val="auto"/>
                      <w:sz w:val="21"/>
                      <w:szCs w:val="21"/>
                      <w:vertAlign w:val="baseline"/>
                      <w:lang w:val="en-US" w:eastAsia="zh-CN"/>
                    </w:rPr>
                    <w:t>外购</w:t>
                  </w:r>
                </w:p>
              </w:tc>
            </w:tr>
            <w:tr w14:paraId="5AC194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10" w:type="pct"/>
                  <w:gridSpan w:val="2"/>
                  <w:vMerge w:val="continue"/>
                  <w:tcBorders>
                    <w:tl2br w:val="nil"/>
                    <w:tr2bl w:val="nil"/>
                  </w:tcBorders>
                  <w:shd w:val="clear" w:color="auto" w:fill="auto"/>
                  <w:vAlign w:val="center"/>
                </w:tcPr>
                <w:p w14:paraId="0192CC8B">
                  <w:pPr>
                    <w:keepNext w:val="0"/>
                    <w:keepLines w:val="0"/>
                    <w:pageBreakBefore w:val="0"/>
                    <w:kinsoku/>
                    <w:wordWrap/>
                    <w:overflowPunct/>
                    <w:topLinePunct w:val="0"/>
                    <w:autoSpaceDE/>
                    <w:autoSpaceDN/>
                    <w:bidi w:val="0"/>
                    <w:spacing w:line="240" w:lineRule="auto"/>
                    <w:jc w:val="center"/>
                    <w:rPr>
                      <w:rFonts w:hint="eastAsia" w:ascii="Times New Roman" w:hAnsi="Times New Roman"/>
                      <w:color w:val="auto"/>
                      <w:sz w:val="21"/>
                      <w:szCs w:val="21"/>
                      <w:lang w:val="en-US" w:eastAsia="zh-CN"/>
                    </w:rPr>
                  </w:pPr>
                </w:p>
              </w:tc>
              <w:tc>
                <w:tcPr>
                  <w:tcW w:w="1334" w:type="pct"/>
                  <w:tcBorders>
                    <w:tl2br w:val="nil"/>
                    <w:tr2bl w:val="nil"/>
                  </w:tcBorders>
                  <w:shd w:val="clear" w:color="auto" w:fill="auto"/>
                  <w:vAlign w:val="center"/>
                </w:tcPr>
                <w:p w14:paraId="702CFEBE">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default" w:ascii="Times New Roman" w:hAnsi="Times New Roman"/>
                      <w:color w:val="auto"/>
                      <w:sz w:val="21"/>
                      <w:szCs w:val="21"/>
                      <w:lang w:val="en-US" w:eastAsia="zh-CN"/>
                    </w:rPr>
                  </w:pPr>
                  <w:r>
                    <w:rPr>
                      <w:rFonts w:hint="eastAsia"/>
                      <w:color w:val="auto"/>
                      <w:lang w:val="en-US" w:eastAsia="zh-CN"/>
                    </w:rPr>
                    <w:t>犬瘟病毒检测盒</w:t>
                  </w:r>
                </w:p>
              </w:tc>
              <w:tc>
                <w:tcPr>
                  <w:tcW w:w="513" w:type="pct"/>
                  <w:tcBorders>
                    <w:tl2br w:val="nil"/>
                    <w:tr2bl w:val="nil"/>
                  </w:tcBorders>
                  <w:shd w:val="clear" w:color="auto" w:fill="auto"/>
                  <w:vAlign w:val="center"/>
                </w:tcPr>
                <w:p w14:paraId="42098365">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20</w:t>
                  </w:r>
                </w:p>
              </w:tc>
              <w:tc>
                <w:tcPr>
                  <w:tcW w:w="916" w:type="pct"/>
                  <w:tcBorders>
                    <w:tl2br w:val="nil"/>
                    <w:tr2bl w:val="nil"/>
                  </w:tcBorders>
                  <w:shd w:val="clear" w:color="auto" w:fill="auto"/>
                  <w:vAlign w:val="center"/>
                </w:tcPr>
                <w:p w14:paraId="7300A65D">
                  <w:pPr>
                    <w:keepNext w:val="0"/>
                    <w:keepLines w:val="0"/>
                    <w:pageBreakBefore w:val="0"/>
                    <w:kinsoku/>
                    <w:wordWrap/>
                    <w:overflowPunct/>
                    <w:topLinePunct w:val="0"/>
                    <w:autoSpaceDE/>
                    <w:autoSpaceDN/>
                    <w:bidi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个</w:t>
                  </w:r>
                </w:p>
              </w:tc>
              <w:tc>
                <w:tcPr>
                  <w:tcW w:w="520" w:type="pct"/>
                  <w:tcBorders>
                    <w:tl2br w:val="nil"/>
                    <w:tr2bl w:val="nil"/>
                  </w:tcBorders>
                  <w:shd w:val="clear" w:color="auto" w:fill="auto"/>
                  <w:vAlign w:val="center"/>
                </w:tcPr>
                <w:p w14:paraId="0CEDCBB8">
                  <w:pPr>
                    <w:keepNext w:val="0"/>
                    <w:keepLines w:val="0"/>
                    <w:pageBreakBefore w:val="0"/>
                    <w:kinsoku/>
                    <w:wordWrap/>
                    <w:overflowPunct/>
                    <w:topLinePunct w:val="0"/>
                    <w:autoSpaceDE/>
                    <w:autoSpaceDN/>
                    <w:bidi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lang w:val="en-US" w:eastAsia="zh-CN" w:bidi="ar-SA"/>
                    </w:rPr>
                    <w:t>20</w:t>
                  </w:r>
                </w:p>
              </w:tc>
              <w:tc>
                <w:tcPr>
                  <w:tcW w:w="413" w:type="pct"/>
                  <w:vMerge w:val="continue"/>
                  <w:tcBorders>
                    <w:tl2br w:val="nil"/>
                    <w:tr2bl w:val="nil"/>
                  </w:tcBorders>
                  <w:vAlign w:val="center"/>
                </w:tcPr>
                <w:p w14:paraId="4018BDF7">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p>
              </w:tc>
              <w:tc>
                <w:tcPr>
                  <w:tcW w:w="590" w:type="pct"/>
                  <w:tcBorders>
                    <w:tl2br w:val="nil"/>
                    <w:tr2bl w:val="nil"/>
                  </w:tcBorders>
                  <w:shd w:val="clear" w:color="auto" w:fill="auto"/>
                  <w:vAlign w:val="center"/>
                </w:tcPr>
                <w:p w14:paraId="6B05A68C">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b w:val="0"/>
                      <w:bCs/>
                      <w:color w:val="auto"/>
                      <w:kern w:val="2"/>
                      <w:sz w:val="21"/>
                      <w:szCs w:val="21"/>
                      <w:vertAlign w:val="baseline"/>
                      <w:lang w:val="en-US" w:eastAsia="zh-CN" w:bidi="ar-SA"/>
                    </w:rPr>
                  </w:pPr>
                  <w:r>
                    <w:rPr>
                      <w:rFonts w:hint="eastAsia" w:cs="Times New Roman"/>
                      <w:b w:val="0"/>
                      <w:bCs/>
                      <w:color w:val="auto"/>
                      <w:sz w:val="21"/>
                      <w:szCs w:val="21"/>
                      <w:vertAlign w:val="baseline"/>
                      <w:lang w:val="en-US" w:eastAsia="zh-CN"/>
                    </w:rPr>
                    <w:t>外购</w:t>
                  </w:r>
                </w:p>
              </w:tc>
            </w:tr>
            <w:tr w14:paraId="42DC02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10" w:type="pct"/>
                  <w:gridSpan w:val="2"/>
                  <w:vMerge w:val="continue"/>
                  <w:tcBorders>
                    <w:tl2br w:val="nil"/>
                    <w:tr2bl w:val="nil"/>
                  </w:tcBorders>
                  <w:shd w:val="clear" w:color="auto" w:fill="auto"/>
                  <w:vAlign w:val="center"/>
                </w:tcPr>
                <w:p w14:paraId="55EB2DD3">
                  <w:pPr>
                    <w:keepNext w:val="0"/>
                    <w:keepLines w:val="0"/>
                    <w:pageBreakBefore w:val="0"/>
                    <w:kinsoku/>
                    <w:wordWrap/>
                    <w:overflowPunct/>
                    <w:topLinePunct w:val="0"/>
                    <w:autoSpaceDE/>
                    <w:autoSpaceDN/>
                    <w:bidi w:val="0"/>
                    <w:spacing w:line="240" w:lineRule="auto"/>
                    <w:jc w:val="center"/>
                    <w:rPr>
                      <w:rFonts w:hint="eastAsia" w:ascii="Times New Roman" w:hAnsi="Times New Roman"/>
                      <w:color w:val="auto"/>
                      <w:sz w:val="21"/>
                      <w:szCs w:val="21"/>
                      <w:lang w:val="en-US" w:eastAsia="zh-CN"/>
                    </w:rPr>
                  </w:pPr>
                </w:p>
              </w:tc>
              <w:tc>
                <w:tcPr>
                  <w:tcW w:w="1334" w:type="pct"/>
                  <w:tcBorders>
                    <w:tl2br w:val="nil"/>
                    <w:tr2bl w:val="nil"/>
                  </w:tcBorders>
                  <w:shd w:val="clear" w:color="auto" w:fill="auto"/>
                  <w:vAlign w:val="center"/>
                </w:tcPr>
                <w:p w14:paraId="0DC2D23A">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eastAsia" w:ascii="Times New Roman" w:hAnsi="Times New Roman"/>
                      <w:color w:val="auto"/>
                      <w:sz w:val="21"/>
                      <w:szCs w:val="21"/>
                      <w:lang w:val="en-US" w:eastAsia="zh-CN"/>
                    </w:rPr>
                  </w:pPr>
                  <w:r>
                    <w:rPr>
                      <w:rFonts w:hint="eastAsia"/>
                      <w:color w:val="auto"/>
                      <w:lang w:val="en-US" w:eastAsia="zh-CN"/>
                    </w:rPr>
                    <w:t>猫瘟病毒检测盒</w:t>
                  </w:r>
                </w:p>
              </w:tc>
              <w:tc>
                <w:tcPr>
                  <w:tcW w:w="513" w:type="pct"/>
                  <w:tcBorders>
                    <w:tl2br w:val="nil"/>
                    <w:tr2bl w:val="nil"/>
                  </w:tcBorders>
                  <w:shd w:val="clear" w:color="auto" w:fill="auto"/>
                  <w:vAlign w:val="center"/>
                </w:tcPr>
                <w:p w14:paraId="556AF708">
                  <w:pPr>
                    <w:keepNext w:val="0"/>
                    <w:keepLines w:val="0"/>
                    <w:pageBreakBefore w:val="0"/>
                    <w:kinsoku/>
                    <w:wordWrap/>
                    <w:overflowPunct/>
                    <w:topLinePunct w:val="0"/>
                    <w:autoSpaceDE/>
                    <w:autoSpaceDN/>
                    <w:bidi w:val="0"/>
                    <w:spacing w:line="240" w:lineRule="auto"/>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20</w:t>
                  </w:r>
                </w:p>
              </w:tc>
              <w:tc>
                <w:tcPr>
                  <w:tcW w:w="916" w:type="pct"/>
                  <w:tcBorders>
                    <w:tl2br w:val="nil"/>
                    <w:tr2bl w:val="nil"/>
                  </w:tcBorders>
                  <w:shd w:val="clear" w:color="auto" w:fill="auto"/>
                  <w:vAlign w:val="center"/>
                </w:tcPr>
                <w:p w14:paraId="294407ED">
                  <w:pPr>
                    <w:keepNext w:val="0"/>
                    <w:keepLines w:val="0"/>
                    <w:pageBreakBefore w:val="0"/>
                    <w:kinsoku/>
                    <w:wordWrap/>
                    <w:overflowPunct/>
                    <w:topLinePunct w:val="0"/>
                    <w:autoSpaceDE/>
                    <w:autoSpaceDN/>
                    <w:bidi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个</w:t>
                  </w:r>
                </w:p>
              </w:tc>
              <w:tc>
                <w:tcPr>
                  <w:tcW w:w="520" w:type="pct"/>
                  <w:tcBorders>
                    <w:tl2br w:val="nil"/>
                    <w:tr2bl w:val="nil"/>
                  </w:tcBorders>
                  <w:shd w:val="clear" w:color="auto" w:fill="auto"/>
                  <w:vAlign w:val="center"/>
                </w:tcPr>
                <w:p w14:paraId="2FE592EF">
                  <w:pPr>
                    <w:keepNext w:val="0"/>
                    <w:keepLines w:val="0"/>
                    <w:pageBreakBefore w:val="0"/>
                    <w:kinsoku/>
                    <w:wordWrap/>
                    <w:overflowPunct/>
                    <w:topLinePunct w:val="0"/>
                    <w:autoSpaceDE/>
                    <w:autoSpaceDN/>
                    <w:bidi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lang w:val="en-US" w:eastAsia="zh-CN" w:bidi="ar-SA"/>
                    </w:rPr>
                    <w:t>20</w:t>
                  </w:r>
                </w:p>
              </w:tc>
              <w:tc>
                <w:tcPr>
                  <w:tcW w:w="413" w:type="pct"/>
                  <w:vMerge w:val="continue"/>
                  <w:tcBorders>
                    <w:tl2br w:val="nil"/>
                    <w:tr2bl w:val="nil"/>
                  </w:tcBorders>
                  <w:vAlign w:val="center"/>
                </w:tcPr>
                <w:p w14:paraId="2B9928C2">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p>
              </w:tc>
              <w:tc>
                <w:tcPr>
                  <w:tcW w:w="590" w:type="pct"/>
                  <w:tcBorders>
                    <w:tl2br w:val="nil"/>
                    <w:tr2bl w:val="nil"/>
                  </w:tcBorders>
                  <w:shd w:val="clear" w:color="auto" w:fill="auto"/>
                  <w:vAlign w:val="center"/>
                </w:tcPr>
                <w:p w14:paraId="6CDA9389">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b w:val="0"/>
                      <w:bCs/>
                      <w:color w:val="auto"/>
                      <w:kern w:val="2"/>
                      <w:sz w:val="21"/>
                      <w:szCs w:val="21"/>
                      <w:vertAlign w:val="baseline"/>
                      <w:lang w:val="en-US" w:eastAsia="zh-CN" w:bidi="ar-SA"/>
                    </w:rPr>
                  </w:pPr>
                  <w:r>
                    <w:rPr>
                      <w:rFonts w:hint="eastAsia" w:cs="Times New Roman"/>
                      <w:b w:val="0"/>
                      <w:bCs/>
                      <w:color w:val="auto"/>
                      <w:sz w:val="21"/>
                      <w:szCs w:val="21"/>
                      <w:vertAlign w:val="baseline"/>
                      <w:lang w:val="en-US" w:eastAsia="zh-CN"/>
                    </w:rPr>
                    <w:t>外购</w:t>
                  </w:r>
                </w:p>
              </w:tc>
            </w:tr>
            <w:tr w14:paraId="58B600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10" w:type="pct"/>
                  <w:gridSpan w:val="2"/>
                  <w:vMerge w:val="continue"/>
                  <w:tcBorders>
                    <w:tl2br w:val="nil"/>
                    <w:tr2bl w:val="nil"/>
                  </w:tcBorders>
                  <w:shd w:val="clear" w:color="auto" w:fill="auto"/>
                  <w:vAlign w:val="center"/>
                </w:tcPr>
                <w:p w14:paraId="769D9550">
                  <w:pPr>
                    <w:keepNext w:val="0"/>
                    <w:keepLines w:val="0"/>
                    <w:pageBreakBefore w:val="0"/>
                    <w:kinsoku/>
                    <w:wordWrap/>
                    <w:overflowPunct/>
                    <w:topLinePunct w:val="0"/>
                    <w:autoSpaceDE/>
                    <w:autoSpaceDN/>
                    <w:bidi w:val="0"/>
                    <w:spacing w:line="240" w:lineRule="auto"/>
                    <w:jc w:val="center"/>
                    <w:rPr>
                      <w:rFonts w:hint="eastAsia" w:ascii="Times New Roman" w:hAnsi="Times New Roman"/>
                      <w:color w:val="auto"/>
                      <w:sz w:val="21"/>
                      <w:szCs w:val="21"/>
                      <w:lang w:val="en-US" w:eastAsia="zh-CN"/>
                    </w:rPr>
                  </w:pPr>
                </w:p>
              </w:tc>
              <w:tc>
                <w:tcPr>
                  <w:tcW w:w="1334" w:type="pct"/>
                  <w:tcBorders>
                    <w:tl2br w:val="nil"/>
                    <w:tr2bl w:val="nil"/>
                  </w:tcBorders>
                  <w:shd w:val="clear" w:color="auto" w:fill="auto"/>
                  <w:vAlign w:val="center"/>
                </w:tcPr>
                <w:p w14:paraId="7A20E406">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eastAsia" w:ascii="Times New Roman" w:hAnsi="Times New Roman"/>
                      <w:color w:val="auto"/>
                      <w:sz w:val="21"/>
                      <w:szCs w:val="21"/>
                      <w:lang w:val="en-US" w:eastAsia="zh-CN"/>
                    </w:rPr>
                  </w:pPr>
                  <w:r>
                    <w:rPr>
                      <w:rFonts w:hint="eastAsia"/>
                      <w:color w:val="auto"/>
                      <w:lang w:val="en-US" w:eastAsia="zh-CN"/>
                    </w:rPr>
                    <w:t>血常规检测盒</w:t>
                  </w:r>
                </w:p>
              </w:tc>
              <w:tc>
                <w:tcPr>
                  <w:tcW w:w="513" w:type="pct"/>
                  <w:tcBorders>
                    <w:tl2br w:val="nil"/>
                    <w:tr2bl w:val="nil"/>
                  </w:tcBorders>
                  <w:shd w:val="clear" w:color="auto" w:fill="auto"/>
                  <w:vAlign w:val="center"/>
                </w:tcPr>
                <w:p w14:paraId="41E25B37">
                  <w:pPr>
                    <w:keepNext w:val="0"/>
                    <w:keepLines w:val="0"/>
                    <w:pageBreakBefore w:val="0"/>
                    <w:kinsoku/>
                    <w:wordWrap/>
                    <w:overflowPunct/>
                    <w:topLinePunct w:val="0"/>
                    <w:autoSpaceDE/>
                    <w:autoSpaceDN/>
                    <w:bidi w:val="0"/>
                    <w:spacing w:line="240" w:lineRule="auto"/>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50</w:t>
                  </w:r>
                </w:p>
              </w:tc>
              <w:tc>
                <w:tcPr>
                  <w:tcW w:w="916" w:type="pct"/>
                  <w:tcBorders>
                    <w:tl2br w:val="nil"/>
                    <w:tr2bl w:val="nil"/>
                  </w:tcBorders>
                  <w:shd w:val="clear" w:color="auto" w:fill="auto"/>
                  <w:vAlign w:val="center"/>
                </w:tcPr>
                <w:p w14:paraId="6D988BB8">
                  <w:pPr>
                    <w:keepNext w:val="0"/>
                    <w:keepLines w:val="0"/>
                    <w:pageBreakBefore w:val="0"/>
                    <w:kinsoku/>
                    <w:wordWrap/>
                    <w:overflowPunct/>
                    <w:topLinePunct w:val="0"/>
                    <w:autoSpaceDE/>
                    <w:autoSpaceDN/>
                    <w:bidi w:val="0"/>
                    <w:spacing w:line="240" w:lineRule="auto"/>
                    <w:jc w:val="center"/>
                    <w:rPr>
                      <w:rFonts w:hint="default" w:ascii="Times New Roman" w:hAnsi="Times New Roman"/>
                      <w:color w:val="auto"/>
                      <w:sz w:val="21"/>
                      <w:szCs w:val="21"/>
                      <w:lang w:val="en-US" w:eastAsia="zh-CN"/>
                    </w:rPr>
                  </w:pPr>
                  <w:r>
                    <w:rPr>
                      <w:rFonts w:hint="eastAsia"/>
                      <w:color w:val="auto"/>
                      <w:sz w:val="21"/>
                      <w:szCs w:val="21"/>
                      <w:lang w:val="en-US" w:eastAsia="zh-CN"/>
                    </w:rPr>
                    <w:t>个</w:t>
                  </w:r>
                </w:p>
              </w:tc>
              <w:tc>
                <w:tcPr>
                  <w:tcW w:w="520" w:type="pct"/>
                  <w:tcBorders>
                    <w:tl2br w:val="nil"/>
                    <w:tr2bl w:val="nil"/>
                  </w:tcBorders>
                  <w:shd w:val="clear" w:color="auto" w:fill="auto"/>
                  <w:vAlign w:val="center"/>
                </w:tcPr>
                <w:p w14:paraId="25387EF4">
                  <w:pPr>
                    <w:keepNext w:val="0"/>
                    <w:keepLines w:val="0"/>
                    <w:pageBreakBefore w:val="0"/>
                    <w:kinsoku/>
                    <w:wordWrap/>
                    <w:overflowPunct/>
                    <w:topLinePunct w:val="0"/>
                    <w:autoSpaceDE/>
                    <w:autoSpaceDN/>
                    <w:bidi w:val="0"/>
                    <w:spacing w:line="240" w:lineRule="auto"/>
                    <w:jc w:val="center"/>
                    <w:rPr>
                      <w:rFonts w:hint="default" w:ascii="Times New Roman" w:hAnsi="Times New Roman"/>
                      <w:color w:val="auto"/>
                      <w:sz w:val="21"/>
                      <w:szCs w:val="21"/>
                      <w:lang w:val="en-US" w:eastAsia="zh-CN"/>
                    </w:rPr>
                  </w:pPr>
                  <w:r>
                    <w:rPr>
                      <w:rFonts w:hint="default" w:ascii="Times New Roman" w:hAnsi="Times New Roman"/>
                      <w:color w:val="auto"/>
                      <w:sz w:val="21"/>
                      <w:lang w:val="en-US" w:eastAsia="zh-CN"/>
                    </w:rPr>
                    <w:t>50</w:t>
                  </w:r>
                </w:p>
              </w:tc>
              <w:tc>
                <w:tcPr>
                  <w:tcW w:w="413" w:type="pct"/>
                  <w:vMerge w:val="continue"/>
                  <w:tcBorders>
                    <w:tl2br w:val="nil"/>
                    <w:tr2bl w:val="nil"/>
                  </w:tcBorders>
                  <w:vAlign w:val="center"/>
                </w:tcPr>
                <w:p w14:paraId="06883F18">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p>
              </w:tc>
              <w:tc>
                <w:tcPr>
                  <w:tcW w:w="590" w:type="pct"/>
                  <w:tcBorders>
                    <w:tl2br w:val="nil"/>
                    <w:tr2bl w:val="nil"/>
                  </w:tcBorders>
                  <w:shd w:val="clear" w:color="auto" w:fill="auto"/>
                  <w:vAlign w:val="center"/>
                </w:tcPr>
                <w:p w14:paraId="35770D2A">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b w:val="0"/>
                      <w:bCs/>
                      <w:color w:val="auto"/>
                      <w:kern w:val="2"/>
                      <w:sz w:val="21"/>
                      <w:szCs w:val="21"/>
                      <w:vertAlign w:val="baseline"/>
                      <w:lang w:val="en-US" w:eastAsia="zh-CN" w:bidi="ar-SA"/>
                    </w:rPr>
                  </w:pPr>
                  <w:r>
                    <w:rPr>
                      <w:rFonts w:hint="eastAsia" w:cs="Times New Roman"/>
                      <w:b w:val="0"/>
                      <w:bCs/>
                      <w:color w:val="auto"/>
                      <w:sz w:val="21"/>
                      <w:szCs w:val="21"/>
                      <w:vertAlign w:val="baseline"/>
                      <w:lang w:val="en-US" w:eastAsia="zh-CN"/>
                    </w:rPr>
                    <w:t>外购</w:t>
                  </w:r>
                </w:p>
              </w:tc>
            </w:tr>
            <w:tr w14:paraId="72BA0A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10" w:type="pct"/>
                  <w:gridSpan w:val="2"/>
                  <w:vMerge w:val="continue"/>
                  <w:tcBorders>
                    <w:tl2br w:val="nil"/>
                    <w:tr2bl w:val="nil"/>
                  </w:tcBorders>
                  <w:shd w:val="clear" w:color="auto" w:fill="auto"/>
                  <w:vAlign w:val="center"/>
                </w:tcPr>
                <w:p w14:paraId="53A0DDBC">
                  <w:pPr>
                    <w:keepNext w:val="0"/>
                    <w:keepLines w:val="0"/>
                    <w:pageBreakBefore w:val="0"/>
                    <w:kinsoku/>
                    <w:wordWrap/>
                    <w:overflowPunct/>
                    <w:topLinePunct w:val="0"/>
                    <w:autoSpaceDE/>
                    <w:autoSpaceDN/>
                    <w:bidi w:val="0"/>
                    <w:spacing w:line="240" w:lineRule="auto"/>
                    <w:jc w:val="center"/>
                    <w:rPr>
                      <w:rFonts w:hint="eastAsia" w:ascii="Times New Roman" w:hAnsi="Times New Roman"/>
                      <w:color w:val="auto"/>
                      <w:sz w:val="21"/>
                      <w:szCs w:val="21"/>
                      <w:lang w:val="en-US" w:eastAsia="zh-CN"/>
                    </w:rPr>
                  </w:pPr>
                </w:p>
              </w:tc>
              <w:tc>
                <w:tcPr>
                  <w:tcW w:w="1334" w:type="pct"/>
                  <w:tcBorders>
                    <w:tl2br w:val="nil"/>
                    <w:tr2bl w:val="nil"/>
                  </w:tcBorders>
                  <w:shd w:val="clear" w:color="auto" w:fill="auto"/>
                  <w:vAlign w:val="center"/>
                </w:tcPr>
                <w:p w14:paraId="0E1F92EB">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default" w:ascii="Times New Roman" w:hAnsi="Times New Roman"/>
                      <w:color w:val="auto"/>
                      <w:sz w:val="21"/>
                      <w:szCs w:val="21"/>
                      <w:lang w:val="en-US" w:eastAsia="zh-CN"/>
                    </w:rPr>
                  </w:pPr>
                  <w:r>
                    <w:rPr>
                      <w:rFonts w:hint="eastAsia"/>
                      <w:color w:val="auto"/>
                      <w:lang w:val="en-US" w:eastAsia="zh-CN"/>
                    </w:rPr>
                    <w:t>显微镜玻片</w:t>
                  </w:r>
                </w:p>
              </w:tc>
              <w:tc>
                <w:tcPr>
                  <w:tcW w:w="513" w:type="pct"/>
                  <w:tcBorders>
                    <w:tl2br w:val="nil"/>
                    <w:tr2bl w:val="nil"/>
                  </w:tcBorders>
                  <w:shd w:val="clear" w:color="auto" w:fill="auto"/>
                  <w:vAlign w:val="center"/>
                </w:tcPr>
                <w:p w14:paraId="4A94A981">
                  <w:pPr>
                    <w:keepNext w:val="0"/>
                    <w:keepLines w:val="0"/>
                    <w:pageBreakBefore w:val="0"/>
                    <w:kinsoku/>
                    <w:wordWrap/>
                    <w:overflowPunct/>
                    <w:topLinePunct w:val="0"/>
                    <w:autoSpaceDE/>
                    <w:autoSpaceDN/>
                    <w:bidi w:val="0"/>
                    <w:spacing w:line="240" w:lineRule="auto"/>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50</w:t>
                  </w:r>
                </w:p>
              </w:tc>
              <w:tc>
                <w:tcPr>
                  <w:tcW w:w="916" w:type="pct"/>
                  <w:tcBorders>
                    <w:tl2br w:val="nil"/>
                    <w:tr2bl w:val="nil"/>
                  </w:tcBorders>
                  <w:shd w:val="clear" w:color="auto" w:fill="auto"/>
                  <w:vAlign w:val="center"/>
                </w:tcPr>
                <w:p w14:paraId="40BE75FD">
                  <w:pPr>
                    <w:keepNext w:val="0"/>
                    <w:keepLines w:val="0"/>
                    <w:pageBreakBefore w:val="0"/>
                    <w:kinsoku/>
                    <w:wordWrap/>
                    <w:overflowPunct/>
                    <w:topLinePunct w:val="0"/>
                    <w:autoSpaceDE/>
                    <w:autoSpaceDN/>
                    <w:bidi w:val="0"/>
                    <w:spacing w:line="240" w:lineRule="auto"/>
                    <w:jc w:val="center"/>
                    <w:rPr>
                      <w:rFonts w:hint="default" w:ascii="Times New Roman" w:hAnsi="Times New Roman"/>
                      <w:color w:val="auto"/>
                      <w:sz w:val="21"/>
                      <w:szCs w:val="21"/>
                      <w:lang w:val="en-US" w:eastAsia="zh-CN"/>
                    </w:rPr>
                  </w:pPr>
                  <w:r>
                    <w:rPr>
                      <w:rFonts w:hint="eastAsia"/>
                      <w:color w:val="auto"/>
                      <w:sz w:val="21"/>
                      <w:szCs w:val="21"/>
                      <w:lang w:val="en-US" w:eastAsia="zh-CN"/>
                    </w:rPr>
                    <w:t>个</w:t>
                  </w:r>
                </w:p>
              </w:tc>
              <w:tc>
                <w:tcPr>
                  <w:tcW w:w="520" w:type="pct"/>
                  <w:tcBorders>
                    <w:tl2br w:val="nil"/>
                    <w:tr2bl w:val="nil"/>
                  </w:tcBorders>
                  <w:shd w:val="clear" w:color="auto" w:fill="auto"/>
                  <w:vAlign w:val="center"/>
                </w:tcPr>
                <w:p w14:paraId="4A9E7AB6">
                  <w:pPr>
                    <w:keepNext w:val="0"/>
                    <w:keepLines w:val="0"/>
                    <w:pageBreakBefore w:val="0"/>
                    <w:kinsoku/>
                    <w:wordWrap/>
                    <w:overflowPunct/>
                    <w:topLinePunct w:val="0"/>
                    <w:autoSpaceDE/>
                    <w:autoSpaceDN/>
                    <w:bidi w:val="0"/>
                    <w:spacing w:line="240" w:lineRule="auto"/>
                    <w:jc w:val="center"/>
                    <w:rPr>
                      <w:rFonts w:hint="default" w:ascii="Times New Roman" w:hAnsi="Times New Roman"/>
                      <w:color w:val="auto"/>
                      <w:sz w:val="21"/>
                      <w:szCs w:val="21"/>
                      <w:lang w:val="en-US" w:eastAsia="zh-CN"/>
                    </w:rPr>
                  </w:pPr>
                  <w:r>
                    <w:rPr>
                      <w:rFonts w:hint="default" w:ascii="Times New Roman" w:hAnsi="Times New Roman"/>
                      <w:color w:val="auto"/>
                      <w:sz w:val="21"/>
                      <w:lang w:val="en-US" w:eastAsia="zh-CN"/>
                    </w:rPr>
                    <w:t>50</w:t>
                  </w:r>
                </w:p>
              </w:tc>
              <w:tc>
                <w:tcPr>
                  <w:tcW w:w="413" w:type="pct"/>
                  <w:vMerge w:val="continue"/>
                  <w:tcBorders>
                    <w:tl2br w:val="nil"/>
                    <w:tr2bl w:val="nil"/>
                  </w:tcBorders>
                  <w:vAlign w:val="center"/>
                </w:tcPr>
                <w:p w14:paraId="34A13C3D">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p>
              </w:tc>
              <w:tc>
                <w:tcPr>
                  <w:tcW w:w="590" w:type="pct"/>
                  <w:tcBorders>
                    <w:tl2br w:val="nil"/>
                    <w:tr2bl w:val="nil"/>
                  </w:tcBorders>
                  <w:shd w:val="clear" w:color="auto" w:fill="auto"/>
                  <w:vAlign w:val="center"/>
                </w:tcPr>
                <w:p w14:paraId="66C1532F">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b w:val="0"/>
                      <w:bCs/>
                      <w:color w:val="auto"/>
                      <w:kern w:val="2"/>
                      <w:sz w:val="21"/>
                      <w:szCs w:val="21"/>
                      <w:vertAlign w:val="baseline"/>
                      <w:lang w:val="en-US" w:eastAsia="zh-CN" w:bidi="ar-SA"/>
                    </w:rPr>
                  </w:pPr>
                  <w:r>
                    <w:rPr>
                      <w:rFonts w:hint="eastAsia" w:cs="Times New Roman"/>
                      <w:b w:val="0"/>
                      <w:bCs/>
                      <w:color w:val="auto"/>
                      <w:sz w:val="21"/>
                      <w:szCs w:val="21"/>
                      <w:vertAlign w:val="baseline"/>
                      <w:lang w:val="en-US" w:eastAsia="zh-CN"/>
                    </w:rPr>
                    <w:t>外购</w:t>
                  </w:r>
                </w:p>
              </w:tc>
            </w:tr>
            <w:tr w14:paraId="60AFC2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10" w:type="pct"/>
                  <w:gridSpan w:val="2"/>
                  <w:vMerge w:val="continue"/>
                  <w:tcBorders>
                    <w:tl2br w:val="nil"/>
                    <w:tr2bl w:val="nil"/>
                  </w:tcBorders>
                  <w:shd w:val="clear" w:color="auto" w:fill="auto"/>
                  <w:vAlign w:val="center"/>
                </w:tcPr>
                <w:p w14:paraId="4D87C7BC">
                  <w:pPr>
                    <w:keepNext w:val="0"/>
                    <w:keepLines w:val="0"/>
                    <w:pageBreakBefore w:val="0"/>
                    <w:kinsoku/>
                    <w:wordWrap/>
                    <w:overflowPunct/>
                    <w:topLinePunct w:val="0"/>
                    <w:autoSpaceDE/>
                    <w:autoSpaceDN/>
                    <w:bidi w:val="0"/>
                    <w:spacing w:line="240" w:lineRule="auto"/>
                    <w:jc w:val="center"/>
                    <w:rPr>
                      <w:rFonts w:hint="eastAsia" w:ascii="Times New Roman" w:hAnsi="Times New Roman"/>
                      <w:color w:val="auto"/>
                      <w:sz w:val="21"/>
                      <w:szCs w:val="21"/>
                      <w:lang w:val="en-US" w:eastAsia="zh-CN"/>
                    </w:rPr>
                  </w:pPr>
                </w:p>
              </w:tc>
              <w:tc>
                <w:tcPr>
                  <w:tcW w:w="1334" w:type="pct"/>
                  <w:tcBorders>
                    <w:tl2br w:val="nil"/>
                    <w:tr2bl w:val="nil"/>
                  </w:tcBorders>
                  <w:shd w:val="clear" w:color="auto" w:fill="auto"/>
                  <w:vAlign w:val="center"/>
                </w:tcPr>
                <w:p w14:paraId="5EE62A64">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default" w:ascii="Times New Roman" w:hAnsi="Times New Roman"/>
                      <w:color w:val="auto"/>
                      <w:sz w:val="21"/>
                      <w:szCs w:val="21"/>
                      <w:lang w:val="en-US" w:eastAsia="zh-CN"/>
                    </w:rPr>
                  </w:pPr>
                  <w:r>
                    <w:rPr>
                      <w:rFonts w:hint="eastAsia"/>
                      <w:color w:val="auto"/>
                      <w:sz w:val="21"/>
                      <w:szCs w:val="21"/>
                      <w:lang w:val="en-US" w:eastAsia="zh-CN"/>
                    </w:rPr>
                    <w:t>生化</w:t>
                  </w:r>
                  <w:r>
                    <w:rPr>
                      <w:rFonts w:hint="eastAsia"/>
                      <w:color w:val="auto"/>
                      <w:lang w:val="en-US" w:eastAsia="zh-CN"/>
                    </w:rPr>
                    <w:t>检测盒</w:t>
                  </w:r>
                </w:p>
              </w:tc>
              <w:tc>
                <w:tcPr>
                  <w:tcW w:w="513" w:type="pct"/>
                  <w:tcBorders>
                    <w:tl2br w:val="nil"/>
                    <w:tr2bl w:val="nil"/>
                  </w:tcBorders>
                  <w:shd w:val="clear" w:color="auto" w:fill="auto"/>
                  <w:vAlign w:val="center"/>
                </w:tcPr>
                <w:p w14:paraId="74F19CEB">
                  <w:pPr>
                    <w:keepNext w:val="0"/>
                    <w:keepLines w:val="0"/>
                    <w:pageBreakBefore w:val="0"/>
                    <w:kinsoku/>
                    <w:wordWrap/>
                    <w:overflowPunct/>
                    <w:topLinePunct w:val="0"/>
                    <w:autoSpaceDE/>
                    <w:autoSpaceDN/>
                    <w:bidi w:val="0"/>
                    <w:spacing w:line="240" w:lineRule="auto"/>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20</w:t>
                  </w:r>
                </w:p>
              </w:tc>
              <w:tc>
                <w:tcPr>
                  <w:tcW w:w="916" w:type="pct"/>
                  <w:tcBorders>
                    <w:tl2br w:val="nil"/>
                    <w:tr2bl w:val="nil"/>
                  </w:tcBorders>
                  <w:shd w:val="clear" w:color="auto" w:fill="auto"/>
                  <w:vAlign w:val="center"/>
                </w:tcPr>
                <w:p w14:paraId="48B48BCA">
                  <w:pPr>
                    <w:keepNext w:val="0"/>
                    <w:keepLines w:val="0"/>
                    <w:pageBreakBefore w:val="0"/>
                    <w:kinsoku/>
                    <w:wordWrap/>
                    <w:overflowPunct/>
                    <w:topLinePunct w:val="0"/>
                    <w:autoSpaceDE/>
                    <w:autoSpaceDN/>
                    <w:bidi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个</w:t>
                  </w:r>
                </w:p>
              </w:tc>
              <w:tc>
                <w:tcPr>
                  <w:tcW w:w="520" w:type="pct"/>
                  <w:tcBorders>
                    <w:tl2br w:val="nil"/>
                    <w:tr2bl w:val="nil"/>
                  </w:tcBorders>
                  <w:shd w:val="clear" w:color="auto" w:fill="auto"/>
                  <w:vAlign w:val="center"/>
                </w:tcPr>
                <w:p w14:paraId="678103C4">
                  <w:pPr>
                    <w:keepNext w:val="0"/>
                    <w:keepLines w:val="0"/>
                    <w:pageBreakBefore w:val="0"/>
                    <w:kinsoku/>
                    <w:wordWrap/>
                    <w:overflowPunct/>
                    <w:topLinePunct w:val="0"/>
                    <w:autoSpaceDE/>
                    <w:autoSpaceDN/>
                    <w:bidi w:val="0"/>
                    <w:spacing w:line="240" w:lineRule="auto"/>
                    <w:jc w:val="center"/>
                    <w:rPr>
                      <w:rFonts w:hint="default" w:ascii="Times New Roman" w:hAnsi="Times New Roman"/>
                      <w:color w:val="auto"/>
                      <w:sz w:val="21"/>
                      <w:szCs w:val="21"/>
                      <w:lang w:val="en-US" w:eastAsia="zh-CN"/>
                    </w:rPr>
                  </w:pPr>
                  <w:r>
                    <w:rPr>
                      <w:rFonts w:hint="default" w:ascii="Times New Roman" w:hAnsi="Times New Roman"/>
                      <w:color w:val="auto"/>
                      <w:sz w:val="21"/>
                      <w:lang w:val="en-US" w:eastAsia="zh-CN"/>
                    </w:rPr>
                    <w:t>50</w:t>
                  </w:r>
                </w:p>
              </w:tc>
              <w:tc>
                <w:tcPr>
                  <w:tcW w:w="413" w:type="pct"/>
                  <w:vMerge w:val="continue"/>
                  <w:tcBorders>
                    <w:tl2br w:val="nil"/>
                    <w:tr2bl w:val="nil"/>
                  </w:tcBorders>
                  <w:vAlign w:val="center"/>
                </w:tcPr>
                <w:p w14:paraId="1128212F">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p>
              </w:tc>
              <w:tc>
                <w:tcPr>
                  <w:tcW w:w="590" w:type="pct"/>
                  <w:tcBorders>
                    <w:tl2br w:val="nil"/>
                    <w:tr2bl w:val="nil"/>
                  </w:tcBorders>
                  <w:shd w:val="clear" w:color="auto" w:fill="auto"/>
                  <w:vAlign w:val="center"/>
                </w:tcPr>
                <w:p w14:paraId="450CDC8A">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b w:val="0"/>
                      <w:bCs/>
                      <w:color w:val="auto"/>
                      <w:kern w:val="2"/>
                      <w:sz w:val="21"/>
                      <w:szCs w:val="21"/>
                      <w:vertAlign w:val="baseline"/>
                      <w:lang w:val="en-US" w:eastAsia="zh-CN" w:bidi="ar-SA"/>
                    </w:rPr>
                  </w:pPr>
                  <w:r>
                    <w:rPr>
                      <w:rFonts w:hint="eastAsia" w:cs="Times New Roman"/>
                      <w:b w:val="0"/>
                      <w:bCs/>
                      <w:color w:val="auto"/>
                      <w:sz w:val="21"/>
                      <w:szCs w:val="21"/>
                      <w:vertAlign w:val="baseline"/>
                      <w:lang w:val="en-US" w:eastAsia="zh-CN"/>
                    </w:rPr>
                    <w:t>外购</w:t>
                  </w:r>
                </w:p>
              </w:tc>
            </w:tr>
            <w:tr w14:paraId="603DE2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10" w:type="pct"/>
                  <w:gridSpan w:val="2"/>
                  <w:vMerge w:val="continue"/>
                  <w:tcBorders>
                    <w:tl2br w:val="nil"/>
                    <w:tr2bl w:val="nil"/>
                  </w:tcBorders>
                  <w:shd w:val="clear" w:color="auto" w:fill="auto"/>
                  <w:vAlign w:val="center"/>
                </w:tcPr>
                <w:p w14:paraId="2BD20B13">
                  <w:pPr>
                    <w:keepNext w:val="0"/>
                    <w:keepLines w:val="0"/>
                    <w:pageBreakBefore w:val="0"/>
                    <w:kinsoku/>
                    <w:wordWrap/>
                    <w:overflowPunct/>
                    <w:topLinePunct w:val="0"/>
                    <w:autoSpaceDE/>
                    <w:autoSpaceDN/>
                    <w:bidi w:val="0"/>
                    <w:spacing w:line="240" w:lineRule="auto"/>
                    <w:jc w:val="center"/>
                    <w:rPr>
                      <w:rFonts w:hint="eastAsia" w:ascii="Times New Roman" w:hAnsi="Times New Roman"/>
                      <w:color w:val="auto"/>
                      <w:sz w:val="21"/>
                      <w:szCs w:val="21"/>
                      <w:lang w:val="en-US" w:eastAsia="zh-CN"/>
                    </w:rPr>
                  </w:pPr>
                </w:p>
              </w:tc>
              <w:tc>
                <w:tcPr>
                  <w:tcW w:w="1334" w:type="pct"/>
                  <w:tcBorders>
                    <w:tl2br w:val="nil"/>
                    <w:tr2bl w:val="nil"/>
                  </w:tcBorders>
                  <w:shd w:val="clear" w:color="auto" w:fill="auto"/>
                  <w:vAlign w:val="center"/>
                </w:tcPr>
                <w:p w14:paraId="59B12195">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default" w:ascii="Times New Roman" w:hAnsi="Times New Roman"/>
                      <w:color w:val="auto"/>
                      <w:sz w:val="21"/>
                      <w:szCs w:val="21"/>
                      <w:lang w:val="en-US" w:eastAsia="zh-CN"/>
                    </w:rPr>
                  </w:pPr>
                  <w:r>
                    <w:rPr>
                      <w:rFonts w:hint="eastAsia"/>
                      <w:color w:val="auto"/>
                      <w:sz w:val="21"/>
                      <w:szCs w:val="21"/>
                      <w:lang w:val="en-US" w:eastAsia="zh-CN"/>
                    </w:rPr>
                    <w:t>核酸</w:t>
                  </w:r>
                  <w:r>
                    <w:rPr>
                      <w:rFonts w:hint="eastAsia"/>
                      <w:color w:val="auto"/>
                      <w:lang w:val="en-US" w:eastAsia="zh-CN"/>
                    </w:rPr>
                    <w:t>检测盒</w:t>
                  </w:r>
                </w:p>
              </w:tc>
              <w:tc>
                <w:tcPr>
                  <w:tcW w:w="513" w:type="pct"/>
                  <w:tcBorders>
                    <w:tl2br w:val="nil"/>
                    <w:tr2bl w:val="nil"/>
                  </w:tcBorders>
                  <w:shd w:val="clear" w:color="auto" w:fill="auto"/>
                  <w:vAlign w:val="center"/>
                </w:tcPr>
                <w:p w14:paraId="02705468">
                  <w:pPr>
                    <w:keepNext w:val="0"/>
                    <w:keepLines w:val="0"/>
                    <w:pageBreakBefore w:val="0"/>
                    <w:kinsoku/>
                    <w:wordWrap/>
                    <w:overflowPunct/>
                    <w:topLinePunct w:val="0"/>
                    <w:autoSpaceDE/>
                    <w:autoSpaceDN/>
                    <w:bidi w:val="0"/>
                    <w:spacing w:line="240" w:lineRule="auto"/>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10</w:t>
                  </w:r>
                </w:p>
              </w:tc>
              <w:tc>
                <w:tcPr>
                  <w:tcW w:w="916" w:type="pct"/>
                  <w:tcBorders>
                    <w:tl2br w:val="nil"/>
                    <w:tr2bl w:val="nil"/>
                  </w:tcBorders>
                  <w:shd w:val="clear" w:color="auto" w:fill="auto"/>
                  <w:vAlign w:val="center"/>
                </w:tcPr>
                <w:p w14:paraId="5ABAC797">
                  <w:pPr>
                    <w:keepNext w:val="0"/>
                    <w:keepLines w:val="0"/>
                    <w:pageBreakBefore w:val="0"/>
                    <w:kinsoku/>
                    <w:wordWrap/>
                    <w:overflowPunct/>
                    <w:topLinePunct w:val="0"/>
                    <w:autoSpaceDE/>
                    <w:autoSpaceDN/>
                    <w:bidi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个</w:t>
                  </w:r>
                </w:p>
              </w:tc>
              <w:tc>
                <w:tcPr>
                  <w:tcW w:w="520" w:type="pct"/>
                  <w:tcBorders>
                    <w:tl2br w:val="nil"/>
                    <w:tr2bl w:val="nil"/>
                  </w:tcBorders>
                  <w:shd w:val="clear" w:color="auto" w:fill="auto"/>
                  <w:vAlign w:val="center"/>
                </w:tcPr>
                <w:p w14:paraId="2E4C6008">
                  <w:pPr>
                    <w:keepNext w:val="0"/>
                    <w:keepLines w:val="0"/>
                    <w:pageBreakBefore w:val="0"/>
                    <w:kinsoku/>
                    <w:wordWrap/>
                    <w:overflowPunct/>
                    <w:topLinePunct w:val="0"/>
                    <w:autoSpaceDE/>
                    <w:autoSpaceDN/>
                    <w:bidi w:val="0"/>
                    <w:spacing w:line="240" w:lineRule="auto"/>
                    <w:jc w:val="center"/>
                    <w:rPr>
                      <w:rFonts w:hint="default" w:ascii="Times New Roman" w:hAnsi="Times New Roman"/>
                      <w:color w:val="auto"/>
                      <w:sz w:val="21"/>
                      <w:szCs w:val="21"/>
                      <w:lang w:val="en-US" w:eastAsia="zh-CN"/>
                    </w:rPr>
                  </w:pPr>
                  <w:r>
                    <w:rPr>
                      <w:rFonts w:hint="default" w:ascii="Times New Roman" w:hAnsi="Times New Roman"/>
                      <w:color w:val="auto"/>
                      <w:sz w:val="21"/>
                      <w:lang w:val="en-US" w:eastAsia="zh-CN"/>
                    </w:rPr>
                    <w:t>20</w:t>
                  </w:r>
                </w:p>
              </w:tc>
              <w:tc>
                <w:tcPr>
                  <w:tcW w:w="413" w:type="pct"/>
                  <w:vMerge w:val="continue"/>
                  <w:tcBorders>
                    <w:tl2br w:val="nil"/>
                    <w:tr2bl w:val="nil"/>
                  </w:tcBorders>
                  <w:vAlign w:val="center"/>
                </w:tcPr>
                <w:p w14:paraId="7C8A3B08">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p>
              </w:tc>
              <w:tc>
                <w:tcPr>
                  <w:tcW w:w="590" w:type="pct"/>
                  <w:tcBorders>
                    <w:tl2br w:val="nil"/>
                    <w:tr2bl w:val="nil"/>
                  </w:tcBorders>
                  <w:shd w:val="clear" w:color="auto" w:fill="auto"/>
                  <w:vAlign w:val="center"/>
                </w:tcPr>
                <w:p w14:paraId="0FD3340D">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b w:val="0"/>
                      <w:bCs/>
                      <w:color w:val="auto"/>
                      <w:kern w:val="2"/>
                      <w:sz w:val="21"/>
                      <w:szCs w:val="21"/>
                      <w:vertAlign w:val="baseline"/>
                      <w:lang w:val="en-US" w:eastAsia="zh-CN" w:bidi="ar-SA"/>
                    </w:rPr>
                  </w:pPr>
                  <w:r>
                    <w:rPr>
                      <w:rFonts w:hint="eastAsia" w:cs="Times New Roman"/>
                      <w:b w:val="0"/>
                      <w:bCs/>
                      <w:color w:val="auto"/>
                      <w:sz w:val="21"/>
                      <w:szCs w:val="21"/>
                      <w:vertAlign w:val="baseline"/>
                      <w:lang w:val="en-US" w:eastAsia="zh-CN"/>
                    </w:rPr>
                    <w:t>外购</w:t>
                  </w:r>
                </w:p>
              </w:tc>
            </w:tr>
            <w:tr w14:paraId="425D80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10" w:type="pct"/>
                  <w:gridSpan w:val="2"/>
                  <w:vMerge w:val="continue"/>
                  <w:tcBorders>
                    <w:tl2br w:val="nil"/>
                    <w:tr2bl w:val="nil"/>
                  </w:tcBorders>
                  <w:shd w:val="clear" w:color="auto" w:fill="auto"/>
                  <w:vAlign w:val="center"/>
                </w:tcPr>
                <w:p w14:paraId="4B1BE8B3">
                  <w:pPr>
                    <w:keepNext w:val="0"/>
                    <w:keepLines w:val="0"/>
                    <w:pageBreakBefore w:val="0"/>
                    <w:kinsoku/>
                    <w:wordWrap/>
                    <w:overflowPunct/>
                    <w:topLinePunct w:val="0"/>
                    <w:autoSpaceDE/>
                    <w:autoSpaceDN/>
                    <w:bidi w:val="0"/>
                    <w:spacing w:line="240" w:lineRule="auto"/>
                    <w:jc w:val="center"/>
                    <w:rPr>
                      <w:rFonts w:hint="eastAsia" w:ascii="Times New Roman" w:hAnsi="Times New Roman"/>
                      <w:color w:val="auto"/>
                      <w:sz w:val="21"/>
                      <w:szCs w:val="21"/>
                      <w:lang w:val="en-US" w:eastAsia="zh-CN"/>
                    </w:rPr>
                  </w:pPr>
                </w:p>
              </w:tc>
              <w:tc>
                <w:tcPr>
                  <w:tcW w:w="1334" w:type="pct"/>
                  <w:tcBorders>
                    <w:tl2br w:val="nil"/>
                    <w:tr2bl w:val="nil"/>
                  </w:tcBorders>
                  <w:shd w:val="clear" w:color="auto" w:fill="auto"/>
                  <w:vAlign w:val="center"/>
                </w:tcPr>
                <w:p w14:paraId="77B0161B">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default" w:ascii="Times New Roman" w:hAnsi="Times New Roman"/>
                      <w:color w:val="auto"/>
                      <w:sz w:val="21"/>
                      <w:szCs w:val="21"/>
                      <w:lang w:val="en-US" w:eastAsia="zh-CN"/>
                    </w:rPr>
                  </w:pPr>
                  <w:r>
                    <w:rPr>
                      <w:rFonts w:hint="eastAsia"/>
                      <w:color w:val="auto"/>
                      <w:sz w:val="21"/>
                      <w:szCs w:val="21"/>
                      <w:lang w:val="en-US" w:eastAsia="zh-CN"/>
                    </w:rPr>
                    <w:t>Saa</w:t>
                  </w:r>
                  <w:r>
                    <w:rPr>
                      <w:rFonts w:hint="eastAsia"/>
                      <w:color w:val="auto"/>
                      <w:lang w:val="en-US" w:eastAsia="zh-CN"/>
                    </w:rPr>
                    <w:t>检测盒</w:t>
                  </w:r>
                </w:p>
              </w:tc>
              <w:tc>
                <w:tcPr>
                  <w:tcW w:w="513" w:type="pct"/>
                  <w:tcBorders>
                    <w:tl2br w:val="nil"/>
                    <w:tr2bl w:val="nil"/>
                  </w:tcBorders>
                  <w:shd w:val="clear" w:color="auto" w:fill="auto"/>
                  <w:vAlign w:val="center"/>
                </w:tcPr>
                <w:p w14:paraId="32933FA9">
                  <w:pPr>
                    <w:keepNext w:val="0"/>
                    <w:keepLines w:val="0"/>
                    <w:pageBreakBefore w:val="0"/>
                    <w:kinsoku/>
                    <w:wordWrap/>
                    <w:overflowPunct/>
                    <w:topLinePunct w:val="0"/>
                    <w:autoSpaceDE/>
                    <w:autoSpaceDN/>
                    <w:bidi w:val="0"/>
                    <w:spacing w:line="240" w:lineRule="auto"/>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20</w:t>
                  </w:r>
                </w:p>
              </w:tc>
              <w:tc>
                <w:tcPr>
                  <w:tcW w:w="916" w:type="pct"/>
                  <w:tcBorders>
                    <w:tl2br w:val="nil"/>
                    <w:tr2bl w:val="nil"/>
                  </w:tcBorders>
                  <w:shd w:val="clear" w:color="auto" w:fill="auto"/>
                  <w:vAlign w:val="center"/>
                </w:tcPr>
                <w:p w14:paraId="3B2226BC">
                  <w:pPr>
                    <w:keepNext w:val="0"/>
                    <w:keepLines w:val="0"/>
                    <w:pageBreakBefore w:val="0"/>
                    <w:kinsoku/>
                    <w:wordWrap/>
                    <w:overflowPunct/>
                    <w:topLinePunct w:val="0"/>
                    <w:autoSpaceDE/>
                    <w:autoSpaceDN/>
                    <w:bidi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个</w:t>
                  </w:r>
                </w:p>
              </w:tc>
              <w:tc>
                <w:tcPr>
                  <w:tcW w:w="520" w:type="pct"/>
                  <w:tcBorders>
                    <w:tl2br w:val="nil"/>
                    <w:tr2bl w:val="nil"/>
                  </w:tcBorders>
                  <w:shd w:val="clear" w:color="auto" w:fill="auto"/>
                  <w:vAlign w:val="center"/>
                </w:tcPr>
                <w:p w14:paraId="7E3A9523">
                  <w:pPr>
                    <w:keepNext w:val="0"/>
                    <w:keepLines w:val="0"/>
                    <w:pageBreakBefore w:val="0"/>
                    <w:kinsoku/>
                    <w:wordWrap/>
                    <w:overflowPunct/>
                    <w:topLinePunct w:val="0"/>
                    <w:autoSpaceDE/>
                    <w:autoSpaceDN/>
                    <w:bidi w:val="0"/>
                    <w:spacing w:line="240" w:lineRule="auto"/>
                    <w:jc w:val="center"/>
                    <w:rPr>
                      <w:rFonts w:hint="default" w:ascii="Times New Roman" w:hAnsi="Times New Roman"/>
                      <w:color w:val="auto"/>
                      <w:sz w:val="21"/>
                      <w:szCs w:val="21"/>
                      <w:lang w:val="en-US" w:eastAsia="zh-CN"/>
                    </w:rPr>
                  </w:pPr>
                  <w:r>
                    <w:rPr>
                      <w:rFonts w:hint="default" w:ascii="Times New Roman" w:hAnsi="Times New Roman"/>
                      <w:color w:val="auto"/>
                      <w:sz w:val="21"/>
                      <w:lang w:val="en-US" w:eastAsia="zh-CN"/>
                    </w:rPr>
                    <w:t>20</w:t>
                  </w:r>
                </w:p>
              </w:tc>
              <w:tc>
                <w:tcPr>
                  <w:tcW w:w="413" w:type="pct"/>
                  <w:vMerge w:val="continue"/>
                  <w:tcBorders>
                    <w:tl2br w:val="nil"/>
                    <w:tr2bl w:val="nil"/>
                  </w:tcBorders>
                  <w:vAlign w:val="center"/>
                </w:tcPr>
                <w:p w14:paraId="242EA87B">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p>
              </w:tc>
              <w:tc>
                <w:tcPr>
                  <w:tcW w:w="590" w:type="pct"/>
                  <w:tcBorders>
                    <w:tl2br w:val="nil"/>
                    <w:tr2bl w:val="nil"/>
                  </w:tcBorders>
                  <w:shd w:val="clear" w:color="auto" w:fill="auto"/>
                  <w:vAlign w:val="center"/>
                </w:tcPr>
                <w:p w14:paraId="75309B89">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b w:val="0"/>
                      <w:bCs/>
                      <w:color w:val="auto"/>
                      <w:kern w:val="2"/>
                      <w:sz w:val="21"/>
                      <w:szCs w:val="21"/>
                      <w:vertAlign w:val="baseline"/>
                      <w:lang w:val="en-US" w:eastAsia="zh-CN" w:bidi="ar-SA"/>
                    </w:rPr>
                  </w:pPr>
                  <w:r>
                    <w:rPr>
                      <w:rFonts w:hint="eastAsia" w:cs="Times New Roman"/>
                      <w:b w:val="0"/>
                      <w:bCs/>
                      <w:color w:val="auto"/>
                      <w:sz w:val="21"/>
                      <w:szCs w:val="21"/>
                      <w:vertAlign w:val="baseline"/>
                      <w:lang w:val="en-US" w:eastAsia="zh-CN"/>
                    </w:rPr>
                    <w:t>外购</w:t>
                  </w:r>
                </w:p>
              </w:tc>
            </w:tr>
            <w:tr w14:paraId="73D599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10" w:type="pct"/>
                  <w:gridSpan w:val="2"/>
                  <w:vMerge w:val="continue"/>
                  <w:tcBorders>
                    <w:tl2br w:val="nil"/>
                    <w:tr2bl w:val="nil"/>
                  </w:tcBorders>
                  <w:shd w:val="clear" w:color="auto" w:fill="auto"/>
                  <w:vAlign w:val="center"/>
                </w:tcPr>
                <w:p w14:paraId="22CC8537">
                  <w:pPr>
                    <w:keepNext w:val="0"/>
                    <w:keepLines w:val="0"/>
                    <w:pageBreakBefore w:val="0"/>
                    <w:kinsoku/>
                    <w:wordWrap/>
                    <w:overflowPunct/>
                    <w:topLinePunct w:val="0"/>
                    <w:autoSpaceDE/>
                    <w:autoSpaceDN/>
                    <w:bidi w:val="0"/>
                    <w:spacing w:line="240" w:lineRule="auto"/>
                    <w:jc w:val="center"/>
                    <w:rPr>
                      <w:rFonts w:hint="eastAsia" w:ascii="Times New Roman" w:hAnsi="Times New Roman"/>
                      <w:color w:val="auto"/>
                      <w:sz w:val="21"/>
                      <w:szCs w:val="21"/>
                      <w:lang w:val="en-US" w:eastAsia="zh-CN"/>
                    </w:rPr>
                  </w:pPr>
                </w:p>
              </w:tc>
              <w:tc>
                <w:tcPr>
                  <w:tcW w:w="1334" w:type="pct"/>
                  <w:tcBorders>
                    <w:tl2br w:val="nil"/>
                    <w:tr2bl w:val="nil"/>
                  </w:tcBorders>
                  <w:shd w:val="clear" w:color="auto" w:fill="auto"/>
                  <w:vAlign w:val="center"/>
                </w:tcPr>
                <w:p w14:paraId="5C78BE5F">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default" w:ascii="Times New Roman" w:hAnsi="Times New Roman"/>
                      <w:color w:val="auto"/>
                      <w:sz w:val="21"/>
                      <w:szCs w:val="21"/>
                      <w:lang w:val="en-US" w:eastAsia="zh-CN"/>
                    </w:rPr>
                  </w:pPr>
                  <w:r>
                    <w:rPr>
                      <w:rFonts w:hint="eastAsia"/>
                      <w:color w:val="auto"/>
                      <w:sz w:val="21"/>
                      <w:szCs w:val="21"/>
                      <w:lang w:val="en-US" w:eastAsia="zh-CN"/>
                    </w:rPr>
                    <w:t>Crp</w:t>
                  </w:r>
                  <w:r>
                    <w:rPr>
                      <w:rFonts w:hint="eastAsia"/>
                      <w:color w:val="auto"/>
                      <w:lang w:val="en-US" w:eastAsia="zh-CN"/>
                    </w:rPr>
                    <w:t>检测盒</w:t>
                  </w:r>
                </w:p>
              </w:tc>
              <w:tc>
                <w:tcPr>
                  <w:tcW w:w="513" w:type="pct"/>
                  <w:tcBorders>
                    <w:tl2br w:val="nil"/>
                    <w:tr2bl w:val="nil"/>
                  </w:tcBorders>
                  <w:shd w:val="clear" w:color="auto" w:fill="auto"/>
                  <w:vAlign w:val="center"/>
                </w:tcPr>
                <w:p w14:paraId="0A9E8A94">
                  <w:pPr>
                    <w:keepNext w:val="0"/>
                    <w:keepLines w:val="0"/>
                    <w:pageBreakBefore w:val="0"/>
                    <w:kinsoku/>
                    <w:wordWrap/>
                    <w:overflowPunct/>
                    <w:topLinePunct w:val="0"/>
                    <w:autoSpaceDE/>
                    <w:autoSpaceDN/>
                    <w:bidi w:val="0"/>
                    <w:spacing w:line="240" w:lineRule="auto"/>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20</w:t>
                  </w:r>
                </w:p>
              </w:tc>
              <w:tc>
                <w:tcPr>
                  <w:tcW w:w="916" w:type="pct"/>
                  <w:tcBorders>
                    <w:tl2br w:val="nil"/>
                    <w:tr2bl w:val="nil"/>
                  </w:tcBorders>
                  <w:shd w:val="clear" w:color="auto" w:fill="auto"/>
                  <w:vAlign w:val="center"/>
                </w:tcPr>
                <w:p w14:paraId="2B1A0E98">
                  <w:pPr>
                    <w:keepNext w:val="0"/>
                    <w:keepLines w:val="0"/>
                    <w:pageBreakBefore w:val="0"/>
                    <w:kinsoku/>
                    <w:wordWrap/>
                    <w:overflowPunct/>
                    <w:topLinePunct w:val="0"/>
                    <w:autoSpaceDE/>
                    <w:autoSpaceDN/>
                    <w:bidi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个</w:t>
                  </w:r>
                </w:p>
              </w:tc>
              <w:tc>
                <w:tcPr>
                  <w:tcW w:w="520" w:type="pct"/>
                  <w:tcBorders>
                    <w:tl2br w:val="nil"/>
                    <w:tr2bl w:val="nil"/>
                  </w:tcBorders>
                  <w:shd w:val="clear" w:color="auto" w:fill="auto"/>
                  <w:vAlign w:val="center"/>
                </w:tcPr>
                <w:p w14:paraId="32EE730C">
                  <w:pPr>
                    <w:keepNext w:val="0"/>
                    <w:keepLines w:val="0"/>
                    <w:pageBreakBefore w:val="0"/>
                    <w:kinsoku/>
                    <w:wordWrap/>
                    <w:overflowPunct/>
                    <w:topLinePunct w:val="0"/>
                    <w:autoSpaceDE/>
                    <w:autoSpaceDN/>
                    <w:bidi w:val="0"/>
                    <w:spacing w:line="240" w:lineRule="auto"/>
                    <w:jc w:val="center"/>
                    <w:rPr>
                      <w:rFonts w:hint="default" w:ascii="Times New Roman" w:hAnsi="Times New Roman"/>
                      <w:color w:val="auto"/>
                      <w:sz w:val="21"/>
                      <w:szCs w:val="21"/>
                      <w:lang w:val="en-US" w:eastAsia="zh-CN"/>
                    </w:rPr>
                  </w:pPr>
                  <w:r>
                    <w:rPr>
                      <w:rFonts w:hint="default" w:ascii="Times New Roman" w:hAnsi="Times New Roman"/>
                      <w:color w:val="auto"/>
                      <w:sz w:val="21"/>
                      <w:lang w:val="en-US" w:eastAsia="zh-CN"/>
                    </w:rPr>
                    <w:t>20</w:t>
                  </w:r>
                </w:p>
              </w:tc>
              <w:tc>
                <w:tcPr>
                  <w:tcW w:w="413" w:type="pct"/>
                  <w:vMerge w:val="continue"/>
                  <w:tcBorders>
                    <w:tl2br w:val="nil"/>
                    <w:tr2bl w:val="nil"/>
                  </w:tcBorders>
                  <w:vAlign w:val="center"/>
                </w:tcPr>
                <w:p w14:paraId="41A4FDAF">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p>
              </w:tc>
              <w:tc>
                <w:tcPr>
                  <w:tcW w:w="590" w:type="pct"/>
                  <w:tcBorders>
                    <w:tl2br w:val="nil"/>
                    <w:tr2bl w:val="nil"/>
                  </w:tcBorders>
                  <w:shd w:val="clear" w:color="auto" w:fill="auto"/>
                  <w:vAlign w:val="center"/>
                </w:tcPr>
                <w:p w14:paraId="750B4830">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b w:val="0"/>
                      <w:bCs/>
                      <w:color w:val="auto"/>
                      <w:kern w:val="2"/>
                      <w:sz w:val="21"/>
                      <w:szCs w:val="21"/>
                      <w:vertAlign w:val="baseline"/>
                      <w:lang w:val="en-US" w:eastAsia="zh-CN" w:bidi="ar-SA"/>
                    </w:rPr>
                  </w:pPr>
                  <w:r>
                    <w:rPr>
                      <w:rFonts w:hint="eastAsia" w:cs="Times New Roman"/>
                      <w:b w:val="0"/>
                      <w:bCs/>
                      <w:color w:val="auto"/>
                      <w:sz w:val="21"/>
                      <w:szCs w:val="21"/>
                      <w:vertAlign w:val="baseline"/>
                      <w:lang w:val="en-US" w:eastAsia="zh-CN"/>
                    </w:rPr>
                    <w:t>外购</w:t>
                  </w:r>
                </w:p>
              </w:tc>
            </w:tr>
            <w:tr w14:paraId="4A0DD5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10" w:type="pct"/>
                  <w:gridSpan w:val="2"/>
                  <w:vMerge w:val="restart"/>
                  <w:tcBorders>
                    <w:tl2br w:val="nil"/>
                    <w:tr2bl w:val="nil"/>
                  </w:tcBorders>
                  <w:shd w:val="clear" w:color="auto" w:fill="auto"/>
                  <w:vAlign w:val="center"/>
                </w:tcPr>
                <w:p w14:paraId="13FD0D51">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olor w:val="auto"/>
                      <w:sz w:val="21"/>
                      <w:szCs w:val="21"/>
                      <w:lang w:val="en-US" w:eastAsia="zh-CN"/>
                    </w:rPr>
                    <w:t>消毒剂</w:t>
                  </w:r>
                </w:p>
              </w:tc>
              <w:tc>
                <w:tcPr>
                  <w:tcW w:w="1334" w:type="pct"/>
                  <w:tcBorders>
                    <w:tl2br w:val="nil"/>
                    <w:tr2bl w:val="nil"/>
                  </w:tcBorders>
                  <w:shd w:val="clear" w:color="auto" w:fill="auto"/>
                  <w:vAlign w:val="center"/>
                </w:tcPr>
                <w:p w14:paraId="473F0E2F">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default" w:ascii="Times New Roman" w:hAnsi="Times New Roman" w:eastAsia="宋体" w:cs="Times New Roman"/>
                      <w:color w:val="auto"/>
                      <w:kern w:val="0"/>
                      <w:sz w:val="21"/>
                      <w:szCs w:val="21"/>
                      <w:lang w:val="en-US" w:eastAsia="zh-CN" w:bidi="ar-SA"/>
                    </w:rPr>
                  </w:pPr>
                  <w:r>
                    <w:rPr>
                      <w:rFonts w:ascii="Times New Roman" w:hAnsi="Times New Roman" w:eastAsia="宋体"/>
                      <w:color w:val="auto"/>
                      <w:kern w:val="0"/>
                      <w:sz w:val="21"/>
                      <w:szCs w:val="21"/>
                    </w:rPr>
                    <w:t>医用酒精</w:t>
                  </w:r>
                </w:p>
              </w:tc>
              <w:tc>
                <w:tcPr>
                  <w:tcW w:w="513" w:type="pct"/>
                  <w:tcBorders>
                    <w:tl2br w:val="nil"/>
                    <w:tr2bl w:val="nil"/>
                  </w:tcBorders>
                  <w:shd w:val="clear" w:color="auto" w:fill="auto"/>
                  <w:vAlign w:val="center"/>
                </w:tcPr>
                <w:p w14:paraId="779CC8F6">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20</w:t>
                  </w:r>
                </w:p>
              </w:tc>
              <w:tc>
                <w:tcPr>
                  <w:tcW w:w="916" w:type="pct"/>
                  <w:tcBorders>
                    <w:tl2br w:val="nil"/>
                    <w:tr2bl w:val="nil"/>
                  </w:tcBorders>
                  <w:shd w:val="clear" w:color="auto" w:fill="auto"/>
                  <w:vAlign w:val="center"/>
                </w:tcPr>
                <w:p w14:paraId="04F2F1E6">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olor w:val="auto"/>
                      <w:sz w:val="21"/>
                      <w:szCs w:val="21"/>
                      <w:lang w:eastAsia="zh-CN"/>
                    </w:rPr>
                    <w:t>瓶</w:t>
                  </w:r>
                </w:p>
              </w:tc>
              <w:tc>
                <w:tcPr>
                  <w:tcW w:w="520" w:type="pct"/>
                  <w:tcBorders>
                    <w:tl2br w:val="nil"/>
                    <w:tr2bl w:val="nil"/>
                  </w:tcBorders>
                  <w:shd w:val="clear" w:color="auto" w:fill="auto"/>
                  <w:vAlign w:val="center"/>
                </w:tcPr>
                <w:p w14:paraId="0C6FC10E">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lang w:val="en-US" w:eastAsia="zh-CN" w:bidi="ar-SA"/>
                    </w:rPr>
                    <w:t>2</w:t>
                  </w:r>
                </w:p>
              </w:tc>
              <w:tc>
                <w:tcPr>
                  <w:tcW w:w="413" w:type="pct"/>
                  <w:vMerge w:val="restart"/>
                  <w:tcBorders>
                    <w:tl2br w:val="nil"/>
                    <w:tr2bl w:val="nil"/>
                  </w:tcBorders>
                  <w:vAlign w:val="center"/>
                </w:tcPr>
                <w:p w14:paraId="6CD3CFDF">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药房</w:t>
                  </w:r>
                </w:p>
              </w:tc>
              <w:tc>
                <w:tcPr>
                  <w:tcW w:w="590" w:type="pct"/>
                  <w:tcBorders>
                    <w:tl2br w:val="nil"/>
                    <w:tr2bl w:val="nil"/>
                  </w:tcBorders>
                  <w:shd w:val="clear" w:color="auto" w:fill="auto"/>
                  <w:vAlign w:val="center"/>
                </w:tcPr>
                <w:p w14:paraId="19F9BB1F">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color w:val="auto"/>
                      <w:kern w:val="2"/>
                      <w:sz w:val="21"/>
                      <w:szCs w:val="21"/>
                      <w:vertAlign w:val="baseline"/>
                      <w:lang w:val="en-US" w:eastAsia="zh-CN" w:bidi="ar-SA"/>
                    </w:rPr>
                  </w:pPr>
                  <w:r>
                    <w:rPr>
                      <w:rFonts w:hint="eastAsia" w:cs="Times New Roman"/>
                      <w:b w:val="0"/>
                      <w:bCs/>
                      <w:color w:val="auto"/>
                      <w:sz w:val="21"/>
                      <w:szCs w:val="21"/>
                      <w:vertAlign w:val="baseline"/>
                      <w:lang w:val="en-US" w:eastAsia="zh-CN"/>
                    </w:rPr>
                    <w:t>外购</w:t>
                  </w:r>
                </w:p>
              </w:tc>
            </w:tr>
            <w:tr w14:paraId="1774E1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10" w:type="pct"/>
                  <w:gridSpan w:val="2"/>
                  <w:vMerge w:val="continue"/>
                  <w:shd w:val="clear" w:color="auto" w:fill="auto"/>
                  <w:vAlign w:val="center"/>
                </w:tcPr>
                <w:p w14:paraId="34D2D37F">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kern w:val="2"/>
                      <w:sz w:val="21"/>
                      <w:szCs w:val="21"/>
                      <w:lang w:val="en-US" w:eastAsia="zh-CN" w:bidi="ar-SA"/>
                    </w:rPr>
                  </w:pPr>
                </w:p>
              </w:tc>
              <w:tc>
                <w:tcPr>
                  <w:tcW w:w="1334" w:type="pct"/>
                  <w:shd w:val="clear" w:color="auto" w:fill="auto"/>
                  <w:vAlign w:val="center"/>
                </w:tcPr>
                <w:p w14:paraId="7AB53D38">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default" w:ascii="Times New Roman" w:hAnsi="Times New Roman" w:eastAsia="宋体" w:cs="Times New Roman"/>
                      <w:color w:val="auto"/>
                      <w:kern w:val="0"/>
                      <w:sz w:val="21"/>
                      <w:szCs w:val="21"/>
                      <w:lang w:val="en-US" w:eastAsia="zh-CN" w:bidi="ar-SA"/>
                    </w:rPr>
                  </w:pPr>
                  <w:r>
                    <w:rPr>
                      <w:rFonts w:ascii="Times New Roman" w:hAnsi="Times New Roman" w:eastAsia="宋体"/>
                      <w:color w:val="auto"/>
                      <w:kern w:val="0"/>
                      <w:sz w:val="21"/>
                      <w:szCs w:val="21"/>
                    </w:rPr>
                    <w:t>碘伏</w:t>
                  </w:r>
                </w:p>
              </w:tc>
              <w:tc>
                <w:tcPr>
                  <w:tcW w:w="513" w:type="pct"/>
                  <w:shd w:val="clear" w:color="auto" w:fill="auto"/>
                  <w:vAlign w:val="center"/>
                </w:tcPr>
                <w:p w14:paraId="3BD884FA">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20</w:t>
                  </w:r>
                </w:p>
              </w:tc>
              <w:tc>
                <w:tcPr>
                  <w:tcW w:w="916" w:type="pct"/>
                  <w:shd w:val="clear" w:color="auto" w:fill="auto"/>
                  <w:vAlign w:val="center"/>
                </w:tcPr>
                <w:p w14:paraId="2F430C61">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olor w:val="auto"/>
                      <w:sz w:val="21"/>
                      <w:szCs w:val="21"/>
                      <w:lang w:eastAsia="zh-CN"/>
                    </w:rPr>
                    <w:t>瓶</w:t>
                  </w:r>
                </w:p>
              </w:tc>
              <w:tc>
                <w:tcPr>
                  <w:tcW w:w="520" w:type="pct"/>
                  <w:shd w:val="clear" w:color="auto" w:fill="auto"/>
                  <w:vAlign w:val="center"/>
                </w:tcPr>
                <w:p w14:paraId="332A5C8D">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lang w:val="en-US" w:eastAsia="zh-CN" w:bidi="ar-SA"/>
                    </w:rPr>
                    <w:t>2</w:t>
                  </w:r>
                </w:p>
              </w:tc>
              <w:tc>
                <w:tcPr>
                  <w:tcW w:w="413" w:type="pct"/>
                  <w:vMerge w:val="continue"/>
                  <w:vAlign w:val="center"/>
                </w:tcPr>
                <w:p w14:paraId="35F65737">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p>
              </w:tc>
              <w:tc>
                <w:tcPr>
                  <w:tcW w:w="590" w:type="pct"/>
                  <w:shd w:val="clear" w:color="auto" w:fill="auto"/>
                  <w:vAlign w:val="center"/>
                </w:tcPr>
                <w:p w14:paraId="51E4ACF2">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color w:val="auto"/>
                      <w:kern w:val="2"/>
                      <w:sz w:val="21"/>
                      <w:szCs w:val="21"/>
                      <w:vertAlign w:val="baseline"/>
                      <w:lang w:val="en-US" w:eastAsia="zh-CN" w:bidi="ar-SA"/>
                    </w:rPr>
                  </w:pPr>
                  <w:r>
                    <w:rPr>
                      <w:rFonts w:hint="eastAsia" w:cs="Times New Roman"/>
                      <w:b w:val="0"/>
                      <w:bCs/>
                      <w:color w:val="auto"/>
                      <w:sz w:val="21"/>
                      <w:szCs w:val="21"/>
                      <w:vertAlign w:val="baseline"/>
                      <w:lang w:val="en-US" w:eastAsia="zh-CN"/>
                    </w:rPr>
                    <w:t>外购</w:t>
                  </w:r>
                </w:p>
              </w:tc>
            </w:tr>
            <w:tr w14:paraId="4595A8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10" w:type="pct"/>
                  <w:gridSpan w:val="2"/>
                  <w:vMerge w:val="continue"/>
                  <w:shd w:val="clear" w:color="auto" w:fill="auto"/>
                  <w:vAlign w:val="center"/>
                </w:tcPr>
                <w:p w14:paraId="02A2357F">
                  <w:pPr>
                    <w:keepNext w:val="0"/>
                    <w:keepLines w:val="0"/>
                    <w:pageBreakBefore w:val="0"/>
                    <w:kinsoku/>
                    <w:wordWrap/>
                    <w:overflowPunct/>
                    <w:topLinePunct w:val="0"/>
                    <w:autoSpaceDE/>
                    <w:autoSpaceDN/>
                    <w:bidi w:val="0"/>
                    <w:spacing w:line="240" w:lineRule="auto"/>
                    <w:jc w:val="center"/>
                    <w:rPr>
                      <w:rFonts w:hint="eastAsia" w:ascii="Times New Roman" w:hAnsi="Times New Roman" w:eastAsia="宋体" w:cs="Times New Roman"/>
                      <w:color w:val="auto"/>
                      <w:kern w:val="2"/>
                      <w:sz w:val="21"/>
                      <w:szCs w:val="21"/>
                      <w:lang w:val="en-US" w:eastAsia="zh-CN" w:bidi="ar-SA"/>
                    </w:rPr>
                  </w:pPr>
                </w:p>
              </w:tc>
              <w:tc>
                <w:tcPr>
                  <w:tcW w:w="1334" w:type="pct"/>
                  <w:shd w:val="clear" w:color="auto" w:fill="auto"/>
                  <w:vAlign w:val="center"/>
                </w:tcPr>
                <w:p w14:paraId="18D65FA0">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ascii="Times New Roman" w:hAnsi="Times New Roman" w:eastAsia="宋体" w:cs="Times New Roman"/>
                      <w:color w:val="auto"/>
                      <w:kern w:val="0"/>
                      <w:sz w:val="21"/>
                      <w:szCs w:val="21"/>
                      <w:lang w:val="en-US" w:eastAsia="zh-CN" w:bidi="ar-SA"/>
                    </w:rPr>
                  </w:pPr>
                  <w:r>
                    <w:rPr>
                      <w:rFonts w:ascii="Times New Roman" w:hAnsi="Times New Roman" w:eastAsia="宋体"/>
                      <w:color w:val="auto"/>
                      <w:kern w:val="0"/>
                      <w:sz w:val="21"/>
                      <w:szCs w:val="21"/>
                    </w:rPr>
                    <w:t>新洁尔灭</w:t>
                  </w:r>
                </w:p>
              </w:tc>
              <w:tc>
                <w:tcPr>
                  <w:tcW w:w="513" w:type="pct"/>
                  <w:shd w:val="clear" w:color="auto" w:fill="auto"/>
                  <w:vAlign w:val="center"/>
                </w:tcPr>
                <w:p w14:paraId="54B7AC68">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12</w:t>
                  </w:r>
                </w:p>
              </w:tc>
              <w:tc>
                <w:tcPr>
                  <w:tcW w:w="916" w:type="pct"/>
                  <w:shd w:val="clear" w:color="auto" w:fill="auto"/>
                  <w:vAlign w:val="center"/>
                </w:tcPr>
                <w:p w14:paraId="789495F3">
                  <w:pPr>
                    <w:keepNext w:val="0"/>
                    <w:keepLines w:val="0"/>
                    <w:pageBreakBefore w:val="0"/>
                    <w:kinsoku/>
                    <w:wordWrap/>
                    <w:overflowPunct/>
                    <w:topLinePunct w:val="0"/>
                    <w:autoSpaceDE/>
                    <w:autoSpaceDN/>
                    <w:bidi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olor w:val="auto"/>
                      <w:sz w:val="21"/>
                      <w:szCs w:val="21"/>
                      <w:lang w:eastAsia="zh-CN"/>
                    </w:rPr>
                    <w:t>瓶</w:t>
                  </w:r>
                </w:p>
              </w:tc>
              <w:tc>
                <w:tcPr>
                  <w:tcW w:w="520" w:type="pct"/>
                  <w:shd w:val="clear" w:color="auto" w:fill="auto"/>
                  <w:vAlign w:val="center"/>
                </w:tcPr>
                <w:p w14:paraId="123585FF">
                  <w:pPr>
                    <w:keepNext w:val="0"/>
                    <w:keepLines w:val="0"/>
                    <w:pageBreakBefore w:val="0"/>
                    <w:kinsoku/>
                    <w:wordWrap/>
                    <w:overflowPunct/>
                    <w:topLinePunct w:val="0"/>
                    <w:autoSpaceDE/>
                    <w:autoSpaceDN/>
                    <w:bidi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lang w:val="en-US" w:eastAsia="zh-CN" w:bidi="ar-SA"/>
                    </w:rPr>
                    <w:t>5</w:t>
                  </w:r>
                </w:p>
              </w:tc>
              <w:tc>
                <w:tcPr>
                  <w:tcW w:w="413" w:type="pct"/>
                  <w:vMerge w:val="continue"/>
                  <w:vAlign w:val="center"/>
                </w:tcPr>
                <w:p w14:paraId="7F840F56">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p>
              </w:tc>
              <w:tc>
                <w:tcPr>
                  <w:tcW w:w="590" w:type="pct"/>
                  <w:shd w:val="clear" w:color="auto" w:fill="auto"/>
                  <w:vAlign w:val="center"/>
                </w:tcPr>
                <w:p w14:paraId="05B0CB8D">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color w:val="auto"/>
                      <w:kern w:val="2"/>
                      <w:sz w:val="21"/>
                      <w:szCs w:val="21"/>
                      <w:vertAlign w:val="baseline"/>
                      <w:lang w:val="en-US" w:eastAsia="zh-CN" w:bidi="ar-SA"/>
                    </w:rPr>
                  </w:pPr>
                  <w:r>
                    <w:rPr>
                      <w:rFonts w:hint="eastAsia" w:cs="Times New Roman"/>
                      <w:b w:val="0"/>
                      <w:bCs/>
                      <w:color w:val="auto"/>
                      <w:sz w:val="21"/>
                      <w:szCs w:val="21"/>
                      <w:vertAlign w:val="baseline"/>
                      <w:lang w:val="en-US" w:eastAsia="zh-CN"/>
                    </w:rPr>
                    <w:t>外购</w:t>
                  </w:r>
                </w:p>
              </w:tc>
            </w:tr>
            <w:tr w14:paraId="7CA893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10" w:type="pct"/>
                  <w:gridSpan w:val="2"/>
                  <w:vMerge w:val="continue"/>
                  <w:shd w:val="clear" w:color="auto" w:fill="auto"/>
                  <w:vAlign w:val="center"/>
                </w:tcPr>
                <w:p w14:paraId="50F077E9">
                  <w:pPr>
                    <w:keepNext w:val="0"/>
                    <w:keepLines w:val="0"/>
                    <w:pageBreakBefore w:val="0"/>
                    <w:kinsoku/>
                    <w:wordWrap/>
                    <w:overflowPunct/>
                    <w:topLinePunct w:val="0"/>
                    <w:autoSpaceDE/>
                    <w:autoSpaceDN/>
                    <w:bidi w:val="0"/>
                    <w:spacing w:line="240" w:lineRule="auto"/>
                    <w:jc w:val="center"/>
                    <w:rPr>
                      <w:rFonts w:hint="eastAsia" w:ascii="Times New Roman" w:hAnsi="Times New Roman" w:eastAsia="宋体" w:cs="Times New Roman"/>
                      <w:color w:val="auto"/>
                      <w:kern w:val="2"/>
                      <w:sz w:val="21"/>
                      <w:szCs w:val="21"/>
                      <w:lang w:val="en-US" w:eastAsia="zh-CN" w:bidi="ar-SA"/>
                    </w:rPr>
                  </w:pPr>
                </w:p>
              </w:tc>
              <w:tc>
                <w:tcPr>
                  <w:tcW w:w="1334" w:type="pct"/>
                  <w:shd w:val="clear" w:color="auto" w:fill="auto"/>
                  <w:vAlign w:val="center"/>
                </w:tcPr>
                <w:p w14:paraId="2995B777">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default" w:ascii="Times New Roman" w:hAnsi="Times New Roman" w:eastAsia="宋体"/>
                      <w:color w:val="auto"/>
                      <w:kern w:val="0"/>
                      <w:sz w:val="21"/>
                      <w:szCs w:val="21"/>
                      <w:lang w:val="en-US" w:eastAsia="zh-CN"/>
                    </w:rPr>
                  </w:pPr>
                  <w:r>
                    <w:rPr>
                      <w:rFonts w:hint="eastAsia"/>
                      <w:color w:val="auto"/>
                      <w:kern w:val="0"/>
                      <w:sz w:val="21"/>
                      <w:szCs w:val="21"/>
                      <w:lang w:val="en-US" w:eastAsia="zh-CN"/>
                    </w:rPr>
                    <w:t>84消毒液</w:t>
                  </w:r>
                </w:p>
              </w:tc>
              <w:tc>
                <w:tcPr>
                  <w:tcW w:w="847" w:type="dxa"/>
                  <w:shd w:val="clear" w:color="auto" w:fill="auto"/>
                  <w:vAlign w:val="center"/>
                </w:tcPr>
                <w:p w14:paraId="6260940F">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cs="Times New Roman"/>
                      <w:color w:val="auto"/>
                      <w:kern w:val="2"/>
                      <w:sz w:val="21"/>
                      <w:szCs w:val="21"/>
                      <w:lang w:val="en-US" w:eastAsia="zh-CN" w:bidi="ar-SA"/>
                    </w:rPr>
                  </w:pPr>
                  <w:r>
                    <w:rPr>
                      <w:rFonts w:hint="eastAsia"/>
                      <w:color w:val="auto"/>
                      <w:sz w:val="21"/>
                      <w:szCs w:val="21"/>
                      <w:lang w:val="en-US" w:eastAsia="zh-CN"/>
                    </w:rPr>
                    <w:t>40</w:t>
                  </w:r>
                  <w:r>
                    <w:rPr>
                      <w:rFonts w:hint="eastAsia" w:ascii="Times New Roman" w:hAnsi="Times New Roman"/>
                      <w:color w:val="auto"/>
                      <w:sz w:val="21"/>
                      <w:szCs w:val="21"/>
                      <w:lang w:val="en-US" w:eastAsia="zh-CN"/>
                    </w:rPr>
                    <w:t>瓶</w:t>
                  </w:r>
                </w:p>
              </w:tc>
              <w:tc>
                <w:tcPr>
                  <w:tcW w:w="1512" w:type="dxa"/>
                  <w:shd w:val="clear" w:color="auto" w:fill="auto"/>
                  <w:vAlign w:val="center"/>
                </w:tcPr>
                <w:p w14:paraId="40A11A37">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color w:val="auto"/>
                      <w:sz w:val="21"/>
                      <w:szCs w:val="21"/>
                      <w:lang w:eastAsia="zh-CN"/>
                    </w:rPr>
                  </w:pPr>
                  <w:r>
                    <w:rPr>
                      <w:rFonts w:hint="eastAsia" w:ascii="Times New Roman" w:hAnsi="Times New Roman"/>
                      <w:color w:val="auto"/>
                      <w:sz w:val="21"/>
                      <w:szCs w:val="21"/>
                      <w:lang w:eastAsia="zh-CN"/>
                    </w:rPr>
                    <w:t>500ml/瓶，次氯酸钠</w:t>
                  </w:r>
                </w:p>
              </w:tc>
              <w:tc>
                <w:tcPr>
                  <w:tcW w:w="859" w:type="dxa"/>
                  <w:shd w:val="clear" w:color="auto" w:fill="auto"/>
                  <w:vAlign w:val="center"/>
                </w:tcPr>
                <w:p w14:paraId="5B448664">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auto"/>
                      <w:sz w:val="21"/>
                      <w:lang w:val="en-US" w:eastAsia="zh-CN" w:bidi="ar-SA"/>
                    </w:rPr>
                  </w:pPr>
                  <w:r>
                    <w:rPr>
                      <w:rFonts w:hint="eastAsia"/>
                      <w:color w:val="auto"/>
                      <w:sz w:val="21"/>
                      <w:szCs w:val="21"/>
                      <w:lang w:val="en-US" w:eastAsia="zh-CN"/>
                    </w:rPr>
                    <w:t>3</w:t>
                  </w:r>
                </w:p>
              </w:tc>
              <w:tc>
                <w:tcPr>
                  <w:tcW w:w="413" w:type="pct"/>
                  <w:vMerge w:val="continue"/>
                  <w:vAlign w:val="center"/>
                </w:tcPr>
                <w:p w14:paraId="59E2C6CB">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p>
              </w:tc>
              <w:tc>
                <w:tcPr>
                  <w:tcW w:w="590" w:type="pct"/>
                  <w:shd w:val="clear" w:color="auto" w:fill="auto"/>
                  <w:vAlign w:val="center"/>
                </w:tcPr>
                <w:p w14:paraId="7CABFF76">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外购</w:t>
                  </w:r>
                </w:p>
              </w:tc>
            </w:tr>
            <w:tr w14:paraId="2E7C0A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0" w:type="pct"/>
                  <w:gridSpan w:val="2"/>
                  <w:vMerge w:val="continue"/>
                  <w:shd w:val="clear" w:color="auto" w:fill="auto"/>
                  <w:vAlign w:val="center"/>
                </w:tcPr>
                <w:p w14:paraId="6AFD5978">
                  <w:pPr>
                    <w:keepNext w:val="0"/>
                    <w:keepLines w:val="0"/>
                    <w:pageBreakBefore w:val="0"/>
                    <w:kinsoku/>
                    <w:wordWrap/>
                    <w:overflowPunct/>
                    <w:topLinePunct w:val="0"/>
                    <w:autoSpaceDE/>
                    <w:autoSpaceDN/>
                    <w:bidi w:val="0"/>
                    <w:spacing w:line="240" w:lineRule="auto"/>
                    <w:jc w:val="center"/>
                    <w:rPr>
                      <w:rFonts w:hint="eastAsia" w:ascii="Times New Roman" w:hAnsi="Times New Roman" w:eastAsia="宋体" w:cs="Times New Roman"/>
                      <w:color w:val="auto"/>
                      <w:kern w:val="2"/>
                      <w:sz w:val="21"/>
                      <w:szCs w:val="21"/>
                      <w:lang w:val="en-US" w:eastAsia="zh-CN" w:bidi="ar-SA"/>
                    </w:rPr>
                  </w:pPr>
                </w:p>
              </w:tc>
              <w:tc>
                <w:tcPr>
                  <w:tcW w:w="1334" w:type="pct"/>
                  <w:shd w:val="clear" w:color="auto" w:fill="auto"/>
                  <w:vAlign w:val="center"/>
                </w:tcPr>
                <w:p w14:paraId="1868EBBF">
                  <w:pPr>
                    <w:pStyle w:val="51"/>
                    <w:keepNext w:val="0"/>
                    <w:keepLines w:val="0"/>
                    <w:pageBreakBefore w:val="0"/>
                    <w:widowControl w:val="0"/>
                    <w:tabs>
                      <w:tab w:val="left" w:pos="540"/>
                      <w:tab w:val="left" w:pos="1080"/>
                      <w:tab w:val="left" w:pos="1800"/>
                    </w:tabs>
                    <w:kinsoku/>
                    <w:wordWrap/>
                    <w:overflowPunct/>
                    <w:topLinePunct w:val="0"/>
                    <w:autoSpaceDE/>
                    <w:autoSpaceDN/>
                    <w:bidi w:val="0"/>
                    <w:adjustRightInd w:val="0"/>
                    <w:snapToGrid w:val="0"/>
                    <w:spacing w:line="240" w:lineRule="auto"/>
                    <w:ind w:left="-63" w:leftChars="-30" w:right="-63" w:rightChars="-30" w:firstLine="0" w:firstLineChars="0"/>
                    <w:jc w:val="center"/>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color w:val="auto"/>
                      <w:sz w:val="21"/>
                      <w:lang w:val="en-US" w:eastAsia="zh-CN" w:bidi="ar-SA"/>
                    </w:rPr>
                    <w:t>三氯异氰尿酸消毒片</w:t>
                  </w:r>
                </w:p>
              </w:tc>
              <w:tc>
                <w:tcPr>
                  <w:tcW w:w="513" w:type="pct"/>
                  <w:shd w:val="clear" w:color="auto" w:fill="auto"/>
                  <w:vAlign w:val="center"/>
                </w:tcPr>
                <w:p w14:paraId="797626FE">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10</w:t>
                  </w:r>
                </w:p>
              </w:tc>
              <w:tc>
                <w:tcPr>
                  <w:tcW w:w="916" w:type="pct"/>
                  <w:shd w:val="clear" w:color="auto" w:fill="auto"/>
                  <w:vAlign w:val="center"/>
                </w:tcPr>
                <w:p w14:paraId="600324E0">
                  <w:pPr>
                    <w:pStyle w:val="54"/>
                    <w:bidi w:val="0"/>
                    <w:ind w:firstLine="0" w:firstLineChars="0"/>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瓶，</w:t>
                  </w:r>
                  <w:r>
                    <w:rPr>
                      <w:rFonts w:hint="eastAsia" w:ascii="Times New Roman" w:hAnsi="Times New Roman" w:eastAsia="宋体" w:cs="Times New Roman"/>
                      <w:color w:val="auto"/>
                      <w:kern w:val="2"/>
                      <w:sz w:val="21"/>
                      <w:szCs w:val="21"/>
                      <w:lang w:val="en-US" w:eastAsia="zh-CN" w:bidi="ar-SA"/>
                    </w:rPr>
                    <w:t>100片/瓶</w:t>
                  </w:r>
                </w:p>
              </w:tc>
              <w:tc>
                <w:tcPr>
                  <w:tcW w:w="520" w:type="pct"/>
                  <w:shd w:val="clear" w:color="auto" w:fill="auto"/>
                  <w:vAlign w:val="center"/>
                </w:tcPr>
                <w:p w14:paraId="19E53047">
                  <w:pPr>
                    <w:keepNext w:val="0"/>
                    <w:keepLines w:val="0"/>
                    <w:pageBreakBefore w:val="0"/>
                    <w:kinsoku/>
                    <w:wordWrap/>
                    <w:overflowPunct/>
                    <w:topLinePunct w:val="0"/>
                    <w:autoSpaceDE/>
                    <w:autoSpaceDN/>
                    <w:bidi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lang w:val="en-US" w:eastAsia="zh-CN" w:bidi="ar-SA"/>
                    </w:rPr>
                    <w:t>4</w:t>
                  </w:r>
                </w:p>
              </w:tc>
              <w:tc>
                <w:tcPr>
                  <w:tcW w:w="413" w:type="pct"/>
                  <w:vMerge w:val="continue"/>
                  <w:vAlign w:val="center"/>
                </w:tcPr>
                <w:p w14:paraId="7915D1B0">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p>
              </w:tc>
              <w:tc>
                <w:tcPr>
                  <w:tcW w:w="590" w:type="pct"/>
                  <w:shd w:val="clear" w:color="auto" w:fill="auto"/>
                  <w:vAlign w:val="center"/>
                </w:tcPr>
                <w:p w14:paraId="3E78754D">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color w:val="auto"/>
                      <w:kern w:val="2"/>
                      <w:sz w:val="21"/>
                      <w:szCs w:val="21"/>
                      <w:vertAlign w:val="baseline"/>
                      <w:lang w:val="en-US" w:eastAsia="zh-CN" w:bidi="ar-SA"/>
                    </w:rPr>
                  </w:pPr>
                  <w:r>
                    <w:rPr>
                      <w:rFonts w:hint="eastAsia" w:cs="Times New Roman"/>
                      <w:b w:val="0"/>
                      <w:bCs/>
                      <w:color w:val="auto"/>
                      <w:sz w:val="21"/>
                      <w:szCs w:val="21"/>
                      <w:vertAlign w:val="baseline"/>
                      <w:lang w:val="en-US" w:eastAsia="zh-CN"/>
                    </w:rPr>
                    <w:t>外购</w:t>
                  </w:r>
                </w:p>
              </w:tc>
            </w:tr>
            <w:tr w14:paraId="541B4E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10" w:type="pct"/>
                  <w:gridSpan w:val="2"/>
                  <w:vMerge w:val="continue"/>
                  <w:shd w:val="clear" w:color="auto" w:fill="auto"/>
                  <w:vAlign w:val="center"/>
                </w:tcPr>
                <w:p w14:paraId="21844658">
                  <w:pPr>
                    <w:keepNext w:val="0"/>
                    <w:keepLines w:val="0"/>
                    <w:pageBreakBefore w:val="0"/>
                    <w:kinsoku/>
                    <w:wordWrap/>
                    <w:overflowPunct/>
                    <w:topLinePunct w:val="0"/>
                    <w:autoSpaceDE/>
                    <w:autoSpaceDN/>
                    <w:bidi w:val="0"/>
                    <w:spacing w:line="240" w:lineRule="auto"/>
                    <w:jc w:val="center"/>
                    <w:rPr>
                      <w:rFonts w:hint="eastAsia" w:ascii="Times New Roman" w:hAnsi="Times New Roman" w:eastAsia="宋体" w:cs="Times New Roman"/>
                      <w:color w:val="auto"/>
                      <w:kern w:val="2"/>
                      <w:sz w:val="21"/>
                      <w:szCs w:val="21"/>
                      <w:lang w:val="en-US" w:eastAsia="zh-CN" w:bidi="ar-SA"/>
                    </w:rPr>
                  </w:pPr>
                </w:p>
              </w:tc>
              <w:tc>
                <w:tcPr>
                  <w:tcW w:w="1334" w:type="pct"/>
                  <w:shd w:val="clear" w:color="auto" w:fill="auto"/>
                  <w:vAlign w:val="center"/>
                </w:tcPr>
                <w:p w14:paraId="46D4CC46">
                  <w:pPr>
                    <w:pStyle w:val="51"/>
                    <w:keepNext w:val="0"/>
                    <w:keepLines w:val="0"/>
                    <w:pageBreakBefore w:val="0"/>
                    <w:widowControl w:val="0"/>
                    <w:tabs>
                      <w:tab w:val="left" w:pos="540"/>
                      <w:tab w:val="left" w:pos="1080"/>
                      <w:tab w:val="left" w:pos="1800"/>
                    </w:tabs>
                    <w:kinsoku/>
                    <w:wordWrap/>
                    <w:overflowPunct/>
                    <w:topLinePunct w:val="0"/>
                    <w:autoSpaceDE/>
                    <w:autoSpaceDN/>
                    <w:bidi w:val="0"/>
                    <w:adjustRightInd w:val="0"/>
                    <w:snapToGrid w:val="0"/>
                    <w:spacing w:line="240" w:lineRule="auto"/>
                    <w:ind w:left="-63" w:leftChars="-30" w:right="-63" w:rightChars="-30" w:firstLine="0" w:firstLineChars="0"/>
                    <w:jc w:val="center"/>
                    <w:rPr>
                      <w:rFonts w:hint="default" w:ascii="Times New Roman" w:hAnsi="Times New Roman" w:eastAsia="宋体" w:cs="Times New Roman"/>
                      <w:b w:val="0"/>
                      <w:color w:val="auto"/>
                      <w:sz w:val="21"/>
                      <w:lang w:val="en-US" w:eastAsia="zh-CN" w:bidi="ar-SA"/>
                    </w:rPr>
                  </w:pPr>
                  <w:r>
                    <w:rPr>
                      <w:rFonts w:hint="eastAsia" w:ascii="Times New Roman" w:hAnsi="Times New Roman" w:cs="Times New Roman"/>
                      <w:b w:val="0"/>
                      <w:color w:val="auto"/>
                      <w:sz w:val="21"/>
                      <w:lang w:val="en-US" w:eastAsia="zh-CN" w:bidi="ar-SA"/>
                    </w:rPr>
                    <w:t>二氧化氯消毒片</w:t>
                  </w:r>
                </w:p>
              </w:tc>
              <w:tc>
                <w:tcPr>
                  <w:tcW w:w="513" w:type="pct"/>
                  <w:shd w:val="clear" w:color="auto" w:fill="auto"/>
                  <w:vAlign w:val="center"/>
                </w:tcPr>
                <w:p w14:paraId="5F1DFA0E">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sz w:val="21"/>
                      <w:lang w:val="en-US" w:eastAsia="zh-CN" w:bidi="ar-SA"/>
                    </w:rPr>
                  </w:pPr>
                  <w:r>
                    <w:rPr>
                      <w:rFonts w:hint="eastAsia" w:ascii="Times New Roman" w:hAnsi="Times New Roman" w:cs="Times New Roman"/>
                      <w:color w:val="auto"/>
                      <w:sz w:val="21"/>
                      <w:lang w:val="en-US" w:eastAsia="zh-CN" w:bidi="ar-SA"/>
                    </w:rPr>
                    <w:t>10</w:t>
                  </w:r>
                </w:p>
              </w:tc>
              <w:tc>
                <w:tcPr>
                  <w:tcW w:w="916" w:type="pct"/>
                  <w:shd w:val="clear" w:color="auto" w:fill="auto"/>
                  <w:vAlign w:val="center"/>
                </w:tcPr>
                <w:p w14:paraId="0A66CE62">
                  <w:pPr>
                    <w:pStyle w:val="54"/>
                    <w:bidi w:val="0"/>
                    <w:ind w:firstLine="0" w:firstLineChars="0"/>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瓶，</w:t>
                  </w:r>
                  <w:r>
                    <w:rPr>
                      <w:rFonts w:hint="eastAsia" w:ascii="Times New Roman" w:hAnsi="Times New Roman" w:eastAsia="宋体" w:cs="Times New Roman"/>
                      <w:color w:val="auto"/>
                      <w:kern w:val="2"/>
                      <w:sz w:val="21"/>
                      <w:szCs w:val="21"/>
                      <w:lang w:val="en-US" w:eastAsia="zh-CN" w:bidi="ar-SA"/>
                    </w:rPr>
                    <w:t>10片/瓶</w:t>
                  </w:r>
                </w:p>
              </w:tc>
              <w:tc>
                <w:tcPr>
                  <w:tcW w:w="520" w:type="pct"/>
                  <w:shd w:val="clear" w:color="auto" w:fill="auto"/>
                  <w:vAlign w:val="center"/>
                </w:tcPr>
                <w:p w14:paraId="62E5A67E">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sz w:val="21"/>
                      <w:lang w:val="en-US" w:eastAsia="zh-CN" w:bidi="ar-SA"/>
                    </w:rPr>
                  </w:pPr>
                  <w:r>
                    <w:rPr>
                      <w:rFonts w:hint="eastAsia" w:cs="Times New Roman"/>
                      <w:color w:val="auto"/>
                      <w:sz w:val="21"/>
                      <w:lang w:val="en-US" w:eastAsia="zh-CN" w:bidi="ar-SA"/>
                    </w:rPr>
                    <w:t>10</w:t>
                  </w:r>
                </w:p>
              </w:tc>
              <w:tc>
                <w:tcPr>
                  <w:tcW w:w="413" w:type="pct"/>
                  <w:vMerge w:val="continue"/>
                  <w:vAlign w:val="center"/>
                </w:tcPr>
                <w:p w14:paraId="7EAD816F">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p>
              </w:tc>
              <w:tc>
                <w:tcPr>
                  <w:tcW w:w="590" w:type="pct"/>
                  <w:shd w:val="clear" w:color="auto" w:fill="auto"/>
                  <w:vAlign w:val="center"/>
                </w:tcPr>
                <w:p w14:paraId="79FA0C42">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外购</w:t>
                  </w:r>
                </w:p>
              </w:tc>
            </w:tr>
            <w:tr w14:paraId="4FD483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10" w:type="pct"/>
                  <w:gridSpan w:val="2"/>
                  <w:vMerge w:val="restart"/>
                  <w:vAlign w:val="center"/>
                </w:tcPr>
                <w:p w14:paraId="475C0DA5">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寄养、住院动物</w:t>
                  </w:r>
                </w:p>
              </w:tc>
              <w:tc>
                <w:tcPr>
                  <w:tcW w:w="1334" w:type="pct"/>
                  <w:shd w:val="clear" w:color="auto" w:fill="auto"/>
                  <w:vAlign w:val="center"/>
                </w:tcPr>
                <w:p w14:paraId="3B4EFB6F">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olor w:val="auto"/>
                      <w:kern w:val="0"/>
                      <w:sz w:val="21"/>
                      <w:szCs w:val="21"/>
                      <w:lang w:val="en-US" w:eastAsia="zh-CN"/>
                    </w:rPr>
                    <w:t>猫砂</w:t>
                  </w:r>
                </w:p>
              </w:tc>
              <w:tc>
                <w:tcPr>
                  <w:tcW w:w="513" w:type="pct"/>
                  <w:shd w:val="clear" w:color="auto" w:fill="auto"/>
                  <w:vAlign w:val="center"/>
                </w:tcPr>
                <w:p w14:paraId="61B36581">
                  <w:pPr>
                    <w:keepNext w:val="0"/>
                    <w:keepLines w:val="0"/>
                    <w:pageBreakBefore w:val="0"/>
                    <w:kinsoku/>
                    <w:wordWrap/>
                    <w:overflowPunct/>
                    <w:topLinePunct w:val="0"/>
                    <w:autoSpaceDE/>
                    <w:autoSpaceDN/>
                    <w:bidi w:val="0"/>
                    <w:spacing w:line="240" w:lineRule="auto"/>
                    <w:ind w:firstLine="210" w:firstLineChars="100"/>
                    <w:jc w:val="both"/>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30</w:t>
                  </w:r>
                </w:p>
              </w:tc>
              <w:tc>
                <w:tcPr>
                  <w:tcW w:w="916" w:type="pct"/>
                  <w:shd w:val="clear" w:color="auto" w:fill="auto"/>
                  <w:vAlign w:val="center"/>
                </w:tcPr>
                <w:p w14:paraId="3E1C5C7B">
                  <w:pPr>
                    <w:keepNext w:val="0"/>
                    <w:keepLines w:val="0"/>
                    <w:pageBreakBefore w:val="0"/>
                    <w:kinsoku/>
                    <w:wordWrap/>
                    <w:overflowPunct/>
                    <w:topLinePunct w:val="0"/>
                    <w:autoSpaceDE/>
                    <w:autoSpaceDN/>
                    <w:bidi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olor w:val="auto"/>
                      <w:sz w:val="21"/>
                      <w:szCs w:val="21"/>
                      <w:lang w:val="en-US" w:eastAsia="zh-CN"/>
                    </w:rPr>
                    <w:t>kg</w:t>
                  </w:r>
                </w:p>
              </w:tc>
              <w:tc>
                <w:tcPr>
                  <w:tcW w:w="520" w:type="pct"/>
                  <w:shd w:val="clear" w:color="auto" w:fill="auto"/>
                  <w:vAlign w:val="center"/>
                </w:tcPr>
                <w:p w14:paraId="47F0E7E5">
                  <w:pPr>
                    <w:keepNext w:val="0"/>
                    <w:keepLines w:val="0"/>
                    <w:pageBreakBefore w:val="0"/>
                    <w:kinsoku/>
                    <w:wordWrap/>
                    <w:overflowPunct/>
                    <w:topLinePunct w:val="0"/>
                    <w:autoSpaceDE/>
                    <w:autoSpaceDN/>
                    <w:bidi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lang w:val="en-US" w:eastAsia="zh-CN" w:bidi="ar-SA"/>
                    </w:rPr>
                    <w:t>100</w:t>
                  </w:r>
                </w:p>
              </w:tc>
              <w:tc>
                <w:tcPr>
                  <w:tcW w:w="413" w:type="pct"/>
                  <w:vMerge w:val="restart"/>
                  <w:vAlign w:val="center"/>
                </w:tcPr>
                <w:p w14:paraId="197E829C">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大厅</w:t>
                  </w:r>
                </w:p>
              </w:tc>
              <w:tc>
                <w:tcPr>
                  <w:tcW w:w="590" w:type="pct"/>
                  <w:vAlign w:val="center"/>
                </w:tcPr>
                <w:p w14:paraId="2295B953">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外购</w:t>
                  </w:r>
                </w:p>
              </w:tc>
            </w:tr>
            <w:tr w14:paraId="2FF750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10" w:type="pct"/>
                  <w:gridSpan w:val="2"/>
                  <w:vMerge w:val="continue"/>
                  <w:vAlign w:val="center"/>
                </w:tcPr>
                <w:p w14:paraId="02C8AB1C">
                  <w:pPr>
                    <w:keepNext w:val="0"/>
                    <w:keepLines w:val="0"/>
                    <w:pageBreakBefore w:val="0"/>
                    <w:kinsoku/>
                    <w:wordWrap/>
                    <w:overflowPunct/>
                    <w:topLinePunct w:val="0"/>
                    <w:autoSpaceDE/>
                    <w:autoSpaceDN/>
                    <w:bidi w:val="0"/>
                    <w:spacing w:line="240" w:lineRule="auto"/>
                    <w:jc w:val="center"/>
                    <w:rPr>
                      <w:rFonts w:hint="eastAsia" w:ascii="Times New Roman" w:hAnsi="Times New Roman" w:eastAsia="宋体" w:cs="Times New Roman"/>
                      <w:color w:val="auto"/>
                      <w:kern w:val="2"/>
                      <w:sz w:val="21"/>
                      <w:szCs w:val="21"/>
                      <w:lang w:val="en-US" w:eastAsia="zh-CN" w:bidi="ar-SA"/>
                    </w:rPr>
                  </w:pPr>
                </w:p>
              </w:tc>
              <w:tc>
                <w:tcPr>
                  <w:tcW w:w="1334" w:type="pct"/>
                  <w:shd w:val="clear" w:color="auto" w:fill="auto"/>
                  <w:vAlign w:val="center"/>
                </w:tcPr>
                <w:p w14:paraId="0B6A0A35">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olor w:val="auto"/>
                      <w:kern w:val="0"/>
                      <w:sz w:val="21"/>
                      <w:szCs w:val="21"/>
                      <w:lang w:eastAsia="zh-CN"/>
                    </w:rPr>
                    <w:t>尿垫</w:t>
                  </w:r>
                </w:p>
              </w:tc>
              <w:tc>
                <w:tcPr>
                  <w:tcW w:w="513" w:type="pct"/>
                  <w:shd w:val="clear" w:color="auto" w:fill="auto"/>
                  <w:vAlign w:val="center"/>
                </w:tcPr>
                <w:p w14:paraId="32D77DA7">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400</w:t>
                  </w:r>
                </w:p>
              </w:tc>
              <w:tc>
                <w:tcPr>
                  <w:tcW w:w="916" w:type="pct"/>
                  <w:shd w:val="clear" w:color="auto" w:fill="auto"/>
                  <w:vAlign w:val="center"/>
                </w:tcPr>
                <w:p w14:paraId="0ACF13C0">
                  <w:pPr>
                    <w:keepNext w:val="0"/>
                    <w:keepLines w:val="0"/>
                    <w:pageBreakBefore w:val="0"/>
                    <w:kinsoku/>
                    <w:wordWrap/>
                    <w:overflowPunct/>
                    <w:topLinePunct w:val="0"/>
                    <w:autoSpaceDE/>
                    <w:autoSpaceDN/>
                    <w:bidi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olor w:val="auto"/>
                      <w:sz w:val="21"/>
                      <w:szCs w:val="21"/>
                      <w:lang w:eastAsia="zh-CN"/>
                    </w:rPr>
                    <w:t>张</w:t>
                  </w:r>
                </w:p>
              </w:tc>
              <w:tc>
                <w:tcPr>
                  <w:tcW w:w="520" w:type="pct"/>
                  <w:shd w:val="clear" w:color="auto" w:fill="auto"/>
                  <w:vAlign w:val="center"/>
                </w:tcPr>
                <w:p w14:paraId="1341EF39">
                  <w:pPr>
                    <w:keepNext w:val="0"/>
                    <w:keepLines w:val="0"/>
                    <w:pageBreakBefore w:val="0"/>
                    <w:kinsoku/>
                    <w:wordWrap/>
                    <w:overflowPunct/>
                    <w:topLinePunct w:val="0"/>
                    <w:autoSpaceDE/>
                    <w:autoSpaceDN/>
                    <w:bidi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lang w:val="en-US" w:eastAsia="zh-CN" w:bidi="ar-SA"/>
                    </w:rPr>
                    <w:t>200</w:t>
                  </w:r>
                </w:p>
              </w:tc>
              <w:tc>
                <w:tcPr>
                  <w:tcW w:w="413" w:type="pct"/>
                  <w:vMerge w:val="continue"/>
                  <w:vAlign w:val="center"/>
                </w:tcPr>
                <w:p w14:paraId="1E2E6DA2">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p>
              </w:tc>
              <w:tc>
                <w:tcPr>
                  <w:tcW w:w="590" w:type="pct"/>
                  <w:vAlign w:val="center"/>
                </w:tcPr>
                <w:p w14:paraId="2CB0E716">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外购</w:t>
                  </w:r>
                </w:p>
              </w:tc>
            </w:tr>
            <w:tr w14:paraId="44D5BF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10" w:type="pct"/>
                  <w:gridSpan w:val="2"/>
                  <w:vMerge w:val="continue"/>
                  <w:vAlign w:val="center"/>
                </w:tcPr>
                <w:p w14:paraId="58B2998F">
                  <w:pPr>
                    <w:keepNext w:val="0"/>
                    <w:keepLines w:val="0"/>
                    <w:pageBreakBefore w:val="0"/>
                    <w:kinsoku/>
                    <w:wordWrap/>
                    <w:overflowPunct/>
                    <w:topLinePunct w:val="0"/>
                    <w:autoSpaceDE/>
                    <w:autoSpaceDN/>
                    <w:bidi w:val="0"/>
                    <w:spacing w:line="240" w:lineRule="auto"/>
                    <w:jc w:val="center"/>
                    <w:rPr>
                      <w:rFonts w:hint="eastAsia" w:ascii="Times New Roman" w:hAnsi="Times New Roman" w:eastAsia="宋体" w:cs="Times New Roman"/>
                      <w:color w:val="auto"/>
                      <w:kern w:val="2"/>
                      <w:sz w:val="21"/>
                      <w:szCs w:val="21"/>
                      <w:lang w:val="en-US" w:eastAsia="zh-CN" w:bidi="ar-SA"/>
                    </w:rPr>
                  </w:pPr>
                </w:p>
              </w:tc>
              <w:tc>
                <w:tcPr>
                  <w:tcW w:w="1334" w:type="pct"/>
                  <w:shd w:val="clear" w:color="auto" w:fill="auto"/>
                  <w:vAlign w:val="center"/>
                </w:tcPr>
                <w:p w14:paraId="07B086F6">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olor w:val="auto"/>
                      <w:kern w:val="0"/>
                      <w:sz w:val="21"/>
                      <w:szCs w:val="21"/>
                      <w:lang w:eastAsia="zh-CN"/>
                    </w:rPr>
                    <w:t>宠物饲料</w:t>
                  </w:r>
                </w:p>
              </w:tc>
              <w:tc>
                <w:tcPr>
                  <w:tcW w:w="513" w:type="pct"/>
                  <w:shd w:val="clear" w:color="auto" w:fill="auto"/>
                  <w:vAlign w:val="center"/>
                </w:tcPr>
                <w:p w14:paraId="0D80E558">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2000</w:t>
                  </w:r>
                </w:p>
              </w:tc>
              <w:tc>
                <w:tcPr>
                  <w:tcW w:w="916" w:type="pct"/>
                  <w:shd w:val="clear" w:color="auto" w:fill="auto"/>
                  <w:vAlign w:val="center"/>
                </w:tcPr>
                <w:p w14:paraId="62915276">
                  <w:pPr>
                    <w:keepNext w:val="0"/>
                    <w:keepLines w:val="0"/>
                    <w:pageBreakBefore w:val="0"/>
                    <w:kinsoku/>
                    <w:wordWrap/>
                    <w:overflowPunct/>
                    <w:topLinePunct w:val="0"/>
                    <w:autoSpaceDE/>
                    <w:autoSpaceDN/>
                    <w:bidi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olor w:val="auto"/>
                      <w:sz w:val="21"/>
                      <w:szCs w:val="21"/>
                      <w:lang w:val="en-US" w:eastAsia="zh-CN"/>
                    </w:rPr>
                    <w:t>kg</w:t>
                  </w:r>
                </w:p>
              </w:tc>
              <w:tc>
                <w:tcPr>
                  <w:tcW w:w="520" w:type="pct"/>
                  <w:shd w:val="clear" w:color="auto" w:fill="auto"/>
                  <w:vAlign w:val="center"/>
                </w:tcPr>
                <w:p w14:paraId="114F4719">
                  <w:pPr>
                    <w:keepNext w:val="0"/>
                    <w:keepLines w:val="0"/>
                    <w:pageBreakBefore w:val="0"/>
                    <w:kinsoku/>
                    <w:wordWrap/>
                    <w:overflowPunct/>
                    <w:topLinePunct w:val="0"/>
                    <w:autoSpaceDE/>
                    <w:autoSpaceDN/>
                    <w:bidi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lang w:val="en-US" w:eastAsia="zh-CN" w:bidi="ar-SA"/>
                    </w:rPr>
                    <w:t>100</w:t>
                  </w:r>
                </w:p>
              </w:tc>
              <w:tc>
                <w:tcPr>
                  <w:tcW w:w="413" w:type="pct"/>
                  <w:vMerge w:val="continue"/>
                  <w:vAlign w:val="center"/>
                </w:tcPr>
                <w:p w14:paraId="2BA348E0">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p>
              </w:tc>
              <w:tc>
                <w:tcPr>
                  <w:tcW w:w="590" w:type="pct"/>
                  <w:vAlign w:val="center"/>
                </w:tcPr>
                <w:p w14:paraId="7096EED3">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外购</w:t>
                  </w:r>
                </w:p>
              </w:tc>
            </w:tr>
            <w:tr w14:paraId="47F4BB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10" w:type="pct"/>
                  <w:gridSpan w:val="2"/>
                  <w:vAlign w:val="center"/>
                </w:tcPr>
                <w:p w14:paraId="299DB1A9">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1334" w:type="pct"/>
                  <w:shd w:val="clear" w:color="auto" w:fill="auto"/>
                  <w:vAlign w:val="center"/>
                </w:tcPr>
                <w:p w14:paraId="7E70D731">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default" w:ascii="Times New Roman" w:hAnsi="Times New Roman" w:eastAsia="宋体"/>
                      <w:color w:val="auto"/>
                      <w:kern w:val="0"/>
                      <w:sz w:val="21"/>
                      <w:szCs w:val="21"/>
                      <w:lang w:val="en-US" w:eastAsia="zh-CN"/>
                    </w:rPr>
                  </w:pPr>
                  <w:r>
                    <w:rPr>
                      <w:rFonts w:hint="eastAsia" w:ascii="Times New Roman" w:hAnsi="Times New Roman" w:eastAsia="宋体"/>
                      <w:color w:val="auto"/>
                      <w:kern w:val="0"/>
                      <w:sz w:val="21"/>
                      <w:szCs w:val="21"/>
                      <w:lang w:val="en-US" w:eastAsia="zh-CN"/>
                    </w:rPr>
                    <w:t>氧气瓶</w:t>
                  </w:r>
                </w:p>
              </w:tc>
              <w:tc>
                <w:tcPr>
                  <w:tcW w:w="513" w:type="pct"/>
                  <w:shd w:val="clear" w:color="auto" w:fill="auto"/>
                  <w:vAlign w:val="center"/>
                </w:tcPr>
                <w:p w14:paraId="7D1F4CEF">
                  <w:pPr>
                    <w:keepNext w:val="0"/>
                    <w:keepLines w:val="0"/>
                    <w:pageBreakBefore w:val="0"/>
                    <w:kinsoku/>
                    <w:wordWrap/>
                    <w:overflowPunct/>
                    <w:topLinePunct w:val="0"/>
                    <w:autoSpaceDE/>
                    <w:autoSpaceDN/>
                    <w:bidi w:val="0"/>
                    <w:spacing w:line="240" w:lineRule="auto"/>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4</w:t>
                  </w:r>
                </w:p>
              </w:tc>
              <w:tc>
                <w:tcPr>
                  <w:tcW w:w="916" w:type="pct"/>
                  <w:shd w:val="clear" w:color="auto" w:fill="auto"/>
                  <w:vAlign w:val="center"/>
                </w:tcPr>
                <w:p w14:paraId="01FF7EF6">
                  <w:pPr>
                    <w:keepNext w:val="0"/>
                    <w:keepLines w:val="0"/>
                    <w:pageBreakBefore w:val="0"/>
                    <w:kinsoku/>
                    <w:wordWrap/>
                    <w:overflowPunct/>
                    <w:topLinePunct w:val="0"/>
                    <w:autoSpaceDE/>
                    <w:autoSpaceDN/>
                    <w:bidi w:val="0"/>
                    <w:spacing w:line="240" w:lineRule="auto"/>
                    <w:jc w:val="center"/>
                    <w:rPr>
                      <w:rFonts w:hint="default" w:ascii="Times New Roman" w:hAnsi="Times New Roman"/>
                      <w:color w:val="auto"/>
                      <w:sz w:val="21"/>
                      <w:szCs w:val="21"/>
                      <w:lang w:val="en-US" w:eastAsia="zh-CN"/>
                    </w:rPr>
                  </w:pPr>
                  <w:r>
                    <w:rPr>
                      <w:rFonts w:hint="eastAsia"/>
                      <w:color w:val="auto"/>
                      <w:sz w:val="21"/>
                      <w:szCs w:val="21"/>
                      <w:lang w:val="en-US" w:eastAsia="zh-CN"/>
                    </w:rPr>
                    <w:t>40L/</w:t>
                  </w:r>
                  <w:r>
                    <w:rPr>
                      <w:rFonts w:hint="eastAsia" w:ascii="Times New Roman" w:hAnsi="Times New Roman"/>
                      <w:color w:val="auto"/>
                      <w:sz w:val="21"/>
                      <w:szCs w:val="21"/>
                      <w:lang w:val="en-US" w:eastAsia="zh-CN"/>
                    </w:rPr>
                    <w:t>罐</w:t>
                  </w:r>
                </w:p>
              </w:tc>
              <w:tc>
                <w:tcPr>
                  <w:tcW w:w="520" w:type="pct"/>
                  <w:shd w:val="clear" w:color="auto" w:fill="auto"/>
                  <w:vAlign w:val="center"/>
                </w:tcPr>
                <w:p w14:paraId="7E28D5B1">
                  <w:pPr>
                    <w:keepNext w:val="0"/>
                    <w:keepLines w:val="0"/>
                    <w:pageBreakBefore w:val="0"/>
                    <w:kinsoku/>
                    <w:wordWrap/>
                    <w:overflowPunct/>
                    <w:topLinePunct w:val="0"/>
                    <w:autoSpaceDE/>
                    <w:autoSpaceDN/>
                    <w:bidi w:val="0"/>
                    <w:spacing w:line="240" w:lineRule="auto"/>
                    <w:jc w:val="center"/>
                    <w:rPr>
                      <w:rFonts w:hint="default" w:ascii="Times New Roman" w:hAnsi="Times New Roman"/>
                      <w:color w:val="auto"/>
                      <w:sz w:val="21"/>
                      <w:szCs w:val="21"/>
                      <w:lang w:val="en-US" w:eastAsia="zh-CN"/>
                    </w:rPr>
                  </w:pPr>
                  <w:r>
                    <w:rPr>
                      <w:rFonts w:hint="default" w:ascii="Times New Roman" w:hAnsi="Times New Roman"/>
                      <w:color w:val="auto"/>
                      <w:sz w:val="21"/>
                      <w:lang w:val="en-US" w:eastAsia="zh-CN"/>
                    </w:rPr>
                    <w:t>2</w:t>
                  </w:r>
                </w:p>
              </w:tc>
              <w:tc>
                <w:tcPr>
                  <w:tcW w:w="413" w:type="pct"/>
                  <w:vAlign w:val="center"/>
                </w:tcPr>
                <w:p w14:paraId="2E9BF7A0">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手术室</w:t>
                  </w:r>
                </w:p>
              </w:tc>
              <w:tc>
                <w:tcPr>
                  <w:tcW w:w="590" w:type="pct"/>
                  <w:vAlign w:val="center"/>
                </w:tcPr>
                <w:p w14:paraId="060E95FA">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1用1备</w:t>
                  </w:r>
                </w:p>
              </w:tc>
            </w:tr>
          </w:tbl>
          <w:p w14:paraId="145B2C1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val="0"/>
                <w:color w:val="000000" w:themeColor="text1"/>
                <w:sz w:val="24"/>
                <w:szCs w:val="24"/>
                <w:highlight w:val="none"/>
                <w:vertAlign w:val="baseline"/>
                <w:lang w:val="en-US" w:eastAsia="zh-CN"/>
                <w14:textFill>
                  <w14:solidFill>
                    <w14:schemeClr w14:val="tx1"/>
                  </w14:solidFill>
                </w14:textFill>
              </w:rPr>
            </w:pPr>
          </w:p>
          <w:p w14:paraId="1448AE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z w:val="24"/>
                <w:szCs w:val="24"/>
                <w:highlight w:val="none"/>
                <w:vertAlign w:val="baseline"/>
                <w:lang w:val="en-US" w:eastAsia="zh-CN"/>
                <w14:textFill>
                  <w14:solidFill>
                    <w14:schemeClr w14:val="tx1"/>
                  </w14:solidFill>
                </w14:textFill>
              </w:rPr>
              <w:t>表2.5-2主要能源消耗情况表</w:t>
            </w:r>
          </w:p>
          <w:tbl>
            <w:tblPr>
              <w:tblStyle w:val="2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50"/>
              <w:gridCol w:w="1650"/>
              <w:gridCol w:w="1651"/>
              <w:gridCol w:w="1651"/>
              <w:gridCol w:w="1651"/>
            </w:tblGrid>
            <w:tr w14:paraId="19651C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trPr>
              <w:tc>
                <w:tcPr>
                  <w:tcW w:w="999" w:type="pct"/>
                  <w:tcBorders>
                    <w:tl2br w:val="nil"/>
                    <w:tr2bl w:val="nil"/>
                  </w:tcBorders>
                  <w:vAlign w:val="center"/>
                </w:tcPr>
                <w:p w14:paraId="49B0E15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序号</w:t>
                  </w:r>
                </w:p>
              </w:tc>
              <w:tc>
                <w:tcPr>
                  <w:tcW w:w="999" w:type="pct"/>
                  <w:tcBorders>
                    <w:tl2br w:val="nil"/>
                    <w:tr2bl w:val="nil"/>
                  </w:tcBorders>
                  <w:vAlign w:val="center"/>
                </w:tcPr>
                <w:p w14:paraId="03D5052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名称</w:t>
                  </w:r>
                </w:p>
              </w:tc>
              <w:tc>
                <w:tcPr>
                  <w:tcW w:w="1000" w:type="pct"/>
                  <w:tcBorders>
                    <w:tl2br w:val="nil"/>
                    <w:tr2bl w:val="nil"/>
                  </w:tcBorders>
                  <w:vAlign w:val="center"/>
                </w:tcPr>
                <w:p w14:paraId="7C840CE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单位</w:t>
                  </w:r>
                </w:p>
              </w:tc>
              <w:tc>
                <w:tcPr>
                  <w:tcW w:w="1000" w:type="pct"/>
                  <w:tcBorders>
                    <w:tl2br w:val="nil"/>
                    <w:tr2bl w:val="nil"/>
                  </w:tcBorders>
                  <w:vAlign w:val="center"/>
                </w:tcPr>
                <w:p w14:paraId="2F3A99E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年消耗量</w:t>
                  </w:r>
                </w:p>
              </w:tc>
              <w:tc>
                <w:tcPr>
                  <w:tcW w:w="1000" w:type="pct"/>
                  <w:tcBorders>
                    <w:tl2br w:val="nil"/>
                    <w:tr2bl w:val="nil"/>
                  </w:tcBorders>
                  <w:vAlign w:val="center"/>
                </w:tcPr>
                <w:p w14:paraId="3795151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备注</w:t>
                  </w:r>
                </w:p>
              </w:tc>
            </w:tr>
            <w:tr w14:paraId="6CC159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99" w:type="pct"/>
                  <w:tcBorders>
                    <w:tl2br w:val="nil"/>
                    <w:tr2bl w:val="nil"/>
                  </w:tcBorders>
                  <w:vAlign w:val="center"/>
                </w:tcPr>
                <w:p w14:paraId="5D972F5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1</w:t>
                  </w:r>
                </w:p>
              </w:tc>
              <w:tc>
                <w:tcPr>
                  <w:tcW w:w="999" w:type="pct"/>
                  <w:tcBorders>
                    <w:tl2br w:val="nil"/>
                    <w:tr2bl w:val="nil"/>
                  </w:tcBorders>
                  <w:vAlign w:val="center"/>
                </w:tcPr>
                <w:p w14:paraId="3E5EAC3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水</w:t>
                  </w:r>
                </w:p>
              </w:tc>
              <w:tc>
                <w:tcPr>
                  <w:tcW w:w="1000" w:type="pct"/>
                  <w:tcBorders>
                    <w:tl2br w:val="nil"/>
                    <w:tr2bl w:val="nil"/>
                  </w:tcBorders>
                  <w:vAlign w:val="center"/>
                </w:tcPr>
                <w:p w14:paraId="41136D1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t</w:t>
                  </w:r>
                </w:p>
              </w:tc>
              <w:tc>
                <w:tcPr>
                  <w:tcW w:w="1000" w:type="pct"/>
                  <w:tcBorders>
                    <w:tl2br w:val="nil"/>
                    <w:tr2bl w:val="nil"/>
                  </w:tcBorders>
                  <w:vAlign w:val="center"/>
                </w:tcPr>
                <w:p w14:paraId="13A413B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547.1715</w:t>
                  </w:r>
                </w:p>
              </w:tc>
              <w:tc>
                <w:tcPr>
                  <w:tcW w:w="1000" w:type="pct"/>
                  <w:tcBorders>
                    <w:tl2br w:val="nil"/>
                    <w:tr2bl w:val="nil"/>
                  </w:tcBorders>
                  <w:vAlign w:val="center"/>
                </w:tcPr>
                <w:p w14:paraId="6C87262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市政</w:t>
                  </w:r>
                </w:p>
              </w:tc>
            </w:tr>
            <w:tr w14:paraId="724E8F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99" w:type="pct"/>
                  <w:tcBorders>
                    <w:tl2br w:val="nil"/>
                    <w:tr2bl w:val="nil"/>
                  </w:tcBorders>
                  <w:vAlign w:val="center"/>
                </w:tcPr>
                <w:p w14:paraId="200363A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2</w:t>
                  </w:r>
                </w:p>
              </w:tc>
              <w:tc>
                <w:tcPr>
                  <w:tcW w:w="999" w:type="pct"/>
                  <w:tcBorders>
                    <w:tl2br w:val="nil"/>
                    <w:tr2bl w:val="nil"/>
                  </w:tcBorders>
                  <w:vAlign w:val="center"/>
                </w:tcPr>
                <w:p w14:paraId="6F72EB2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电</w:t>
                  </w:r>
                </w:p>
              </w:tc>
              <w:tc>
                <w:tcPr>
                  <w:tcW w:w="1000" w:type="pct"/>
                  <w:tcBorders>
                    <w:tl2br w:val="nil"/>
                    <w:tr2bl w:val="nil"/>
                  </w:tcBorders>
                  <w:vAlign w:val="center"/>
                </w:tcPr>
                <w:p w14:paraId="1A7E399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万度</w:t>
                  </w:r>
                </w:p>
              </w:tc>
              <w:tc>
                <w:tcPr>
                  <w:tcW w:w="1000" w:type="pct"/>
                  <w:tcBorders>
                    <w:tl2br w:val="nil"/>
                    <w:tr2bl w:val="nil"/>
                  </w:tcBorders>
                  <w:vAlign w:val="center"/>
                </w:tcPr>
                <w:p w14:paraId="1C30D1E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color w:val="000000" w:themeColor="text1"/>
                      <w:sz w:val="21"/>
                      <w:szCs w:val="21"/>
                      <w:highlight w:val="none"/>
                      <w:vertAlign w:val="baseline"/>
                      <w:lang w:val="en-US" w:eastAsia="zh-CN"/>
                      <w14:textFill>
                        <w14:solidFill>
                          <w14:schemeClr w14:val="tx1"/>
                        </w14:solidFill>
                      </w14:textFill>
                    </w:rPr>
                    <w:t>1.5</w:t>
                  </w:r>
                </w:p>
              </w:tc>
              <w:tc>
                <w:tcPr>
                  <w:tcW w:w="1000" w:type="pct"/>
                  <w:tcBorders>
                    <w:tl2br w:val="nil"/>
                    <w:tr2bl w:val="nil"/>
                  </w:tcBorders>
                  <w:vAlign w:val="center"/>
                </w:tcPr>
                <w:p w14:paraId="53EF08D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市政</w:t>
                  </w:r>
                </w:p>
              </w:tc>
            </w:tr>
          </w:tbl>
          <w:p w14:paraId="45334C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z w:val="24"/>
                <w:szCs w:val="24"/>
                <w:highlight w:val="none"/>
                <w:vertAlign w:val="baseline"/>
                <w:lang w:val="en-US" w:eastAsia="zh-CN"/>
                <w14:textFill>
                  <w14:solidFill>
                    <w14:schemeClr w14:val="tx1"/>
                  </w14:solidFill>
                </w14:textFill>
              </w:rPr>
              <w:t>表2.5-3 原辅材料主要成分及理化性质</w:t>
            </w:r>
          </w:p>
          <w:tbl>
            <w:tblPr>
              <w:tblStyle w:val="2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64"/>
              <w:gridCol w:w="7089"/>
            </w:tblGrid>
            <w:tr w14:paraId="1AEDD4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5" w:type="pct"/>
                  <w:tcBorders>
                    <w:tl2br w:val="nil"/>
                    <w:tr2bl w:val="nil"/>
                  </w:tcBorders>
                  <w:vAlign w:val="center"/>
                </w:tcPr>
                <w:p w14:paraId="0261391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名称</w:t>
                  </w:r>
                </w:p>
              </w:tc>
              <w:tc>
                <w:tcPr>
                  <w:tcW w:w="4294" w:type="pct"/>
                  <w:tcBorders>
                    <w:tl2br w:val="nil"/>
                    <w:tr2bl w:val="nil"/>
                  </w:tcBorders>
                  <w:vAlign w:val="center"/>
                </w:tcPr>
                <w:p w14:paraId="30A61D7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理化性质</w:t>
                  </w:r>
                </w:p>
              </w:tc>
            </w:tr>
            <w:tr w14:paraId="71464B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5" w:type="pct"/>
                  <w:tcBorders>
                    <w:tl2br w:val="nil"/>
                    <w:tr2bl w:val="nil"/>
                  </w:tcBorders>
                  <w:vAlign w:val="center"/>
                </w:tcPr>
                <w:p w14:paraId="5CBAD45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75%酒精</w:t>
                  </w:r>
                </w:p>
              </w:tc>
              <w:tc>
                <w:tcPr>
                  <w:tcW w:w="4294" w:type="pct"/>
                  <w:tcBorders>
                    <w:tl2br w:val="nil"/>
                    <w:tr2bl w:val="nil"/>
                  </w:tcBorders>
                  <w:vAlign w:val="center"/>
                </w:tcPr>
                <w:p w14:paraId="38148551">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主要成分为乙醇，乙醇在常温常压下是一种易挥发的无色透明液体，低毒性，纯液体不可直接饮用。乙醇的水溶液具有酒香的气味，并略带刺激性味甘。乙醇易燃，其蒸气能与空气形成爆炸性混合物。乙醇能与水以任意比互溶，医疗上体积分数为75%的乙醇水溶液一般作为消毒剂使用。</w:t>
                  </w:r>
                </w:p>
              </w:tc>
            </w:tr>
            <w:tr w14:paraId="18F04A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5" w:type="pct"/>
                  <w:tcBorders>
                    <w:tl2br w:val="nil"/>
                    <w:tr2bl w:val="nil"/>
                  </w:tcBorders>
                  <w:vAlign w:val="center"/>
                </w:tcPr>
                <w:p w14:paraId="27B7549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碘伏</w:t>
                  </w:r>
                </w:p>
              </w:tc>
              <w:tc>
                <w:tcPr>
                  <w:tcW w:w="4294" w:type="pct"/>
                  <w:tcBorders>
                    <w:tl2br w:val="nil"/>
                    <w:tr2bl w:val="nil"/>
                  </w:tcBorders>
                  <w:vAlign w:val="center"/>
                </w:tcPr>
                <w:p w14:paraId="23A1F393">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碘伏是单质碘与聚乙烯吡咯烷酮的不定型结合物。医用碘伏通常浓度较低（1%或以下），呈现浅棕色。碘伏具有广谱杀菌作用，可杀灭细菌繁殖体真菌、原虫和部分病毒。在医疗上用作杀菌消毒剂，可用于皮肤、粘膜的消毒，可用于手术前和其它皮肤的消毒、各种注射部位皮肤消毒、器械浸泡消毒等。</w:t>
                  </w:r>
                </w:p>
              </w:tc>
            </w:tr>
            <w:tr w14:paraId="723568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5" w:type="pct"/>
                  <w:tcBorders>
                    <w:tl2br w:val="nil"/>
                    <w:tr2bl w:val="nil"/>
                  </w:tcBorders>
                  <w:vAlign w:val="center"/>
                </w:tcPr>
                <w:p w14:paraId="774D03E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新洁</w:t>
                  </w:r>
                  <w:r>
                    <w:rPr>
                      <w:rFonts w:hint="eastAsia" w:cs="Times New Roman"/>
                      <w:b w:val="0"/>
                      <w:bCs/>
                      <w:color w:val="000000" w:themeColor="text1"/>
                      <w:sz w:val="21"/>
                      <w:szCs w:val="21"/>
                      <w:highlight w:val="none"/>
                      <w:vertAlign w:val="baseline"/>
                      <w:lang w:val="en-US" w:eastAsia="zh-CN"/>
                      <w14:textFill>
                        <w14:solidFill>
                          <w14:schemeClr w14:val="tx1"/>
                        </w14:solidFill>
                      </w14:textFill>
                    </w:rPr>
                    <w:t>尔</w:t>
                  </w: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灭</w:t>
                  </w:r>
                </w:p>
              </w:tc>
              <w:tc>
                <w:tcPr>
                  <w:tcW w:w="4294" w:type="pct"/>
                  <w:tcBorders>
                    <w:tl2br w:val="nil"/>
                    <w:tr2bl w:val="nil"/>
                  </w:tcBorders>
                  <w:vAlign w:val="center"/>
                </w:tcPr>
                <w:p w14:paraId="10FD6871">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白色腊状固体或黄色胶状体。熔点46-48℃，闪点大于110℃，易溶于水或乙醇，有芳香味，味极苦。强力振摇时产生大量泡沫。新洁尔灭用途：常用的季铵盐阳离子表面活性剂，具有优异的杀菌力和去污力。</w:t>
                  </w:r>
                </w:p>
              </w:tc>
            </w:tr>
            <w:tr w14:paraId="3F5A1F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5" w:type="pct"/>
                  <w:tcBorders>
                    <w:tl2br w:val="nil"/>
                    <w:tr2bl w:val="nil"/>
                  </w:tcBorders>
                  <w:vAlign w:val="center"/>
                </w:tcPr>
                <w:p w14:paraId="62011D8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84消毒液</w:t>
                  </w:r>
                </w:p>
              </w:tc>
              <w:tc>
                <w:tcPr>
                  <w:tcW w:w="4294" w:type="pct"/>
                  <w:tcBorders>
                    <w:tl2br w:val="nil"/>
                    <w:tr2bl w:val="nil"/>
                  </w:tcBorders>
                  <w:vAlign w:val="center"/>
                </w:tcPr>
                <w:p w14:paraId="75227279">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淡黄绿色、液态、刺激性气味、能溶于水。可用于餐饮具、环境物体表面消毒。84消毒液消毒的机理主要在于次氯酸的氧化作用。84消毒液在水中形成的次氯酸不仅可与细胞壁发生作用，且因分子小不带电荷，故容易侵入细胞内与蛋白质发生氧化作用或破坏其磷酸脱氢酶，使糖代谢失调而致细胞死亡，次氯酸分解形成新生态氧可将菌体蛋白质氧化。其中所含的氯对蛋白质起氯化作用，使细胞膜通透性发生变化，促使细胞内向外渗出，杀死微生物。84 消毒液具有较强的挥发性，放置过久，尤其是稀释后的使用液，有效成分会挥发或降解，逐渐失去对微生物的杀灭作用，直至失效。</w:t>
                  </w:r>
                </w:p>
              </w:tc>
            </w:tr>
            <w:tr w14:paraId="5071A2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64" w:type="dxa"/>
                  <w:tcBorders>
                    <w:tl2br w:val="nil"/>
                    <w:tr2bl w:val="nil"/>
                  </w:tcBorders>
                  <w:vAlign w:val="center"/>
                </w:tcPr>
                <w:p w14:paraId="0468E075">
                  <w:pPr>
                    <w:pStyle w:val="51"/>
                    <w:keepNext w:val="0"/>
                    <w:keepLines w:val="0"/>
                    <w:pageBreakBefore w:val="0"/>
                    <w:widowControl w:val="0"/>
                    <w:tabs>
                      <w:tab w:val="left" w:pos="540"/>
                      <w:tab w:val="left" w:pos="1080"/>
                      <w:tab w:val="left" w:pos="1800"/>
                    </w:tabs>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eastAsia"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kern w:val="2"/>
                      <w:sz w:val="21"/>
                      <w:szCs w:val="21"/>
                      <w:lang w:val="en-US" w:eastAsia="zh-CN" w:bidi="ar-SA"/>
                    </w:rPr>
                    <w:t>二氧化氯</w:t>
                  </w:r>
                </w:p>
                <w:p w14:paraId="1BDB96E8">
                  <w:pPr>
                    <w:pStyle w:val="51"/>
                    <w:keepNext w:val="0"/>
                    <w:keepLines w:val="0"/>
                    <w:pageBreakBefore w:val="0"/>
                    <w:widowControl w:val="0"/>
                    <w:tabs>
                      <w:tab w:val="left" w:pos="540"/>
                      <w:tab w:val="left" w:pos="1080"/>
                      <w:tab w:val="left" w:pos="1800"/>
                    </w:tabs>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kern w:val="2"/>
                      <w:sz w:val="21"/>
                      <w:szCs w:val="21"/>
                      <w:lang w:val="en-US" w:eastAsia="zh-CN" w:bidi="ar-SA"/>
                    </w:rPr>
                    <w:t>消毒片</w:t>
                  </w:r>
                </w:p>
              </w:tc>
              <w:tc>
                <w:tcPr>
                  <w:tcW w:w="7089" w:type="dxa"/>
                  <w:tcBorders>
                    <w:tl2br w:val="nil"/>
                    <w:tr2bl w:val="nil"/>
                  </w:tcBorders>
                  <w:vAlign w:val="center"/>
                </w:tcPr>
                <w:p w14:paraId="19F4E445">
                  <w:pPr>
                    <w:pStyle w:val="51"/>
                    <w:keepNext w:val="0"/>
                    <w:keepLines w:val="0"/>
                    <w:pageBreakBefore w:val="0"/>
                    <w:widowControl w:val="0"/>
                    <w:tabs>
                      <w:tab w:val="left" w:pos="540"/>
                      <w:tab w:val="left" w:pos="1080"/>
                      <w:tab w:val="left" w:pos="1800"/>
                    </w:tabs>
                    <w:kinsoku/>
                    <w:wordWrap/>
                    <w:overflowPunct/>
                    <w:topLinePunct w:val="0"/>
                    <w:autoSpaceDE/>
                    <w:autoSpaceDN/>
                    <w:bidi w:val="0"/>
                    <w:adjustRightInd w:val="0"/>
                    <w:snapToGrid w:val="0"/>
                    <w:spacing w:line="240" w:lineRule="auto"/>
                    <w:ind w:left="-63" w:leftChars="-30" w:right="-63" w:rightChars="-30" w:firstLine="0" w:firstLineChars="0"/>
                    <w:jc w:val="both"/>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kern w:val="2"/>
                      <w:sz w:val="21"/>
                      <w:szCs w:val="21"/>
                      <w:highlight w:val="none"/>
                      <w:lang w:val="en-US" w:eastAsia="zh-CN" w:bidi="ar-SA"/>
                    </w:rPr>
                    <w:t>固态，主要成分为二氧化氯，又被称作为二氧化氯泡腾片，属于一种安全环保的消毒片，杀菌能力不受pH值影响，具有消毒和杀菌的作用，在日常生活中应用比较广泛，可以作用于医疗器械、医院病房、传染病房、手术室，可以直接作用于室内消毒等。本项目主要用于医疗废水消毒。</w:t>
                  </w:r>
                </w:p>
              </w:tc>
            </w:tr>
            <w:tr w14:paraId="628D1E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64" w:type="dxa"/>
                  <w:tcBorders>
                    <w:tl2br w:val="nil"/>
                    <w:tr2bl w:val="nil"/>
                  </w:tcBorders>
                  <w:vAlign w:val="center"/>
                </w:tcPr>
                <w:p w14:paraId="6CDDC9EB">
                  <w:pPr>
                    <w:pStyle w:val="51"/>
                    <w:keepNext w:val="0"/>
                    <w:keepLines w:val="0"/>
                    <w:pageBreakBefore w:val="0"/>
                    <w:widowControl w:val="0"/>
                    <w:tabs>
                      <w:tab w:val="left" w:pos="540"/>
                      <w:tab w:val="left" w:pos="1080"/>
                      <w:tab w:val="left" w:pos="1800"/>
                    </w:tabs>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eastAsia"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kern w:val="2"/>
                      <w:sz w:val="21"/>
                      <w:szCs w:val="21"/>
                      <w:lang w:val="en-US" w:eastAsia="zh-CN" w:bidi="ar-SA"/>
                    </w:rPr>
                    <w:t>三氯异氰尿酸消毒片</w:t>
                  </w:r>
                </w:p>
              </w:tc>
              <w:tc>
                <w:tcPr>
                  <w:tcW w:w="7089" w:type="dxa"/>
                  <w:tcBorders>
                    <w:tl2br w:val="nil"/>
                    <w:tr2bl w:val="nil"/>
                  </w:tcBorders>
                  <w:vAlign w:val="center"/>
                </w:tcPr>
                <w:p w14:paraId="6E6F7D1A">
                  <w:pPr>
                    <w:pStyle w:val="51"/>
                    <w:keepNext w:val="0"/>
                    <w:keepLines w:val="0"/>
                    <w:pageBreakBefore w:val="0"/>
                    <w:widowControl w:val="0"/>
                    <w:tabs>
                      <w:tab w:val="left" w:pos="540"/>
                      <w:tab w:val="left" w:pos="1080"/>
                      <w:tab w:val="left" w:pos="1800"/>
                    </w:tabs>
                    <w:kinsoku/>
                    <w:wordWrap/>
                    <w:overflowPunct/>
                    <w:topLinePunct w:val="0"/>
                    <w:autoSpaceDE/>
                    <w:autoSpaceDN/>
                    <w:bidi w:val="0"/>
                    <w:adjustRightInd w:val="0"/>
                    <w:snapToGrid w:val="0"/>
                    <w:spacing w:line="240" w:lineRule="auto"/>
                    <w:ind w:left="-63" w:leftChars="-30" w:right="-63" w:rightChars="-30" w:firstLine="0" w:firstLineChars="0"/>
                    <w:jc w:val="both"/>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default" w:ascii="Times New Roman" w:hAnsi="Times New Roman" w:eastAsia="宋体" w:cs="Times New Roman"/>
                      <w:b w:val="0"/>
                      <w:bCs w:val="0"/>
                      <w:color w:val="000000"/>
                      <w:kern w:val="2"/>
                      <w:sz w:val="21"/>
                      <w:szCs w:val="21"/>
                      <w:highlight w:val="none"/>
                      <w:lang w:val="en-US" w:eastAsia="zh-CN" w:bidi="ar-SA"/>
                    </w:rPr>
                    <w:t>有机化合物，白色结晶性粉末或粒状固体，具有强烈的氯气刺激味。三氯异氰尿酸是一种极强的氧化剂和氯化剂，具有高效、广谱、较为安全的消毒作用，对细菌、病毒、真菌、芽孢等都有杀灭作用，对球虫卵囊也有一定杀灭作用。</w:t>
                  </w:r>
                </w:p>
              </w:tc>
            </w:tr>
            <w:tr w14:paraId="573FCD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64" w:type="dxa"/>
                  <w:tcBorders>
                    <w:tl2br w:val="nil"/>
                    <w:tr2bl w:val="nil"/>
                  </w:tcBorders>
                  <w:vAlign w:val="center"/>
                </w:tcPr>
                <w:p w14:paraId="6E7066D2">
                  <w:pPr>
                    <w:pStyle w:val="51"/>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异氟烷</w:t>
                  </w:r>
                </w:p>
              </w:tc>
              <w:tc>
                <w:tcPr>
                  <w:tcW w:w="7089" w:type="dxa"/>
                  <w:tcBorders>
                    <w:tl2br w:val="nil"/>
                    <w:tr2bl w:val="nil"/>
                  </w:tcBorders>
                  <w:vAlign w:val="center"/>
                </w:tcPr>
                <w:p w14:paraId="6839ADEA">
                  <w:pPr>
                    <w:pStyle w:val="51"/>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both"/>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属吸入性麻醉药，麻醉诱导和复苏均较快，麻醉时无交感神经系统兴奋现象，可使心脏对肾上腺素的作用稍有增敏，有一定的肌松作用，在肝脏的代谢率低，对肝脏毒性小。</w:t>
                  </w:r>
                </w:p>
              </w:tc>
            </w:tr>
          </w:tbl>
          <w:p w14:paraId="7523DDD3">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cs="Times New Roman"/>
                <w:b/>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z w:val="24"/>
                <w:szCs w:val="24"/>
                <w:highlight w:val="none"/>
                <w:vertAlign w:val="baseline"/>
                <w:lang w:val="en-US" w:eastAsia="zh-CN"/>
                <w14:textFill>
                  <w14:solidFill>
                    <w14:schemeClr w14:val="tx1"/>
                  </w14:solidFill>
                </w14:textFill>
              </w:rPr>
              <w:t>2.6劳动定员及工作制度</w:t>
            </w:r>
          </w:p>
          <w:p w14:paraId="25BCEA8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劳动定员：项目劳动定员</w:t>
            </w:r>
            <w:r>
              <w:rPr>
                <w:rFonts w:hint="eastAsia" w:cs="Times New Roman"/>
                <w:b w:val="0"/>
                <w:bCs/>
                <w:color w:val="000000" w:themeColor="text1"/>
                <w:sz w:val="24"/>
                <w:szCs w:val="24"/>
                <w:highlight w:val="none"/>
                <w:vertAlign w:val="baseline"/>
                <w:lang w:val="en-US" w:eastAsia="zh-CN"/>
                <w14:textFill>
                  <w14:solidFill>
                    <w14:schemeClr w14:val="tx1"/>
                  </w14:solidFill>
                </w14:textFill>
              </w:rPr>
              <w:t>3</w:t>
            </w:r>
            <w:r>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人，不提供</w:t>
            </w:r>
            <w:r>
              <w:rPr>
                <w:rFonts w:hint="eastAsia"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食堂及住宿</w:t>
            </w:r>
            <w:r>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w:t>
            </w:r>
          </w:p>
          <w:p w14:paraId="67413F2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工作制度：年工作日为</w:t>
            </w: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365</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天，实行一班制，</w:t>
            </w:r>
            <w:r>
              <w:rPr>
                <w:rFonts w:hint="eastAsia" w:cs="Times New Roman"/>
                <w:b w:val="0"/>
                <w:bCs/>
                <w:color w:val="000000" w:themeColor="text1"/>
                <w:sz w:val="24"/>
                <w:szCs w:val="24"/>
                <w:highlight w:val="none"/>
                <w:lang w:val="en-US" w:eastAsia="zh-CN"/>
                <w14:textFill>
                  <w14:solidFill>
                    <w14:schemeClr w14:val="tx1"/>
                  </w14:solidFill>
                </w14:textFill>
              </w:rPr>
              <w:t>9：</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00-</w:t>
            </w:r>
            <w:r>
              <w:rPr>
                <w:rFonts w:hint="eastAsia" w:cs="Times New Roman"/>
                <w:b w:val="0"/>
                <w:bCs/>
                <w:color w:val="000000" w:themeColor="text1"/>
                <w:sz w:val="24"/>
                <w:szCs w:val="24"/>
                <w:highlight w:val="none"/>
                <w:lang w:val="en-US" w:eastAsia="zh-CN"/>
                <w14:textFill>
                  <w14:solidFill>
                    <w14:schemeClr w14:val="tx1"/>
                  </w14:solidFill>
                </w14:textFill>
              </w:rPr>
              <w:t>18：</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00。</w:t>
            </w:r>
          </w:p>
          <w:p w14:paraId="3F48436F">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cs="Times New Roman"/>
                <w:b/>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z w:val="24"/>
                <w:szCs w:val="24"/>
                <w:highlight w:val="none"/>
                <w:vertAlign w:val="baseline"/>
                <w:lang w:val="en-US" w:eastAsia="zh-CN"/>
                <w14:textFill>
                  <w14:solidFill>
                    <w14:schemeClr w14:val="tx1"/>
                  </w14:solidFill>
                </w14:textFill>
              </w:rPr>
              <w:t>2.7总平面布置</w:t>
            </w:r>
          </w:p>
          <w:p w14:paraId="284E39C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本项目租赁</w:t>
            </w: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重庆市九龙坡区二郎街道火炬大道100号附24号及附23-2号</w:t>
            </w:r>
            <w:r>
              <w:rPr>
                <w:rFonts w:hint="eastAsia" w:cs="Times New Roman"/>
                <w:b w:val="0"/>
                <w:bCs/>
                <w:color w:val="000000" w:themeColor="text1"/>
                <w:sz w:val="24"/>
                <w:szCs w:val="24"/>
                <w:highlight w:val="none"/>
                <w:lang w:val="en-US" w:eastAsia="zh-CN"/>
                <w14:textFill>
                  <w14:solidFill>
                    <w14:schemeClr w14:val="tx1"/>
                  </w14:solidFill>
                </w14:textFill>
              </w:rPr>
              <w:t>商铺</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进行运营，门面</w:t>
            </w:r>
            <w:r>
              <w:rPr>
                <w:rFonts w:hint="eastAsia" w:cs="Times New Roman"/>
                <w:b w:val="0"/>
                <w:bCs/>
                <w:color w:val="000000" w:themeColor="text1"/>
                <w:sz w:val="24"/>
                <w:szCs w:val="24"/>
                <w:highlight w:val="none"/>
                <w:lang w:val="en-US" w:eastAsia="zh-CN"/>
                <w14:textFill>
                  <w14:solidFill>
                    <w14:schemeClr w14:val="tx1"/>
                  </w14:solidFill>
                </w14:textFill>
              </w:rPr>
              <w:t>大致</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呈</w:t>
            </w:r>
            <w:r>
              <w:rPr>
                <w:rFonts w:hint="eastAsia" w:cs="Times New Roman"/>
                <w:b w:val="0"/>
                <w:bCs/>
                <w:color w:val="000000" w:themeColor="text1"/>
                <w:sz w:val="24"/>
                <w:szCs w:val="24"/>
                <w:highlight w:val="none"/>
                <w:lang w:val="en-US" w:eastAsia="zh-CN"/>
                <w14:textFill>
                  <w14:solidFill>
                    <w14:schemeClr w14:val="tx1"/>
                  </w14:solidFill>
                </w14:textFill>
              </w:rPr>
              <w:t>矩形</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，本项目共设置1个出入口，位于医院</w:t>
            </w:r>
            <w:r>
              <w:rPr>
                <w:rFonts w:hint="eastAsia" w:cs="Times New Roman"/>
                <w:b w:val="0"/>
                <w:bCs/>
                <w:color w:val="000000" w:themeColor="text1"/>
                <w:sz w:val="24"/>
                <w:szCs w:val="24"/>
                <w:highlight w:val="none"/>
                <w:lang w:val="en-US" w:eastAsia="zh-CN"/>
                <w14:textFill>
                  <w14:solidFill>
                    <w14:schemeClr w14:val="tx1"/>
                  </w14:solidFill>
                </w14:textFill>
              </w:rPr>
              <w:t>南</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侧，仅供医院使用，不在居民住宅楼内，且不与同建筑物的其他商业用户共用出入口，符合《动物诊疗机构管理办法》（农业农村部令2022年第5号）相关要求。</w:t>
            </w:r>
          </w:p>
          <w:p w14:paraId="45B2829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医院入口处为</w:t>
            </w:r>
            <w:r>
              <w:rPr>
                <w:rFonts w:hint="eastAsia" w:cs="Times New Roman"/>
                <w:b w:val="0"/>
                <w:bCs/>
                <w:color w:val="000000" w:themeColor="text1"/>
                <w:sz w:val="24"/>
                <w:szCs w:val="24"/>
                <w:highlight w:val="none"/>
                <w:lang w:val="en-US" w:eastAsia="zh-CN"/>
                <w14:textFill>
                  <w14:solidFill>
                    <w14:schemeClr w14:val="tx1"/>
                  </w14:solidFill>
                </w14:textFill>
              </w:rPr>
              <w:t>大厅</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w:t>
            </w:r>
            <w:r>
              <w:rPr>
                <w:rFonts w:hint="eastAsia" w:cs="Times New Roman"/>
                <w:b w:val="0"/>
                <w:bCs/>
                <w:color w:val="000000" w:themeColor="text1"/>
                <w:sz w:val="24"/>
                <w:szCs w:val="24"/>
                <w:highlight w:val="none"/>
                <w:lang w:val="en-US" w:eastAsia="zh-CN"/>
                <w14:textFill>
                  <w14:solidFill>
                    <w14:schemeClr w14:val="tx1"/>
                  </w14:solidFill>
                </w14:textFill>
              </w:rPr>
              <w:t>大厅内设置为顾客等待区，西侧为产品区。入口处往呗走，东</w:t>
            </w: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侧</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分别为</w:t>
            </w:r>
            <w:r>
              <w:rPr>
                <w:rFonts w:hint="eastAsia" w:cs="Times New Roman"/>
                <w:b w:val="0"/>
                <w:bCs/>
                <w:color w:val="000000" w:themeColor="text1"/>
                <w:sz w:val="24"/>
                <w:szCs w:val="24"/>
                <w:highlight w:val="none"/>
                <w:lang w:val="en-US" w:eastAsia="zh-CN"/>
                <w14:textFill>
                  <w14:solidFill>
                    <w14:schemeClr w14:val="tx1"/>
                  </w14:solidFill>
                </w14:textFill>
              </w:rPr>
              <w:t>诊室、免疫室、寄养室、犬住院室、美容室、卫生间，西侧分别为化验室、药房、猫住院室、DR室、手术室、隔离室</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。项目分区明确，犬、猫</w:t>
            </w:r>
            <w:r>
              <w:rPr>
                <w:rFonts w:hint="eastAsia" w:cs="Times New Roman"/>
                <w:b w:val="0"/>
                <w:bCs/>
                <w:color w:val="000000" w:themeColor="text1"/>
                <w:sz w:val="24"/>
                <w:szCs w:val="24"/>
                <w:highlight w:val="none"/>
                <w:lang w:val="en-US" w:eastAsia="zh-CN"/>
                <w14:textFill>
                  <w14:solidFill>
                    <w14:schemeClr w14:val="tx1"/>
                  </w14:solidFill>
                </w14:textFill>
              </w:rPr>
              <w:t>住院室</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和隔离室分开设置，有效避免交叉感染，采取封闭式管理，非工作人员不得随意进入，可有效防止臭味扩散。</w:t>
            </w:r>
          </w:p>
          <w:p w14:paraId="3B1556D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医废暂存点位于</w:t>
            </w:r>
            <w:r>
              <w:rPr>
                <w:rFonts w:hint="eastAsia" w:cs="Times New Roman"/>
                <w:b w:val="0"/>
                <w:bCs/>
                <w:color w:val="000000" w:themeColor="text1"/>
                <w:sz w:val="24"/>
                <w:szCs w:val="24"/>
                <w:highlight w:val="none"/>
                <w:lang w:val="en-US" w:eastAsia="zh-CN"/>
                <w14:textFill>
                  <w14:solidFill>
                    <w14:schemeClr w14:val="tx1"/>
                  </w14:solidFill>
                </w14:textFill>
              </w:rPr>
              <w:t>化验室内</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r>
              <w:rPr>
                <w:rFonts w:hint="eastAsia" w:cs="Times New Roman"/>
                <w:b w:val="0"/>
                <w:bCs/>
                <w:color w:val="000000" w:themeColor="text1"/>
                <w:sz w:val="24"/>
                <w:szCs w:val="24"/>
                <w:highlight w:val="none"/>
                <w:lang w:val="en-US" w:eastAsia="zh-CN"/>
                <w14:textFill>
                  <w14:solidFill>
                    <w14:schemeClr w14:val="tx1"/>
                  </w14:solidFill>
                </w14:textFill>
              </w:rPr>
              <w:t>与</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诊疗及住院区域</w:t>
            </w:r>
            <w:r>
              <w:rPr>
                <w:rFonts w:hint="eastAsia" w:cs="Times New Roman"/>
                <w:b w:val="0"/>
                <w:bCs/>
                <w:color w:val="000000" w:themeColor="text1"/>
                <w:sz w:val="24"/>
                <w:szCs w:val="24"/>
                <w:highlight w:val="none"/>
                <w:lang w:val="en-US" w:eastAsia="zh-CN"/>
                <w14:textFill>
                  <w14:solidFill>
                    <w14:schemeClr w14:val="tx1"/>
                  </w14:solidFill>
                </w14:textFill>
              </w:rPr>
              <w:t>隔开</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。医废暂存点设加盖收集桶分类暂存医疗废物和其他危险废物，并在下班后避开高峰时段外运，交重庆</w:t>
            </w:r>
            <w:r>
              <w:rPr>
                <w:rFonts w:hint="eastAsia" w:cs="Times New Roman"/>
                <w:b w:val="0"/>
                <w:bCs/>
                <w:color w:val="000000" w:themeColor="text1"/>
                <w:sz w:val="24"/>
                <w:szCs w:val="24"/>
                <w:highlight w:val="none"/>
                <w:lang w:val="en-US" w:eastAsia="zh-CN"/>
                <w14:textFill>
                  <w14:solidFill>
                    <w14:schemeClr w14:val="tx1"/>
                  </w14:solidFill>
                </w14:textFill>
              </w:rPr>
              <w:t>可厚德环保技术</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有限公司收运处置。</w:t>
            </w:r>
          </w:p>
          <w:p w14:paraId="43BA9BE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企业</w:t>
            </w:r>
            <w:r>
              <w:rPr>
                <w:rFonts w:hint="eastAsia" w:cs="Times New Roman"/>
                <w:b w:val="0"/>
                <w:bCs/>
                <w:color w:val="auto"/>
                <w:sz w:val="24"/>
                <w:szCs w:val="24"/>
                <w:highlight w:val="none"/>
                <w:lang w:val="en-US" w:eastAsia="zh-CN"/>
              </w:rPr>
              <w:t>设置有2</w:t>
            </w:r>
            <w:r>
              <w:rPr>
                <w:rFonts w:hint="eastAsia" w:ascii="Times New Roman" w:hAnsi="Times New Roman" w:eastAsia="宋体" w:cs="Times New Roman"/>
                <w:b w:val="0"/>
                <w:bCs/>
                <w:color w:val="auto"/>
                <w:sz w:val="24"/>
                <w:szCs w:val="24"/>
                <w:highlight w:val="none"/>
                <w:lang w:val="en-US" w:eastAsia="zh-CN"/>
              </w:rPr>
              <w:t>套消毒箱</w:t>
            </w:r>
            <w:r>
              <w:rPr>
                <w:rFonts w:hint="eastAsia" w:cs="Times New Roman"/>
                <w:b w:val="0"/>
                <w:bCs/>
                <w:color w:val="auto"/>
                <w:sz w:val="24"/>
                <w:szCs w:val="24"/>
                <w:highlight w:val="none"/>
                <w:lang w:val="en-US" w:eastAsia="zh-CN"/>
              </w:rPr>
              <w:t>，分别</w:t>
            </w:r>
            <w:r>
              <w:rPr>
                <w:rFonts w:hint="eastAsia" w:ascii="Times New Roman" w:hAnsi="Times New Roman" w:eastAsia="宋体" w:cs="Times New Roman"/>
                <w:b w:val="0"/>
                <w:bCs/>
                <w:color w:val="auto"/>
                <w:sz w:val="24"/>
                <w:szCs w:val="24"/>
                <w:highlight w:val="none"/>
                <w:lang w:val="en-US" w:eastAsia="zh-CN"/>
              </w:rPr>
              <w:t>置于</w:t>
            </w:r>
            <w:r>
              <w:rPr>
                <w:rFonts w:hint="eastAsia" w:cs="Times New Roman"/>
                <w:b w:val="0"/>
                <w:bCs/>
                <w:color w:val="auto"/>
                <w:sz w:val="24"/>
                <w:szCs w:val="24"/>
                <w:highlight w:val="none"/>
                <w:lang w:val="en-US" w:eastAsia="zh-CN"/>
              </w:rPr>
              <w:t>手术室洗手台、中央处置台</w:t>
            </w:r>
            <w:r>
              <w:rPr>
                <w:rFonts w:hint="eastAsia" w:ascii="Times New Roman" w:hAnsi="Times New Roman" w:eastAsia="宋体" w:cs="Times New Roman"/>
                <w:b w:val="0"/>
                <w:bCs/>
                <w:color w:val="auto"/>
                <w:sz w:val="24"/>
                <w:szCs w:val="24"/>
                <w:highlight w:val="none"/>
                <w:lang w:val="en-US" w:eastAsia="zh-CN"/>
              </w:rPr>
              <w:t>下方，医疗废水经消毒设施预处理后排入</w:t>
            </w:r>
            <w:r>
              <w:rPr>
                <w:rFonts w:hint="eastAsia" w:cs="Times New Roman"/>
                <w:b w:val="0"/>
                <w:bCs/>
                <w:color w:val="auto"/>
                <w:sz w:val="24"/>
                <w:szCs w:val="24"/>
                <w:highlight w:val="none"/>
                <w:lang w:val="en-US" w:eastAsia="zh-CN"/>
              </w:rPr>
              <w:t>弘悦101已建</w:t>
            </w:r>
            <w:r>
              <w:rPr>
                <w:rFonts w:hint="eastAsia" w:ascii="Times New Roman" w:hAnsi="Times New Roman" w:eastAsia="宋体" w:cs="Times New Roman"/>
                <w:b w:val="0"/>
                <w:bCs/>
                <w:color w:val="auto"/>
                <w:sz w:val="24"/>
                <w:szCs w:val="24"/>
                <w:highlight w:val="none"/>
                <w:lang w:val="en-US" w:eastAsia="zh-CN"/>
              </w:rPr>
              <w:t>生化池</w:t>
            </w:r>
            <w:r>
              <w:rPr>
                <w:rFonts w:hint="default" w:ascii="Times New Roman" w:hAnsi="Times New Roman" w:eastAsia="宋体" w:cs="Times New Roman"/>
                <w:b w:val="0"/>
                <w:bCs/>
                <w:color w:val="auto"/>
                <w:sz w:val="24"/>
                <w:szCs w:val="24"/>
                <w:highlight w:val="none"/>
                <w:lang w:val="en-US" w:eastAsia="zh-CN"/>
              </w:rPr>
              <w:t>处理达标后排入市政污水管网</w:t>
            </w:r>
            <w:r>
              <w:rPr>
                <w:rFonts w:hint="eastAsia" w:ascii="Times New Roman" w:hAnsi="Times New Roman" w:eastAsia="宋体" w:cs="Times New Roman"/>
                <w:b w:val="0"/>
                <w:bCs/>
                <w:color w:val="auto"/>
                <w:sz w:val="24"/>
                <w:szCs w:val="24"/>
                <w:highlight w:val="none"/>
                <w:lang w:val="en-US" w:eastAsia="zh-CN"/>
              </w:rPr>
              <w:t>。</w:t>
            </w:r>
          </w:p>
          <w:p w14:paraId="2DF2029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综上，本项目各功能区分区明确，布局清晰合理，总体布局合理。</w:t>
            </w:r>
          </w:p>
          <w:p w14:paraId="43D82F75">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cs="Times New Roman"/>
                <w:b/>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z w:val="24"/>
                <w:szCs w:val="24"/>
                <w:highlight w:val="none"/>
                <w:vertAlign w:val="baseline"/>
                <w:lang w:val="en-US" w:eastAsia="zh-CN"/>
                <w14:textFill>
                  <w14:solidFill>
                    <w14:schemeClr w14:val="tx1"/>
                  </w14:solidFill>
                </w14:textFill>
              </w:rPr>
              <w:t>2.8公用工程</w:t>
            </w:r>
          </w:p>
          <w:p w14:paraId="4B52E679">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cs="Times New Roman"/>
                <w:b/>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z w:val="24"/>
                <w:szCs w:val="24"/>
                <w:highlight w:val="none"/>
                <w:vertAlign w:val="baseline"/>
                <w:lang w:val="en-US" w:eastAsia="zh-CN"/>
                <w14:textFill>
                  <w14:solidFill>
                    <w14:schemeClr w14:val="tx1"/>
                  </w14:solidFill>
                </w14:textFill>
              </w:rPr>
              <w:t>2.8.1供水</w:t>
            </w:r>
          </w:p>
          <w:p w14:paraId="535C691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（1）给水水源</w:t>
            </w:r>
          </w:p>
          <w:p w14:paraId="3A31A47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项目供水主要来自市政自来水厂，利用市政给水管接口接入。</w:t>
            </w:r>
          </w:p>
          <w:p w14:paraId="48BE3FA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（2）用水量</w:t>
            </w:r>
          </w:p>
          <w:p w14:paraId="7A8333B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项目不提供食堂</w:t>
            </w: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及住宿</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。项目用水主要为职工生活用水、流动顾客用水、</w:t>
            </w:r>
            <w:r>
              <w:rPr>
                <w:rFonts w:hint="eastAsia" w:cs="Times New Roman"/>
                <w:b w:val="0"/>
                <w:bCs/>
                <w:color w:val="000000" w:themeColor="text1"/>
                <w:sz w:val="24"/>
                <w:szCs w:val="24"/>
                <w:highlight w:val="none"/>
                <w:lang w:val="en-US" w:eastAsia="zh-CN"/>
                <w14:textFill>
                  <w14:solidFill>
                    <w14:schemeClr w14:val="tx1"/>
                  </w14:solidFill>
                </w14:textFill>
              </w:rPr>
              <w:t>化验用水</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、宠物笼清洗用水、手术器械清洗用水、地面清洁用水、工服清洗用水、宠物饮用水</w:t>
            </w: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、宠物毛毯清洗用水、美容洗浴用水</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w:t>
            </w:r>
          </w:p>
          <w:p w14:paraId="219FFE8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left"/>
              <w:textAlignment w:val="auto"/>
              <w:rPr>
                <w:rFonts w:hint="default" w:ascii="Times New Roman" w:hAnsi="Times New Roman" w:cs="Times New Roman"/>
                <w:b/>
                <w:bCs w:val="0"/>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bCs w:val="0"/>
                <w:color w:val="000000" w:themeColor="text1"/>
                <w:sz w:val="24"/>
                <w:szCs w:val="24"/>
                <w:highlight w:val="none"/>
                <w:lang w:val="en-US" w:eastAsia="zh-CN"/>
                <w14:textFill>
                  <w14:solidFill>
                    <w14:schemeClr w14:val="tx1"/>
                  </w14:solidFill>
                </w14:textFill>
              </w:rPr>
              <w:t>①生活用水</w:t>
            </w:r>
          </w:p>
          <w:p w14:paraId="2BDA2AF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项目生活用水包括职工生活用水、流动顾客用水。</w:t>
            </w:r>
          </w:p>
          <w:p w14:paraId="3F2CDCE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left"/>
              <w:textAlignment w:val="auto"/>
              <w:rPr>
                <w:rFonts w:hint="default" w:ascii="Times New Roman" w:hAnsi="Times New Roman" w:cs="Times New Roman"/>
                <w:b w:val="0"/>
                <w:bCs/>
                <w:color w:val="auto"/>
                <w:sz w:val="24"/>
                <w:szCs w:val="24"/>
                <w:highlight w:val="none"/>
                <w:lang w:val="en-US" w:eastAsia="zh-CN"/>
              </w:rPr>
            </w:pPr>
            <w:r>
              <w:rPr>
                <w:rFonts w:hint="default" w:ascii="Times New Roman" w:hAnsi="Times New Roman" w:cs="Times New Roman"/>
                <w:b/>
                <w:bCs w:val="0"/>
                <w:color w:val="000000" w:themeColor="text1"/>
                <w:sz w:val="24"/>
                <w:szCs w:val="24"/>
                <w:highlight w:val="none"/>
                <w:lang w:val="en-US" w:eastAsia="zh-CN"/>
                <w14:textFill>
                  <w14:solidFill>
                    <w14:schemeClr w14:val="tx1"/>
                  </w14:solidFill>
                </w14:textFill>
              </w:rPr>
              <w:t>职工生活用水：</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项目劳动定员</w:t>
            </w:r>
            <w:r>
              <w:rPr>
                <w:rFonts w:hint="eastAsia" w:cs="Times New Roman"/>
                <w:b w:val="0"/>
                <w:bCs/>
                <w:color w:val="000000" w:themeColor="text1"/>
                <w:sz w:val="24"/>
                <w:szCs w:val="24"/>
                <w:highlight w:val="none"/>
                <w:lang w:val="en-US" w:eastAsia="zh-CN"/>
                <w14:textFill>
                  <w14:solidFill>
                    <w14:schemeClr w14:val="tx1"/>
                  </w14:solidFill>
                </w14:textFill>
              </w:rPr>
              <w:t>3</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人，根据《建筑给水排水设计标准》（GB50015-2019），职工生活用水量按照</w:t>
            </w:r>
            <w:r>
              <w:rPr>
                <w:rFonts w:hint="default" w:ascii="Times New Roman" w:hAnsi="Times New Roman" w:cs="Times New Roman"/>
                <w:b w:val="0"/>
                <w:bCs/>
                <w:color w:val="auto"/>
                <w:sz w:val="24"/>
                <w:szCs w:val="24"/>
                <w:highlight w:val="none"/>
                <w:lang w:val="en-US" w:eastAsia="zh-CN"/>
              </w:rPr>
              <w:t>50L/（人·d）计，则职工生活用水量约</w:t>
            </w:r>
            <w:r>
              <w:rPr>
                <w:rFonts w:hint="eastAsia" w:cs="Times New Roman"/>
                <w:b w:val="0"/>
                <w:bCs/>
                <w:color w:val="auto"/>
                <w:sz w:val="24"/>
                <w:szCs w:val="24"/>
                <w:highlight w:val="none"/>
                <w:lang w:val="en-US" w:eastAsia="zh-CN"/>
              </w:rPr>
              <w:t>0.15</w:t>
            </w:r>
            <w:r>
              <w:rPr>
                <w:rFonts w:hint="default" w:ascii="Times New Roman" w:hAnsi="Times New Roman" w:cs="Times New Roman"/>
                <w:b w:val="0"/>
                <w:bCs/>
                <w:color w:val="auto"/>
                <w:sz w:val="24"/>
                <w:szCs w:val="24"/>
                <w:highlight w:val="none"/>
                <w:lang w:val="en-US" w:eastAsia="zh-CN"/>
              </w:rPr>
              <w:t>m</w:t>
            </w:r>
            <w:r>
              <w:rPr>
                <w:rFonts w:hint="default" w:ascii="Times New Roman" w:hAnsi="Times New Roman" w:cs="Times New Roman"/>
                <w:b w:val="0"/>
                <w:bCs/>
                <w:color w:val="auto"/>
                <w:sz w:val="24"/>
                <w:szCs w:val="24"/>
                <w:highlight w:val="none"/>
                <w:vertAlign w:val="superscript"/>
                <w:lang w:val="en-US" w:eastAsia="zh-CN"/>
              </w:rPr>
              <w:t>3</w:t>
            </w:r>
            <w:r>
              <w:rPr>
                <w:rFonts w:hint="default" w:ascii="Times New Roman" w:hAnsi="Times New Roman" w:cs="Times New Roman"/>
                <w:b w:val="0"/>
                <w:bCs/>
                <w:color w:val="auto"/>
                <w:sz w:val="24"/>
                <w:szCs w:val="24"/>
                <w:highlight w:val="none"/>
                <w:lang w:val="en-US" w:eastAsia="zh-CN"/>
              </w:rPr>
              <w:t>/d（</w:t>
            </w:r>
            <w:r>
              <w:rPr>
                <w:rFonts w:hint="eastAsia" w:cs="Times New Roman"/>
                <w:b w:val="0"/>
                <w:bCs/>
                <w:color w:val="auto"/>
                <w:sz w:val="24"/>
                <w:szCs w:val="24"/>
                <w:highlight w:val="none"/>
                <w:lang w:val="en-US" w:eastAsia="zh-CN"/>
              </w:rPr>
              <w:t>54.75</w:t>
            </w:r>
            <w:r>
              <w:rPr>
                <w:rFonts w:hint="default" w:ascii="Times New Roman" w:hAnsi="Times New Roman" w:cs="Times New Roman"/>
                <w:b w:val="0"/>
                <w:bCs/>
                <w:color w:val="auto"/>
                <w:sz w:val="24"/>
                <w:szCs w:val="24"/>
                <w:highlight w:val="none"/>
                <w:lang w:val="en-US" w:eastAsia="zh-CN"/>
              </w:rPr>
              <w:t>m</w:t>
            </w:r>
            <w:r>
              <w:rPr>
                <w:rFonts w:hint="default" w:ascii="Times New Roman" w:hAnsi="Times New Roman" w:cs="Times New Roman"/>
                <w:b w:val="0"/>
                <w:bCs/>
                <w:color w:val="auto"/>
                <w:sz w:val="24"/>
                <w:szCs w:val="24"/>
                <w:highlight w:val="none"/>
                <w:vertAlign w:val="superscript"/>
                <w:lang w:val="en-US" w:eastAsia="zh-CN"/>
              </w:rPr>
              <w:t>3</w:t>
            </w:r>
            <w:r>
              <w:rPr>
                <w:rFonts w:hint="default" w:ascii="Times New Roman" w:hAnsi="Times New Roman" w:cs="Times New Roman"/>
                <w:b w:val="0"/>
                <w:bCs/>
                <w:color w:val="auto"/>
                <w:sz w:val="24"/>
                <w:szCs w:val="24"/>
                <w:highlight w:val="none"/>
                <w:lang w:val="en-US" w:eastAsia="zh-CN"/>
              </w:rPr>
              <w:t>/a）。生活污水排污系数按0.9计。</w:t>
            </w:r>
          </w:p>
          <w:p w14:paraId="403156E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left"/>
              <w:textAlignment w:val="auto"/>
              <w:rPr>
                <w:rFonts w:hint="default" w:ascii="Times New Roman" w:hAnsi="Times New Roman" w:cs="Times New Roman"/>
                <w:b w:val="0"/>
                <w:bCs/>
                <w:color w:val="auto"/>
                <w:sz w:val="24"/>
                <w:szCs w:val="24"/>
                <w:highlight w:val="none"/>
                <w:lang w:val="en-US" w:eastAsia="zh-CN"/>
              </w:rPr>
            </w:pPr>
            <w:r>
              <w:rPr>
                <w:rFonts w:hint="default" w:ascii="Times New Roman" w:hAnsi="Times New Roman" w:cs="Times New Roman"/>
                <w:b/>
                <w:bCs w:val="0"/>
                <w:color w:val="auto"/>
                <w:sz w:val="24"/>
                <w:szCs w:val="24"/>
                <w:highlight w:val="none"/>
                <w:lang w:val="en-US" w:eastAsia="zh-CN"/>
              </w:rPr>
              <w:t>流动顾客用水：</w:t>
            </w:r>
            <w:r>
              <w:rPr>
                <w:rFonts w:hint="default" w:ascii="Times New Roman" w:hAnsi="Times New Roman" w:cs="Times New Roman"/>
                <w:b w:val="0"/>
                <w:bCs/>
                <w:color w:val="auto"/>
                <w:sz w:val="24"/>
                <w:szCs w:val="24"/>
                <w:highlight w:val="none"/>
                <w:lang w:val="en-US" w:eastAsia="zh-CN"/>
              </w:rPr>
              <w:t>流动顾客规模为门诊客人总人数</w:t>
            </w:r>
            <w:r>
              <w:rPr>
                <w:rFonts w:hint="eastAsia" w:ascii="Times New Roman" w:hAnsi="Times New Roman" w:cs="Times New Roman"/>
                <w:b w:val="0"/>
                <w:bCs/>
                <w:color w:val="auto"/>
                <w:sz w:val="24"/>
                <w:szCs w:val="24"/>
                <w:highlight w:val="none"/>
                <w:lang w:val="en-US" w:eastAsia="zh-CN"/>
              </w:rPr>
              <w:t>及美容服务客人总人数</w:t>
            </w:r>
            <w:r>
              <w:rPr>
                <w:rFonts w:hint="default" w:ascii="Times New Roman" w:hAnsi="Times New Roman" w:cs="Times New Roman"/>
                <w:b w:val="0"/>
                <w:bCs/>
                <w:color w:val="auto"/>
                <w:sz w:val="24"/>
                <w:szCs w:val="24"/>
                <w:highlight w:val="none"/>
                <w:lang w:val="en-US" w:eastAsia="zh-CN"/>
              </w:rPr>
              <w:t>，按每只宠物由1名主人携带就诊考虑，即宠物主人约</w:t>
            </w:r>
            <w:r>
              <w:rPr>
                <w:rFonts w:hint="eastAsia" w:cs="Times New Roman"/>
                <w:b w:val="0"/>
                <w:bCs/>
                <w:color w:val="auto"/>
                <w:sz w:val="24"/>
                <w:szCs w:val="24"/>
                <w:highlight w:val="none"/>
                <w:lang w:val="en-US" w:eastAsia="zh-CN"/>
              </w:rPr>
              <w:t>36</w:t>
            </w:r>
            <w:r>
              <w:rPr>
                <w:rFonts w:hint="default" w:ascii="Times New Roman" w:hAnsi="Times New Roman" w:cs="Times New Roman"/>
                <w:b w:val="0"/>
                <w:bCs/>
                <w:color w:val="auto"/>
                <w:sz w:val="24"/>
                <w:szCs w:val="24"/>
                <w:highlight w:val="none"/>
                <w:lang w:val="en-US" w:eastAsia="zh-CN"/>
              </w:rPr>
              <w:t>人次/d，类比同类宠物医院项目，流动顾客用水量按照10L/人·次计，则流动顾客用水量约</w:t>
            </w:r>
            <w:r>
              <w:rPr>
                <w:rFonts w:hint="eastAsia" w:cs="Times New Roman"/>
                <w:b w:val="0"/>
                <w:bCs/>
                <w:color w:val="auto"/>
                <w:sz w:val="24"/>
                <w:szCs w:val="24"/>
                <w:highlight w:val="none"/>
                <w:lang w:val="en-US" w:eastAsia="zh-CN"/>
              </w:rPr>
              <w:t>0.36</w:t>
            </w:r>
            <w:r>
              <w:rPr>
                <w:rFonts w:hint="default" w:ascii="Times New Roman" w:hAnsi="Times New Roman" w:cs="Times New Roman"/>
                <w:b w:val="0"/>
                <w:bCs/>
                <w:color w:val="auto"/>
                <w:sz w:val="24"/>
                <w:szCs w:val="24"/>
                <w:highlight w:val="none"/>
                <w:lang w:val="en-US" w:eastAsia="zh-CN"/>
              </w:rPr>
              <w:t>m</w:t>
            </w:r>
            <w:r>
              <w:rPr>
                <w:rFonts w:hint="default" w:ascii="Times New Roman" w:hAnsi="Times New Roman" w:cs="Times New Roman"/>
                <w:b w:val="0"/>
                <w:bCs/>
                <w:color w:val="auto"/>
                <w:sz w:val="24"/>
                <w:szCs w:val="24"/>
                <w:highlight w:val="none"/>
                <w:vertAlign w:val="superscript"/>
                <w:lang w:val="en-US" w:eastAsia="zh-CN"/>
              </w:rPr>
              <w:t>3</w:t>
            </w:r>
            <w:r>
              <w:rPr>
                <w:rFonts w:hint="default" w:ascii="Times New Roman" w:hAnsi="Times New Roman" w:cs="Times New Roman"/>
                <w:b w:val="0"/>
                <w:bCs/>
                <w:color w:val="auto"/>
                <w:sz w:val="24"/>
                <w:szCs w:val="24"/>
                <w:highlight w:val="none"/>
                <w:lang w:val="en-US" w:eastAsia="zh-CN"/>
              </w:rPr>
              <w:t>/d</w:t>
            </w:r>
            <w:r>
              <w:rPr>
                <w:rFonts w:hint="eastAsia" w:ascii="Times New Roman" w:hAnsi="Times New Roman" w:cs="Times New Roman"/>
                <w:b w:val="0"/>
                <w:bCs/>
                <w:color w:val="auto"/>
                <w:sz w:val="24"/>
                <w:szCs w:val="24"/>
                <w:highlight w:val="none"/>
                <w:lang w:val="en-US" w:eastAsia="zh-CN"/>
              </w:rPr>
              <w:t>（</w:t>
            </w:r>
            <w:r>
              <w:rPr>
                <w:rFonts w:hint="eastAsia" w:cs="Times New Roman"/>
                <w:b w:val="0"/>
                <w:bCs/>
                <w:color w:val="auto"/>
                <w:sz w:val="24"/>
                <w:szCs w:val="24"/>
                <w:highlight w:val="none"/>
                <w:lang w:val="en-US" w:eastAsia="zh-CN"/>
              </w:rPr>
              <w:t>131.4</w:t>
            </w:r>
            <w:r>
              <w:rPr>
                <w:rFonts w:hint="default" w:ascii="Times New Roman" w:hAnsi="Times New Roman" w:cs="Times New Roman"/>
                <w:b w:val="0"/>
                <w:bCs/>
                <w:color w:val="auto"/>
                <w:sz w:val="24"/>
                <w:szCs w:val="24"/>
                <w:highlight w:val="none"/>
                <w:lang w:val="en-US" w:eastAsia="zh-CN"/>
              </w:rPr>
              <w:t>m</w:t>
            </w:r>
            <w:r>
              <w:rPr>
                <w:rFonts w:hint="default" w:ascii="Times New Roman" w:hAnsi="Times New Roman" w:cs="Times New Roman"/>
                <w:b w:val="0"/>
                <w:bCs/>
                <w:color w:val="auto"/>
                <w:sz w:val="24"/>
                <w:szCs w:val="24"/>
                <w:highlight w:val="none"/>
                <w:vertAlign w:val="superscript"/>
                <w:lang w:val="en-US" w:eastAsia="zh-CN"/>
              </w:rPr>
              <w:t>3</w:t>
            </w:r>
            <w:r>
              <w:rPr>
                <w:rFonts w:hint="default" w:ascii="Times New Roman" w:hAnsi="Times New Roman" w:cs="Times New Roman"/>
                <w:b w:val="0"/>
                <w:bCs/>
                <w:color w:val="auto"/>
                <w:sz w:val="24"/>
                <w:szCs w:val="24"/>
                <w:highlight w:val="none"/>
                <w:lang w:val="en-US" w:eastAsia="zh-CN"/>
              </w:rPr>
              <w:t>/a</w:t>
            </w:r>
            <w:r>
              <w:rPr>
                <w:rFonts w:hint="eastAsia" w:ascii="Times New Roman" w:hAnsi="Times New Roman" w:cs="Times New Roman"/>
                <w:b w:val="0"/>
                <w:bCs/>
                <w:color w:val="auto"/>
                <w:sz w:val="24"/>
                <w:szCs w:val="24"/>
                <w:highlight w:val="none"/>
                <w:lang w:val="en-US" w:eastAsia="zh-CN"/>
              </w:rPr>
              <w:t>）</w:t>
            </w:r>
            <w:r>
              <w:rPr>
                <w:rFonts w:hint="default" w:ascii="Times New Roman" w:hAnsi="Times New Roman" w:cs="Times New Roman"/>
                <w:b w:val="0"/>
                <w:bCs/>
                <w:color w:val="auto"/>
                <w:sz w:val="24"/>
                <w:szCs w:val="24"/>
                <w:highlight w:val="none"/>
                <w:lang w:val="en-US" w:eastAsia="zh-CN"/>
              </w:rPr>
              <w:t>。流动顾客污水排污系数按0.9计。</w:t>
            </w:r>
          </w:p>
          <w:p w14:paraId="583A4E5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left"/>
              <w:textAlignment w:val="auto"/>
              <w:rPr>
                <w:rFonts w:hint="default" w:ascii="Times New Roman" w:hAnsi="Times New Roman" w:cs="Times New Roman"/>
                <w:b/>
                <w:bCs w:val="0"/>
                <w:color w:val="auto"/>
                <w:sz w:val="24"/>
                <w:szCs w:val="24"/>
                <w:highlight w:val="none"/>
                <w:lang w:val="en-US" w:eastAsia="zh-CN"/>
              </w:rPr>
            </w:pPr>
            <w:r>
              <w:rPr>
                <w:rFonts w:hint="eastAsia" w:cs="Times New Roman"/>
                <w:b/>
                <w:bCs w:val="0"/>
                <w:color w:val="auto"/>
                <w:sz w:val="24"/>
                <w:szCs w:val="24"/>
                <w:highlight w:val="none"/>
                <w:lang w:val="en-US" w:eastAsia="zh-CN"/>
              </w:rPr>
              <w:t>②医疗废水</w:t>
            </w:r>
          </w:p>
          <w:p w14:paraId="610E8B4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cs="Times New Roman"/>
                <w:b w:val="0"/>
                <w:bCs/>
                <w:color w:val="auto"/>
                <w:sz w:val="24"/>
                <w:szCs w:val="24"/>
                <w:highlight w:val="none"/>
                <w:lang w:val="en-US" w:eastAsia="zh-CN"/>
              </w:rPr>
            </w:pPr>
            <w:r>
              <w:rPr>
                <w:rFonts w:hint="default" w:ascii="Times New Roman" w:hAnsi="Times New Roman" w:cs="Times New Roman"/>
                <w:b w:val="0"/>
                <w:bCs/>
                <w:color w:val="auto"/>
                <w:sz w:val="24"/>
                <w:szCs w:val="24"/>
                <w:highlight w:val="none"/>
                <w:lang w:val="en-US" w:eastAsia="zh-CN"/>
              </w:rPr>
              <w:t>项目医疗用水包括手术器械清洗用水、</w:t>
            </w:r>
            <w:r>
              <w:rPr>
                <w:rFonts w:hint="eastAsia" w:cs="Times New Roman"/>
                <w:b w:val="0"/>
                <w:bCs/>
                <w:color w:val="auto"/>
                <w:sz w:val="24"/>
                <w:szCs w:val="24"/>
                <w:highlight w:val="none"/>
                <w:lang w:val="en-US" w:eastAsia="zh-CN"/>
              </w:rPr>
              <w:t>化验用水</w:t>
            </w:r>
            <w:r>
              <w:rPr>
                <w:rFonts w:hint="default" w:ascii="Times New Roman" w:hAnsi="Times New Roman" w:cs="Times New Roman"/>
                <w:b w:val="0"/>
                <w:bCs/>
                <w:color w:val="auto"/>
                <w:sz w:val="24"/>
                <w:szCs w:val="24"/>
                <w:highlight w:val="none"/>
                <w:lang w:val="en-US" w:eastAsia="zh-CN"/>
              </w:rPr>
              <w:t>、宠物笼清洗用水、住院宠物饮用水</w:t>
            </w:r>
            <w:r>
              <w:rPr>
                <w:rFonts w:hint="eastAsia" w:cs="Times New Roman"/>
                <w:b w:val="0"/>
                <w:bCs/>
                <w:color w:val="auto"/>
                <w:sz w:val="24"/>
                <w:szCs w:val="24"/>
                <w:highlight w:val="none"/>
                <w:lang w:val="en-US" w:eastAsia="zh-CN"/>
              </w:rPr>
              <w:t>、狗隔离室洗手用水、猫隔离室洗手用水</w:t>
            </w:r>
            <w:r>
              <w:rPr>
                <w:rFonts w:hint="default" w:ascii="Times New Roman" w:hAnsi="Times New Roman" w:cs="Times New Roman"/>
                <w:b w:val="0"/>
                <w:bCs/>
                <w:color w:val="auto"/>
                <w:sz w:val="24"/>
                <w:szCs w:val="24"/>
                <w:highlight w:val="none"/>
                <w:lang w:val="en-US" w:eastAsia="zh-CN"/>
              </w:rPr>
              <w:t>。</w:t>
            </w:r>
          </w:p>
          <w:p w14:paraId="06B9E60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left"/>
              <w:textAlignment w:val="auto"/>
              <w:rPr>
                <w:rFonts w:hint="default" w:ascii="Times New Roman" w:hAnsi="Times New Roman" w:cs="Times New Roman"/>
                <w:b w:val="0"/>
                <w:bCs/>
                <w:color w:val="auto"/>
                <w:sz w:val="24"/>
                <w:szCs w:val="24"/>
                <w:highlight w:val="none"/>
                <w:lang w:val="en-US" w:eastAsia="zh-CN"/>
              </w:rPr>
            </w:pPr>
            <w:r>
              <w:rPr>
                <w:rFonts w:hint="default" w:ascii="Times New Roman" w:hAnsi="Times New Roman" w:cs="Times New Roman"/>
                <w:b/>
                <w:bCs w:val="0"/>
                <w:color w:val="auto"/>
                <w:sz w:val="24"/>
                <w:szCs w:val="24"/>
                <w:highlight w:val="none"/>
                <w:lang w:val="en-US" w:eastAsia="zh-CN"/>
              </w:rPr>
              <w:t>手术器械清洗用水：</w:t>
            </w:r>
            <w:r>
              <w:rPr>
                <w:rFonts w:hint="default" w:ascii="Times New Roman" w:hAnsi="Times New Roman" w:cs="Times New Roman"/>
                <w:b w:val="0"/>
                <w:bCs/>
                <w:color w:val="auto"/>
                <w:sz w:val="24"/>
                <w:szCs w:val="24"/>
                <w:highlight w:val="none"/>
                <w:lang w:val="en-US" w:eastAsia="zh-CN"/>
              </w:rPr>
              <w:t>根据建设单位提供资料及类比同类型宠物医院，手术器械清洗用水量约5L/台，项目每日最大手术量约</w:t>
            </w:r>
            <w:r>
              <w:rPr>
                <w:rFonts w:hint="eastAsia" w:cs="Times New Roman"/>
                <w:b w:val="0"/>
                <w:bCs/>
                <w:color w:val="auto"/>
                <w:sz w:val="24"/>
                <w:szCs w:val="24"/>
                <w:highlight w:val="none"/>
                <w:lang w:val="en-US" w:eastAsia="zh-CN"/>
              </w:rPr>
              <w:t>4</w:t>
            </w:r>
            <w:r>
              <w:rPr>
                <w:rFonts w:hint="default" w:ascii="Times New Roman" w:hAnsi="Times New Roman" w:cs="Times New Roman"/>
                <w:b w:val="0"/>
                <w:bCs/>
                <w:color w:val="auto"/>
                <w:sz w:val="24"/>
                <w:szCs w:val="24"/>
                <w:highlight w:val="none"/>
                <w:lang w:val="en-US" w:eastAsia="zh-CN"/>
              </w:rPr>
              <w:t>台，则手术器械清洗用水量约0.0</w:t>
            </w:r>
            <w:r>
              <w:rPr>
                <w:rFonts w:hint="eastAsia" w:cs="Times New Roman"/>
                <w:b w:val="0"/>
                <w:bCs/>
                <w:color w:val="auto"/>
                <w:sz w:val="24"/>
                <w:szCs w:val="24"/>
                <w:highlight w:val="none"/>
                <w:lang w:val="en-US" w:eastAsia="zh-CN"/>
              </w:rPr>
              <w:t>2</w:t>
            </w:r>
            <w:r>
              <w:rPr>
                <w:rFonts w:hint="default" w:ascii="Times New Roman" w:hAnsi="Times New Roman" w:cs="Times New Roman"/>
                <w:b w:val="0"/>
                <w:bCs/>
                <w:color w:val="auto"/>
                <w:sz w:val="24"/>
                <w:szCs w:val="24"/>
                <w:highlight w:val="none"/>
                <w:lang w:val="en-US" w:eastAsia="zh-CN"/>
              </w:rPr>
              <w:t>m</w:t>
            </w:r>
            <w:r>
              <w:rPr>
                <w:rFonts w:hint="default" w:ascii="Times New Roman" w:hAnsi="Times New Roman" w:cs="Times New Roman"/>
                <w:b w:val="0"/>
                <w:bCs/>
                <w:color w:val="auto"/>
                <w:sz w:val="24"/>
                <w:szCs w:val="24"/>
                <w:highlight w:val="none"/>
                <w:vertAlign w:val="superscript"/>
                <w:lang w:val="en-US" w:eastAsia="zh-CN"/>
              </w:rPr>
              <w:t>3</w:t>
            </w:r>
            <w:r>
              <w:rPr>
                <w:rFonts w:hint="default" w:ascii="Times New Roman" w:hAnsi="Times New Roman" w:cs="Times New Roman"/>
                <w:b w:val="0"/>
                <w:bCs/>
                <w:color w:val="auto"/>
                <w:sz w:val="24"/>
                <w:szCs w:val="24"/>
                <w:highlight w:val="none"/>
                <w:lang w:val="en-US" w:eastAsia="zh-CN"/>
              </w:rPr>
              <w:t>/d（</w:t>
            </w:r>
            <w:r>
              <w:rPr>
                <w:rFonts w:hint="eastAsia" w:cs="Times New Roman"/>
                <w:b w:val="0"/>
                <w:bCs/>
                <w:color w:val="auto"/>
                <w:sz w:val="24"/>
                <w:szCs w:val="24"/>
                <w:highlight w:val="none"/>
                <w:lang w:val="en-US" w:eastAsia="zh-CN"/>
              </w:rPr>
              <w:t>7.3</w:t>
            </w:r>
            <w:r>
              <w:rPr>
                <w:rFonts w:hint="default" w:ascii="Times New Roman" w:hAnsi="Times New Roman" w:cs="Times New Roman"/>
                <w:b w:val="0"/>
                <w:bCs/>
                <w:color w:val="auto"/>
                <w:sz w:val="24"/>
                <w:szCs w:val="24"/>
                <w:highlight w:val="none"/>
                <w:lang w:val="en-US" w:eastAsia="zh-CN"/>
              </w:rPr>
              <w:t>m</w:t>
            </w:r>
            <w:r>
              <w:rPr>
                <w:rFonts w:hint="default" w:ascii="Times New Roman" w:hAnsi="Times New Roman" w:cs="Times New Roman"/>
                <w:b w:val="0"/>
                <w:bCs/>
                <w:color w:val="auto"/>
                <w:sz w:val="24"/>
                <w:szCs w:val="24"/>
                <w:highlight w:val="none"/>
                <w:vertAlign w:val="superscript"/>
                <w:lang w:val="en-US" w:eastAsia="zh-CN"/>
              </w:rPr>
              <w:t>3</w:t>
            </w:r>
            <w:r>
              <w:rPr>
                <w:rFonts w:hint="default" w:ascii="Times New Roman" w:hAnsi="Times New Roman" w:cs="Times New Roman"/>
                <w:b w:val="0"/>
                <w:bCs/>
                <w:color w:val="auto"/>
                <w:sz w:val="24"/>
                <w:szCs w:val="24"/>
                <w:highlight w:val="none"/>
                <w:vertAlign w:val="baseline"/>
                <w:lang w:val="en-US" w:eastAsia="zh-CN"/>
              </w:rPr>
              <w:t>/</w:t>
            </w:r>
            <w:r>
              <w:rPr>
                <w:rFonts w:hint="eastAsia" w:cs="Times New Roman"/>
                <w:b w:val="0"/>
                <w:bCs/>
                <w:color w:val="auto"/>
                <w:sz w:val="24"/>
                <w:szCs w:val="24"/>
                <w:highlight w:val="none"/>
                <w:lang w:val="en-US" w:eastAsia="zh-CN"/>
              </w:rPr>
              <w:t>a</w:t>
            </w:r>
            <w:r>
              <w:rPr>
                <w:rFonts w:hint="default" w:ascii="Times New Roman" w:hAnsi="Times New Roman" w:cs="Times New Roman"/>
                <w:b w:val="0"/>
                <w:bCs/>
                <w:color w:val="auto"/>
                <w:sz w:val="24"/>
                <w:szCs w:val="24"/>
                <w:highlight w:val="none"/>
                <w:lang w:val="en-US" w:eastAsia="zh-CN"/>
              </w:rPr>
              <w:t>）。手术器械清洗废水排污系数按0.9计。</w:t>
            </w:r>
          </w:p>
          <w:p w14:paraId="0F84063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left"/>
              <w:textAlignment w:val="auto"/>
              <w:rPr>
                <w:rFonts w:hint="default" w:ascii="Times New Roman" w:hAnsi="Times New Roman" w:cs="Times New Roman"/>
                <w:b w:val="0"/>
                <w:bCs/>
                <w:color w:val="auto"/>
                <w:sz w:val="24"/>
                <w:szCs w:val="24"/>
                <w:highlight w:val="none"/>
                <w:lang w:val="en-US" w:eastAsia="zh-CN"/>
              </w:rPr>
            </w:pPr>
            <w:r>
              <w:rPr>
                <w:rFonts w:hint="eastAsia" w:cs="Times New Roman"/>
                <w:b/>
                <w:bCs w:val="0"/>
                <w:color w:val="auto"/>
                <w:sz w:val="24"/>
                <w:szCs w:val="24"/>
                <w:highlight w:val="none"/>
                <w:lang w:val="en-US" w:eastAsia="zh-CN"/>
              </w:rPr>
              <w:t>化验用水</w:t>
            </w:r>
            <w:r>
              <w:rPr>
                <w:rFonts w:hint="default" w:ascii="Times New Roman" w:hAnsi="Times New Roman" w:cs="Times New Roman"/>
                <w:b/>
                <w:bCs w:val="0"/>
                <w:color w:val="auto"/>
                <w:sz w:val="24"/>
                <w:szCs w:val="24"/>
                <w:highlight w:val="none"/>
                <w:lang w:val="en-US" w:eastAsia="zh-CN"/>
              </w:rPr>
              <w:t>：</w:t>
            </w:r>
            <w:r>
              <w:rPr>
                <w:rFonts w:hint="eastAsia" w:ascii="Times New Roman" w:hAnsi="Times New Roman" w:cs="Times New Roman"/>
                <w:b w:val="0"/>
                <w:bCs/>
                <w:color w:val="auto"/>
                <w:sz w:val="24"/>
                <w:szCs w:val="24"/>
                <w:highlight w:val="none"/>
                <w:lang w:val="en-US" w:eastAsia="zh-CN"/>
              </w:rPr>
              <w:t>化验</w:t>
            </w:r>
            <w:r>
              <w:rPr>
                <w:rFonts w:hint="default" w:ascii="Times New Roman" w:hAnsi="Times New Roman" w:cs="Times New Roman"/>
                <w:b w:val="0"/>
                <w:bCs/>
                <w:color w:val="auto"/>
                <w:sz w:val="24"/>
                <w:szCs w:val="24"/>
                <w:highlight w:val="none"/>
                <w:lang w:val="en-US" w:eastAsia="zh-CN"/>
              </w:rPr>
              <w:t>用水主要为医护人员检查、化验诊断前后的洗手用水</w:t>
            </w:r>
            <w:r>
              <w:rPr>
                <w:rFonts w:hint="eastAsia" w:ascii="Times New Roman" w:hAnsi="Times New Roman" w:cs="Times New Roman"/>
                <w:b w:val="0"/>
                <w:bCs/>
                <w:color w:val="auto"/>
                <w:sz w:val="24"/>
                <w:szCs w:val="24"/>
                <w:highlight w:val="none"/>
                <w:lang w:val="en-US" w:eastAsia="zh-CN"/>
              </w:rPr>
              <w:t>，</w:t>
            </w:r>
            <w:r>
              <w:rPr>
                <w:rFonts w:hint="default" w:ascii="Times New Roman" w:hAnsi="Times New Roman" w:cs="Times New Roman"/>
                <w:b w:val="0"/>
                <w:bCs/>
                <w:color w:val="auto"/>
                <w:sz w:val="24"/>
                <w:szCs w:val="24"/>
                <w:highlight w:val="none"/>
                <w:lang w:val="en-US" w:eastAsia="zh-CN"/>
              </w:rPr>
              <w:t>由于目前宠物医疗用水定额暂未发布相关文件，因此项目</w:t>
            </w:r>
            <w:r>
              <w:rPr>
                <w:rFonts w:hint="eastAsia" w:cs="Times New Roman"/>
                <w:b w:val="0"/>
                <w:bCs/>
                <w:color w:val="auto"/>
                <w:sz w:val="24"/>
                <w:szCs w:val="24"/>
                <w:highlight w:val="none"/>
                <w:lang w:val="en-US" w:eastAsia="zh-CN"/>
              </w:rPr>
              <w:t>化验用水</w:t>
            </w:r>
            <w:r>
              <w:rPr>
                <w:rFonts w:hint="default" w:ascii="Times New Roman" w:hAnsi="Times New Roman" w:cs="Times New Roman"/>
                <w:b w:val="0"/>
                <w:bCs/>
                <w:color w:val="auto"/>
                <w:sz w:val="24"/>
                <w:szCs w:val="24"/>
                <w:highlight w:val="none"/>
                <w:lang w:val="en-US" w:eastAsia="zh-CN"/>
              </w:rPr>
              <w:t>参照《建筑给水排水设计标准》（GB50015-2019）进行用水量核算，</w:t>
            </w:r>
            <w:r>
              <w:rPr>
                <w:rFonts w:hint="eastAsia" w:cs="Times New Roman"/>
                <w:b w:val="0"/>
                <w:bCs/>
                <w:color w:val="auto"/>
                <w:sz w:val="24"/>
                <w:szCs w:val="24"/>
                <w:highlight w:val="none"/>
                <w:lang w:val="en-US" w:eastAsia="zh-CN"/>
              </w:rPr>
              <w:t>化验用水</w:t>
            </w:r>
            <w:r>
              <w:rPr>
                <w:rFonts w:hint="default" w:ascii="Times New Roman" w:hAnsi="Times New Roman" w:cs="Times New Roman"/>
                <w:b w:val="0"/>
                <w:bCs/>
                <w:color w:val="auto"/>
                <w:sz w:val="24"/>
                <w:szCs w:val="24"/>
                <w:highlight w:val="none"/>
                <w:lang w:val="en-US" w:eastAsia="zh-CN"/>
              </w:rPr>
              <w:t>定额取人医活动用水量最大值，按每只宠物15L/d计算，项目每天最大接诊量约</w:t>
            </w:r>
            <w:r>
              <w:rPr>
                <w:rFonts w:hint="eastAsia" w:cs="Times New Roman"/>
                <w:b w:val="0"/>
                <w:bCs/>
                <w:color w:val="auto"/>
                <w:sz w:val="24"/>
                <w:szCs w:val="24"/>
                <w:highlight w:val="none"/>
                <w:lang w:val="en-US" w:eastAsia="zh-CN"/>
              </w:rPr>
              <w:t>10</w:t>
            </w:r>
            <w:r>
              <w:rPr>
                <w:rFonts w:hint="default" w:ascii="Times New Roman" w:hAnsi="Times New Roman" w:cs="Times New Roman"/>
                <w:b w:val="0"/>
                <w:bCs/>
                <w:color w:val="auto"/>
                <w:sz w:val="24"/>
                <w:szCs w:val="24"/>
                <w:highlight w:val="none"/>
                <w:lang w:val="en-US" w:eastAsia="zh-CN"/>
              </w:rPr>
              <w:t>只，即项目</w:t>
            </w:r>
            <w:r>
              <w:rPr>
                <w:rFonts w:hint="eastAsia" w:cs="Times New Roman"/>
                <w:b w:val="0"/>
                <w:bCs/>
                <w:color w:val="auto"/>
                <w:sz w:val="24"/>
                <w:szCs w:val="24"/>
                <w:highlight w:val="none"/>
                <w:lang w:val="en-US" w:eastAsia="zh-CN"/>
              </w:rPr>
              <w:t>化验用水</w:t>
            </w:r>
            <w:r>
              <w:rPr>
                <w:rFonts w:hint="default" w:ascii="Times New Roman" w:hAnsi="Times New Roman" w:cs="Times New Roman"/>
                <w:b w:val="0"/>
                <w:bCs/>
                <w:color w:val="auto"/>
                <w:sz w:val="24"/>
                <w:szCs w:val="24"/>
                <w:highlight w:val="none"/>
                <w:lang w:val="en-US" w:eastAsia="zh-CN"/>
              </w:rPr>
              <w:t>量0.</w:t>
            </w:r>
            <w:r>
              <w:rPr>
                <w:rFonts w:hint="eastAsia" w:cs="Times New Roman"/>
                <w:b w:val="0"/>
                <w:bCs/>
                <w:color w:val="auto"/>
                <w:sz w:val="24"/>
                <w:szCs w:val="24"/>
                <w:highlight w:val="none"/>
                <w:lang w:val="en-US" w:eastAsia="zh-CN"/>
              </w:rPr>
              <w:t>15</w:t>
            </w:r>
            <w:r>
              <w:rPr>
                <w:rFonts w:hint="default" w:ascii="Times New Roman" w:hAnsi="Times New Roman" w:cs="Times New Roman"/>
                <w:b w:val="0"/>
                <w:bCs/>
                <w:color w:val="auto"/>
                <w:sz w:val="24"/>
                <w:szCs w:val="24"/>
                <w:highlight w:val="none"/>
                <w:lang w:val="en-US" w:eastAsia="zh-CN"/>
              </w:rPr>
              <w:t>m</w:t>
            </w:r>
            <w:r>
              <w:rPr>
                <w:rFonts w:hint="default" w:ascii="Times New Roman" w:hAnsi="Times New Roman" w:cs="Times New Roman"/>
                <w:b w:val="0"/>
                <w:bCs/>
                <w:color w:val="auto"/>
                <w:sz w:val="24"/>
                <w:szCs w:val="24"/>
                <w:highlight w:val="none"/>
                <w:vertAlign w:val="superscript"/>
                <w:lang w:val="en-US" w:eastAsia="zh-CN"/>
              </w:rPr>
              <w:t>3</w:t>
            </w:r>
            <w:r>
              <w:rPr>
                <w:rFonts w:hint="default" w:ascii="Times New Roman" w:hAnsi="Times New Roman" w:cs="Times New Roman"/>
                <w:b w:val="0"/>
                <w:bCs/>
                <w:color w:val="auto"/>
                <w:sz w:val="24"/>
                <w:szCs w:val="24"/>
                <w:highlight w:val="none"/>
                <w:lang w:val="en-US" w:eastAsia="zh-CN"/>
              </w:rPr>
              <w:t>/d（</w:t>
            </w:r>
            <w:r>
              <w:rPr>
                <w:rFonts w:hint="eastAsia" w:cs="Times New Roman"/>
                <w:b w:val="0"/>
                <w:bCs/>
                <w:color w:val="auto"/>
                <w:sz w:val="24"/>
                <w:szCs w:val="24"/>
                <w:highlight w:val="none"/>
                <w:lang w:val="en-US" w:eastAsia="zh-CN"/>
              </w:rPr>
              <w:t>54.75</w:t>
            </w:r>
            <w:r>
              <w:rPr>
                <w:rFonts w:hint="default" w:ascii="Times New Roman" w:hAnsi="Times New Roman" w:cs="Times New Roman"/>
                <w:b w:val="0"/>
                <w:bCs/>
                <w:color w:val="auto"/>
                <w:sz w:val="24"/>
                <w:szCs w:val="24"/>
                <w:highlight w:val="none"/>
                <w:lang w:val="en-US" w:eastAsia="zh-CN"/>
              </w:rPr>
              <w:t>m</w:t>
            </w:r>
            <w:r>
              <w:rPr>
                <w:rFonts w:hint="default" w:ascii="Times New Roman" w:hAnsi="Times New Roman" w:cs="Times New Roman"/>
                <w:b w:val="0"/>
                <w:bCs/>
                <w:color w:val="auto"/>
                <w:sz w:val="24"/>
                <w:szCs w:val="24"/>
                <w:highlight w:val="none"/>
                <w:vertAlign w:val="superscript"/>
                <w:lang w:val="en-US" w:eastAsia="zh-CN"/>
              </w:rPr>
              <w:t>3</w:t>
            </w:r>
            <w:r>
              <w:rPr>
                <w:rFonts w:hint="default" w:ascii="Times New Roman" w:hAnsi="Times New Roman" w:cs="Times New Roman"/>
                <w:b w:val="0"/>
                <w:bCs/>
                <w:color w:val="auto"/>
                <w:sz w:val="24"/>
                <w:szCs w:val="24"/>
                <w:highlight w:val="none"/>
                <w:lang w:val="en-US" w:eastAsia="zh-CN"/>
              </w:rPr>
              <w:t>/a），</w:t>
            </w:r>
            <w:r>
              <w:rPr>
                <w:rFonts w:hint="eastAsia" w:cs="Times New Roman"/>
                <w:b w:val="0"/>
                <w:bCs/>
                <w:color w:val="auto"/>
                <w:sz w:val="24"/>
                <w:szCs w:val="24"/>
                <w:highlight w:val="none"/>
                <w:lang w:val="en-US" w:eastAsia="zh-CN"/>
              </w:rPr>
              <w:t>化验废水</w:t>
            </w:r>
            <w:r>
              <w:rPr>
                <w:rFonts w:hint="default" w:ascii="Times New Roman" w:hAnsi="Times New Roman" w:cs="Times New Roman"/>
                <w:b w:val="0"/>
                <w:bCs/>
                <w:color w:val="auto"/>
                <w:sz w:val="24"/>
                <w:szCs w:val="24"/>
                <w:highlight w:val="none"/>
                <w:lang w:val="en-US" w:eastAsia="zh-CN"/>
              </w:rPr>
              <w:t>排污系数按0.9计。</w:t>
            </w:r>
          </w:p>
          <w:p w14:paraId="00BA54F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left"/>
              <w:textAlignment w:val="auto"/>
              <w:rPr>
                <w:rFonts w:hint="default" w:ascii="Times New Roman" w:hAnsi="Times New Roman" w:cs="Times New Roman"/>
                <w:b w:val="0"/>
                <w:bCs/>
                <w:color w:val="auto"/>
                <w:sz w:val="24"/>
                <w:szCs w:val="24"/>
                <w:highlight w:val="none"/>
                <w:lang w:val="en-US" w:eastAsia="zh-CN"/>
              </w:rPr>
            </w:pPr>
            <w:r>
              <w:rPr>
                <w:rFonts w:hint="default" w:ascii="Times New Roman" w:hAnsi="Times New Roman" w:cs="Times New Roman"/>
                <w:b/>
                <w:bCs w:val="0"/>
                <w:color w:val="auto"/>
                <w:sz w:val="24"/>
                <w:szCs w:val="24"/>
                <w:highlight w:val="none"/>
                <w:lang w:val="en-US" w:eastAsia="zh-CN"/>
              </w:rPr>
              <w:t>宠物笼清洗用水：</w:t>
            </w:r>
            <w:r>
              <w:rPr>
                <w:rFonts w:hint="default" w:ascii="Times New Roman" w:hAnsi="Times New Roman" w:cs="Times New Roman"/>
                <w:b w:val="0"/>
                <w:bCs/>
                <w:color w:val="auto"/>
                <w:sz w:val="24"/>
                <w:szCs w:val="24"/>
                <w:highlight w:val="none"/>
                <w:lang w:val="en-US" w:eastAsia="zh-CN"/>
              </w:rPr>
              <w:t>项目宠物笼和排泄物每天需要进行清洁。根据建设单位提供资料并类比同类型宠物医院，宠物笼清洗用水量按5L/笼子计算，则项目宠物笼清洗用水量约0.</w:t>
            </w:r>
            <w:r>
              <w:rPr>
                <w:rFonts w:hint="eastAsia" w:cs="Times New Roman"/>
                <w:b w:val="0"/>
                <w:bCs/>
                <w:color w:val="auto"/>
                <w:sz w:val="24"/>
                <w:szCs w:val="24"/>
                <w:highlight w:val="none"/>
                <w:lang w:val="en-US" w:eastAsia="zh-CN"/>
              </w:rPr>
              <w:t>095</w:t>
            </w:r>
            <w:r>
              <w:rPr>
                <w:rFonts w:hint="default" w:ascii="Times New Roman" w:hAnsi="Times New Roman" w:cs="Times New Roman"/>
                <w:b w:val="0"/>
                <w:bCs/>
                <w:color w:val="auto"/>
                <w:sz w:val="24"/>
                <w:szCs w:val="24"/>
                <w:highlight w:val="none"/>
                <w:lang w:val="en-US" w:eastAsia="zh-CN"/>
              </w:rPr>
              <w:t>m</w:t>
            </w:r>
            <w:r>
              <w:rPr>
                <w:rFonts w:hint="default" w:ascii="Times New Roman" w:hAnsi="Times New Roman" w:cs="Times New Roman"/>
                <w:b w:val="0"/>
                <w:bCs/>
                <w:color w:val="auto"/>
                <w:sz w:val="24"/>
                <w:szCs w:val="24"/>
                <w:highlight w:val="none"/>
                <w:vertAlign w:val="superscript"/>
                <w:lang w:val="en-US" w:eastAsia="zh-CN"/>
              </w:rPr>
              <w:t>3</w:t>
            </w:r>
            <w:r>
              <w:rPr>
                <w:rFonts w:hint="default" w:ascii="Times New Roman" w:hAnsi="Times New Roman" w:cs="Times New Roman"/>
                <w:b w:val="0"/>
                <w:bCs/>
                <w:color w:val="auto"/>
                <w:sz w:val="24"/>
                <w:szCs w:val="24"/>
                <w:highlight w:val="none"/>
                <w:lang w:val="en-US" w:eastAsia="zh-CN"/>
              </w:rPr>
              <w:t>/d</w:t>
            </w:r>
            <w:r>
              <w:rPr>
                <w:rFonts w:hint="eastAsia" w:ascii="Times New Roman" w:hAnsi="Times New Roman" w:cs="Times New Roman"/>
                <w:b w:val="0"/>
                <w:bCs/>
                <w:color w:val="auto"/>
                <w:sz w:val="24"/>
                <w:szCs w:val="24"/>
                <w:highlight w:val="none"/>
                <w:lang w:val="en-US" w:eastAsia="zh-CN"/>
              </w:rPr>
              <w:t>（</w:t>
            </w:r>
            <w:r>
              <w:rPr>
                <w:rFonts w:hint="eastAsia" w:cs="Times New Roman"/>
                <w:b w:val="0"/>
                <w:bCs/>
                <w:color w:val="auto"/>
                <w:sz w:val="24"/>
                <w:szCs w:val="24"/>
                <w:highlight w:val="none"/>
                <w:lang w:val="en-US" w:eastAsia="zh-CN"/>
              </w:rPr>
              <w:t>34.675</w:t>
            </w:r>
            <w:r>
              <w:rPr>
                <w:rFonts w:hint="default" w:ascii="Times New Roman" w:hAnsi="Times New Roman" w:cs="Times New Roman"/>
                <w:b w:val="0"/>
                <w:bCs/>
                <w:color w:val="auto"/>
                <w:sz w:val="24"/>
                <w:szCs w:val="24"/>
                <w:highlight w:val="none"/>
                <w:lang w:val="en-US" w:eastAsia="zh-CN"/>
              </w:rPr>
              <w:t>m</w:t>
            </w:r>
            <w:r>
              <w:rPr>
                <w:rFonts w:hint="default" w:ascii="Times New Roman" w:hAnsi="Times New Roman" w:cs="Times New Roman"/>
                <w:b w:val="0"/>
                <w:bCs/>
                <w:color w:val="auto"/>
                <w:sz w:val="24"/>
                <w:szCs w:val="24"/>
                <w:highlight w:val="none"/>
                <w:vertAlign w:val="superscript"/>
                <w:lang w:val="en-US" w:eastAsia="zh-CN"/>
              </w:rPr>
              <w:t>3</w:t>
            </w:r>
            <w:r>
              <w:rPr>
                <w:rFonts w:hint="default" w:ascii="Times New Roman" w:hAnsi="Times New Roman" w:cs="Times New Roman"/>
                <w:b w:val="0"/>
                <w:bCs/>
                <w:color w:val="auto"/>
                <w:sz w:val="24"/>
                <w:szCs w:val="24"/>
                <w:highlight w:val="none"/>
                <w:vertAlign w:val="baseline"/>
                <w:lang w:val="en-US" w:eastAsia="zh-CN"/>
              </w:rPr>
              <w:t>/</w:t>
            </w:r>
            <w:r>
              <w:rPr>
                <w:rFonts w:hint="default" w:ascii="Times New Roman" w:hAnsi="Times New Roman" w:cs="Times New Roman"/>
                <w:b w:val="0"/>
                <w:bCs/>
                <w:color w:val="auto"/>
                <w:sz w:val="24"/>
                <w:szCs w:val="24"/>
                <w:highlight w:val="none"/>
                <w:lang w:val="en-US" w:eastAsia="zh-CN"/>
              </w:rPr>
              <w:t>a</w:t>
            </w:r>
            <w:r>
              <w:rPr>
                <w:rFonts w:hint="eastAsia" w:ascii="Times New Roman" w:hAnsi="Times New Roman" w:cs="Times New Roman"/>
                <w:b w:val="0"/>
                <w:bCs/>
                <w:color w:val="auto"/>
                <w:sz w:val="24"/>
                <w:szCs w:val="24"/>
                <w:highlight w:val="none"/>
                <w:lang w:val="en-US" w:eastAsia="zh-CN"/>
              </w:rPr>
              <w:t>）</w:t>
            </w:r>
            <w:r>
              <w:rPr>
                <w:rFonts w:hint="default" w:ascii="Times New Roman" w:hAnsi="Times New Roman" w:cs="Times New Roman"/>
                <w:b w:val="0"/>
                <w:bCs/>
                <w:color w:val="auto"/>
                <w:sz w:val="24"/>
                <w:szCs w:val="24"/>
                <w:highlight w:val="none"/>
                <w:lang w:val="en-US" w:eastAsia="zh-CN"/>
              </w:rPr>
              <w:t>。宠物笼清洗废水排污系数按0.9计。</w:t>
            </w:r>
          </w:p>
          <w:p w14:paraId="35E50C4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left"/>
              <w:textAlignment w:val="auto"/>
              <w:rPr>
                <w:rFonts w:hint="default" w:ascii="Times New Roman" w:hAnsi="Times New Roman" w:cs="Times New Roman"/>
                <w:b w:val="0"/>
                <w:bCs/>
                <w:color w:val="auto"/>
                <w:sz w:val="24"/>
                <w:szCs w:val="24"/>
                <w:highlight w:val="none"/>
                <w:lang w:val="en-US" w:eastAsia="zh-CN"/>
              </w:rPr>
            </w:pPr>
            <w:r>
              <w:rPr>
                <w:rFonts w:hint="default" w:ascii="Times New Roman" w:hAnsi="Times New Roman" w:cs="Times New Roman"/>
                <w:b/>
                <w:bCs w:val="0"/>
                <w:color w:val="auto"/>
                <w:sz w:val="24"/>
                <w:szCs w:val="24"/>
                <w:highlight w:val="none"/>
                <w:lang w:val="en-US" w:eastAsia="zh-CN"/>
              </w:rPr>
              <w:t>宠物饮用水：</w:t>
            </w:r>
            <w:r>
              <w:rPr>
                <w:rFonts w:hint="default" w:ascii="Times New Roman" w:hAnsi="Times New Roman" w:cs="Times New Roman"/>
                <w:b w:val="0"/>
                <w:bCs/>
                <w:color w:val="auto"/>
                <w:sz w:val="24"/>
                <w:szCs w:val="24"/>
                <w:highlight w:val="none"/>
                <w:lang w:val="en-US" w:eastAsia="zh-CN"/>
              </w:rPr>
              <w:t>项目</w:t>
            </w:r>
            <w:r>
              <w:rPr>
                <w:rFonts w:hint="eastAsia" w:ascii="Times New Roman" w:hAnsi="Times New Roman" w:cs="Times New Roman"/>
                <w:b w:val="0"/>
                <w:bCs/>
                <w:color w:val="auto"/>
                <w:sz w:val="24"/>
                <w:szCs w:val="24"/>
                <w:highlight w:val="none"/>
                <w:lang w:val="en-US" w:eastAsia="zh-CN"/>
              </w:rPr>
              <w:t>住</w:t>
            </w:r>
            <w:r>
              <w:rPr>
                <w:rFonts w:hint="eastAsia" w:cs="Times New Roman"/>
                <w:b w:val="0"/>
                <w:bCs/>
                <w:color w:val="auto"/>
                <w:sz w:val="24"/>
                <w:szCs w:val="24"/>
                <w:highlight w:val="none"/>
                <w:lang w:val="en-US" w:eastAsia="zh-CN"/>
              </w:rPr>
              <w:t>院</w:t>
            </w:r>
            <w:r>
              <w:rPr>
                <w:rFonts w:hint="default" w:ascii="Times New Roman" w:hAnsi="Times New Roman" w:cs="Times New Roman"/>
                <w:b w:val="0"/>
                <w:bCs/>
                <w:color w:val="auto"/>
                <w:sz w:val="24"/>
                <w:szCs w:val="24"/>
                <w:highlight w:val="none"/>
                <w:lang w:val="en-US" w:eastAsia="zh-CN"/>
              </w:rPr>
              <w:t>宠物最大量按</w:t>
            </w:r>
            <w:r>
              <w:rPr>
                <w:rFonts w:hint="eastAsia" w:cs="Times New Roman"/>
                <w:b w:val="0"/>
                <w:bCs/>
                <w:color w:val="auto"/>
                <w:sz w:val="24"/>
                <w:szCs w:val="24"/>
                <w:highlight w:val="none"/>
                <w:lang w:val="en-US" w:eastAsia="zh-CN"/>
              </w:rPr>
              <w:t>14</w:t>
            </w:r>
            <w:r>
              <w:rPr>
                <w:rFonts w:hint="default" w:ascii="Times New Roman" w:hAnsi="Times New Roman" w:cs="Times New Roman"/>
                <w:b w:val="0"/>
                <w:bCs/>
                <w:color w:val="auto"/>
                <w:sz w:val="24"/>
                <w:szCs w:val="24"/>
                <w:highlight w:val="none"/>
                <w:lang w:val="en-US" w:eastAsia="zh-CN"/>
              </w:rPr>
              <w:t>个/d</w:t>
            </w:r>
            <w:r>
              <w:rPr>
                <w:rFonts w:hint="eastAsia" w:cs="Times New Roman"/>
                <w:b w:val="0"/>
                <w:bCs/>
                <w:color w:val="auto"/>
                <w:sz w:val="24"/>
                <w:szCs w:val="24"/>
                <w:highlight w:val="none"/>
                <w:lang w:val="en-US" w:eastAsia="zh-CN"/>
              </w:rPr>
              <w:t>、寄养4</w:t>
            </w:r>
            <w:r>
              <w:rPr>
                <w:rFonts w:hint="default" w:ascii="Times New Roman" w:hAnsi="Times New Roman" w:cs="Times New Roman"/>
                <w:b w:val="0"/>
                <w:bCs/>
                <w:color w:val="auto"/>
                <w:sz w:val="24"/>
                <w:szCs w:val="24"/>
                <w:highlight w:val="none"/>
                <w:lang w:val="en-US" w:eastAsia="zh-CN"/>
              </w:rPr>
              <w:t>个/d进行核算，其中猫</w:t>
            </w:r>
            <w:r>
              <w:rPr>
                <w:rFonts w:hint="eastAsia" w:cs="Times New Roman"/>
                <w:b w:val="0"/>
                <w:bCs/>
                <w:color w:val="auto"/>
                <w:sz w:val="24"/>
                <w:szCs w:val="24"/>
                <w:highlight w:val="none"/>
                <w:lang w:val="en-US" w:eastAsia="zh-CN"/>
              </w:rPr>
              <w:t>10</w:t>
            </w:r>
            <w:r>
              <w:rPr>
                <w:rFonts w:hint="default" w:ascii="Times New Roman" w:hAnsi="Times New Roman" w:cs="Times New Roman"/>
                <w:b w:val="0"/>
                <w:bCs/>
                <w:color w:val="auto"/>
                <w:sz w:val="24"/>
                <w:szCs w:val="24"/>
                <w:highlight w:val="none"/>
                <w:lang w:val="en-US" w:eastAsia="zh-CN"/>
              </w:rPr>
              <w:t>个，犬</w:t>
            </w:r>
            <w:r>
              <w:rPr>
                <w:rFonts w:hint="eastAsia" w:cs="Times New Roman"/>
                <w:b w:val="0"/>
                <w:bCs/>
                <w:color w:val="auto"/>
                <w:sz w:val="24"/>
                <w:szCs w:val="24"/>
                <w:highlight w:val="none"/>
                <w:lang w:val="en-US" w:eastAsia="zh-CN"/>
              </w:rPr>
              <w:t>8</w:t>
            </w:r>
            <w:r>
              <w:rPr>
                <w:rFonts w:hint="default" w:ascii="Times New Roman" w:hAnsi="Times New Roman" w:cs="Times New Roman"/>
                <w:b w:val="0"/>
                <w:bCs/>
                <w:color w:val="auto"/>
                <w:sz w:val="24"/>
                <w:szCs w:val="24"/>
                <w:highlight w:val="none"/>
                <w:lang w:val="en-US" w:eastAsia="zh-CN"/>
              </w:rPr>
              <w:t>个。根据查询相关资料，猫每天饮用水量约40~60ml/kg，猫重量约2.5kg~8kg，项目猫饮用水量取50ml/kg，重量取平均值6kg</w:t>
            </w:r>
            <w:r>
              <w:rPr>
                <w:rFonts w:hint="eastAsia" w:ascii="Times New Roman" w:hAnsi="Times New Roman" w:cs="Times New Roman"/>
                <w:b w:val="0"/>
                <w:bCs/>
                <w:color w:val="auto"/>
                <w:sz w:val="24"/>
                <w:szCs w:val="24"/>
                <w:highlight w:val="none"/>
                <w:lang w:val="en-US" w:eastAsia="zh-CN"/>
              </w:rPr>
              <w:t>/</w:t>
            </w:r>
            <w:r>
              <w:rPr>
                <w:rFonts w:hint="default" w:ascii="Times New Roman" w:hAnsi="Times New Roman" w:cs="Times New Roman"/>
                <w:b w:val="0"/>
                <w:bCs/>
                <w:color w:val="auto"/>
                <w:sz w:val="24"/>
                <w:szCs w:val="24"/>
                <w:highlight w:val="none"/>
                <w:lang w:val="en-US" w:eastAsia="zh-CN"/>
              </w:rPr>
              <w:t>只进行计算，则猫饮用水量约0.00</w:t>
            </w:r>
            <w:r>
              <w:rPr>
                <w:rFonts w:hint="eastAsia" w:cs="Times New Roman"/>
                <w:b w:val="0"/>
                <w:bCs/>
                <w:color w:val="auto"/>
                <w:sz w:val="24"/>
                <w:szCs w:val="24"/>
                <w:highlight w:val="none"/>
                <w:lang w:val="en-US" w:eastAsia="zh-CN"/>
              </w:rPr>
              <w:t>3</w:t>
            </w:r>
            <w:r>
              <w:rPr>
                <w:rFonts w:hint="default" w:ascii="Times New Roman" w:hAnsi="Times New Roman" w:cs="Times New Roman"/>
                <w:b w:val="0"/>
                <w:bCs/>
                <w:color w:val="auto"/>
                <w:sz w:val="24"/>
                <w:szCs w:val="24"/>
                <w:highlight w:val="none"/>
                <w:lang w:val="en-US" w:eastAsia="zh-CN"/>
              </w:rPr>
              <w:t>m</w:t>
            </w:r>
            <w:r>
              <w:rPr>
                <w:rFonts w:hint="default" w:ascii="Times New Roman" w:hAnsi="Times New Roman" w:cs="Times New Roman"/>
                <w:b w:val="0"/>
                <w:bCs/>
                <w:color w:val="auto"/>
                <w:sz w:val="24"/>
                <w:szCs w:val="24"/>
                <w:highlight w:val="none"/>
                <w:vertAlign w:val="superscript"/>
                <w:lang w:val="en-US" w:eastAsia="zh-CN"/>
              </w:rPr>
              <w:t>3</w:t>
            </w:r>
            <w:r>
              <w:rPr>
                <w:rFonts w:hint="default" w:ascii="Times New Roman" w:hAnsi="Times New Roman" w:cs="Times New Roman"/>
                <w:b w:val="0"/>
                <w:bCs/>
                <w:color w:val="auto"/>
                <w:sz w:val="24"/>
                <w:szCs w:val="24"/>
                <w:highlight w:val="none"/>
                <w:lang w:val="en-US" w:eastAsia="zh-CN"/>
              </w:rPr>
              <w:t>/d（</w:t>
            </w:r>
            <w:r>
              <w:rPr>
                <w:rFonts w:hint="eastAsia" w:cs="Times New Roman"/>
                <w:b w:val="0"/>
                <w:bCs/>
                <w:color w:val="auto"/>
                <w:sz w:val="24"/>
                <w:szCs w:val="24"/>
                <w:highlight w:val="none"/>
                <w:lang w:val="en-US" w:eastAsia="zh-CN"/>
              </w:rPr>
              <w:t>1.095</w:t>
            </w:r>
            <w:r>
              <w:rPr>
                <w:rFonts w:hint="default" w:ascii="Times New Roman" w:hAnsi="Times New Roman" w:cs="Times New Roman"/>
                <w:b w:val="0"/>
                <w:bCs/>
                <w:color w:val="auto"/>
                <w:sz w:val="24"/>
                <w:szCs w:val="24"/>
                <w:highlight w:val="none"/>
                <w:lang w:val="en-US" w:eastAsia="zh-CN"/>
              </w:rPr>
              <w:t>m</w:t>
            </w:r>
            <w:r>
              <w:rPr>
                <w:rFonts w:hint="default" w:ascii="Times New Roman" w:hAnsi="Times New Roman" w:cs="Times New Roman"/>
                <w:b w:val="0"/>
                <w:bCs/>
                <w:color w:val="auto"/>
                <w:sz w:val="24"/>
                <w:szCs w:val="24"/>
                <w:highlight w:val="none"/>
                <w:vertAlign w:val="superscript"/>
                <w:lang w:val="en-US" w:eastAsia="zh-CN"/>
              </w:rPr>
              <w:t>3</w:t>
            </w:r>
            <w:r>
              <w:rPr>
                <w:rFonts w:hint="default" w:ascii="Times New Roman" w:hAnsi="Times New Roman" w:cs="Times New Roman"/>
                <w:b w:val="0"/>
                <w:bCs/>
                <w:color w:val="auto"/>
                <w:sz w:val="24"/>
                <w:szCs w:val="24"/>
                <w:highlight w:val="none"/>
                <w:lang w:val="en-US" w:eastAsia="zh-CN"/>
              </w:rPr>
              <w:t>/a）。猫的排泄物直接通过猫砂盆进行收集。</w:t>
            </w:r>
          </w:p>
          <w:p w14:paraId="4581364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cs="Times New Roman"/>
                <w:b w:val="0"/>
                <w:bCs/>
                <w:color w:val="auto"/>
                <w:sz w:val="24"/>
                <w:szCs w:val="24"/>
                <w:highlight w:val="none"/>
                <w:lang w:val="en-US" w:eastAsia="zh-CN"/>
              </w:rPr>
            </w:pPr>
            <w:r>
              <w:rPr>
                <w:rFonts w:hint="default" w:ascii="Times New Roman" w:hAnsi="Times New Roman" w:cs="Times New Roman"/>
                <w:b w:val="0"/>
                <w:bCs/>
                <w:color w:val="auto"/>
                <w:sz w:val="24"/>
                <w:szCs w:val="24"/>
                <w:highlight w:val="none"/>
                <w:lang w:val="en-US" w:eastAsia="zh-CN"/>
              </w:rPr>
              <w:t>根据查询相关资料，犬分为小型犬、中型犬、大型犬。项目接诊的小型犬体重约4~10kg/只，中型犬体重约10kg~30kg/只，大型犬体重约30kg~50kg/只，项目按照均值取各类型犬的重量，即小型犬取7kg/只，中型犬取20kg/只，大型犬取40kg/只，项目住院犬饮用水量按60ml/kg-狗进行核算。根据建设单位提供资料，项目接待的各类型犬的比例约为小型犬：中型犬：大型犬=</w:t>
            </w:r>
            <w:r>
              <w:rPr>
                <w:rFonts w:hint="eastAsia" w:cs="Times New Roman"/>
                <w:b w:val="0"/>
                <w:bCs/>
                <w:color w:val="auto"/>
                <w:sz w:val="24"/>
                <w:szCs w:val="24"/>
                <w:highlight w:val="none"/>
                <w:lang w:val="en-US" w:eastAsia="zh-CN"/>
              </w:rPr>
              <w:t>10</w:t>
            </w:r>
            <w:r>
              <w:rPr>
                <w:rFonts w:hint="default" w:ascii="Times New Roman" w:hAnsi="Times New Roman" w:cs="Times New Roman"/>
                <w:b w:val="0"/>
                <w:bCs/>
                <w:color w:val="auto"/>
                <w:sz w:val="24"/>
                <w:szCs w:val="24"/>
                <w:highlight w:val="none"/>
                <w:lang w:val="en-US" w:eastAsia="zh-CN"/>
              </w:rPr>
              <w:t>：</w:t>
            </w:r>
            <w:r>
              <w:rPr>
                <w:rFonts w:hint="eastAsia" w:cs="Times New Roman"/>
                <w:b w:val="0"/>
                <w:bCs/>
                <w:color w:val="auto"/>
                <w:sz w:val="24"/>
                <w:szCs w:val="24"/>
                <w:highlight w:val="none"/>
                <w:lang w:val="en-US" w:eastAsia="zh-CN"/>
              </w:rPr>
              <w:t>4</w:t>
            </w:r>
            <w:r>
              <w:rPr>
                <w:rFonts w:hint="default" w:ascii="Times New Roman" w:hAnsi="Times New Roman" w:cs="Times New Roman"/>
                <w:b w:val="0"/>
                <w:bCs/>
                <w:color w:val="auto"/>
                <w:sz w:val="24"/>
                <w:szCs w:val="24"/>
                <w:highlight w:val="none"/>
                <w:lang w:val="en-US" w:eastAsia="zh-CN"/>
              </w:rPr>
              <w:t>：</w:t>
            </w:r>
            <w:r>
              <w:rPr>
                <w:rFonts w:hint="eastAsia" w:cs="Times New Roman"/>
                <w:b w:val="0"/>
                <w:bCs/>
                <w:color w:val="auto"/>
                <w:sz w:val="24"/>
                <w:szCs w:val="24"/>
                <w:highlight w:val="none"/>
                <w:lang w:val="en-US" w:eastAsia="zh-CN"/>
              </w:rPr>
              <w:t>2</w:t>
            </w:r>
            <w:r>
              <w:rPr>
                <w:rFonts w:hint="default" w:ascii="Times New Roman" w:hAnsi="Times New Roman" w:cs="Times New Roman"/>
                <w:b w:val="0"/>
                <w:bCs/>
                <w:color w:val="auto"/>
                <w:sz w:val="24"/>
                <w:szCs w:val="24"/>
                <w:highlight w:val="none"/>
                <w:lang w:val="en-US" w:eastAsia="zh-CN"/>
              </w:rPr>
              <w:t>，则项目每天</w:t>
            </w:r>
            <w:r>
              <w:rPr>
                <w:rFonts w:hint="eastAsia" w:ascii="Times New Roman" w:hAnsi="Times New Roman" w:cs="Times New Roman"/>
                <w:b w:val="0"/>
                <w:bCs/>
                <w:color w:val="auto"/>
                <w:sz w:val="24"/>
                <w:szCs w:val="24"/>
                <w:highlight w:val="none"/>
                <w:lang w:val="en-US" w:eastAsia="zh-CN"/>
              </w:rPr>
              <w:t>住宿</w:t>
            </w:r>
            <w:r>
              <w:rPr>
                <w:rFonts w:hint="default" w:ascii="Times New Roman" w:hAnsi="Times New Roman" w:cs="Times New Roman"/>
                <w:b w:val="0"/>
                <w:bCs/>
                <w:color w:val="auto"/>
                <w:sz w:val="24"/>
                <w:szCs w:val="24"/>
                <w:highlight w:val="none"/>
                <w:lang w:val="en-US" w:eastAsia="zh-CN"/>
              </w:rPr>
              <w:t>宠物的小型犬约</w:t>
            </w:r>
            <w:r>
              <w:rPr>
                <w:rFonts w:hint="eastAsia" w:cs="Times New Roman"/>
                <w:b w:val="0"/>
                <w:bCs/>
                <w:color w:val="auto"/>
                <w:sz w:val="24"/>
                <w:szCs w:val="24"/>
                <w:highlight w:val="none"/>
                <w:lang w:val="en-US" w:eastAsia="zh-CN"/>
              </w:rPr>
              <w:t>5</w:t>
            </w:r>
            <w:r>
              <w:rPr>
                <w:rFonts w:hint="default" w:ascii="Times New Roman" w:hAnsi="Times New Roman" w:cs="Times New Roman"/>
                <w:b w:val="0"/>
                <w:bCs/>
                <w:color w:val="auto"/>
                <w:sz w:val="24"/>
                <w:szCs w:val="24"/>
                <w:highlight w:val="none"/>
                <w:lang w:val="en-US" w:eastAsia="zh-CN"/>
              </w:rPr>
              <w:t>只，中型犬约</w:t>
            </w:r>
            <w:r>
              <w:rPr>
                <w:rFonts w:hint="eastAsia" w:cs="Times New Roman"/>
                <w:b w:val="0"/>
                <w:bCs/>
                <w:color w:val="auto"/>
                <w:sz w:val="24"/>
                <w:szCs w:val="24"/>
                <w:highlight w:val="none"/>
                <w:lang w:val="en-US" w:eastAsia="zh-CN"/>
              </w:rPr>
              <w:t>2</w:t>
            </w:r>
            <w:r>
              <w:rPr>
                <w:rFonts w:hint="default" w:ascii="Times New Roman" w:hAnsi="Times New Roman" w:cs="Times New Roman"/>
                <w:b w:val="0"/>
                <w:bCs/>
                <w:color w:val="auto"/>
                <w:sz w:val="24"/>
                <w:szCs w:val="24"/>
                <w:highlight w:val="none"/>
                <w:lang w:val="en-US" w:eastAsia="zh-CN"/>
              </w:rPr>
              <w:t>只，大型犬约</w:t>
            </w:r>
            <w:r>
              <w:rPr>
                <w:rFonts w:hint="eastAsia" w:cs="Times New Roman"/>
                <w:b w:val="0"/>
                <w:bCs/>
                <w:color w:val="auto"/>
                <w:sz w:val="24"/>
                <w:szCs w:val="24"/>
                <w:highlight w:val="none"/>
                <w:lang w:val="en-US" w:eastAsia="zh-CN"/>
              </w:rPr>
              <w:t>1</w:t>
            </w:r>
            <w:r>
              <w:rPr>
                <w:rFonts w:hint="default" w:ascii="Times New Roman" w:hAnsi="Times New Roman" w:cs="Times New Roman"/>
                <w:b w:val="0"/>
                <w:bCs/>
                <w:color w:val="auto"/>
                <w:sz w:val="24"/>
                <w:szCs w:val="24"/>
                <w:highlight w:val="none"/>
                <w:lang w:val="en-US" w:eastAsia="zh-CN"/>
              </w:rPr>
              <w:t>只。则</w:t>
            </w:r>
            <w:r>
              <w:rPr>
                <w:rFonts w:hint="eastAsia" w:ascii="Times New Roman" w:hAnsi="Times New Roman" w:cs="Times New Roman"/>
                <w:b w:val="0"/>
                <w:bCs/>
                <w:color w:val="auto"/>
                <w:sz w:val="24"/>
                <w:szCs w:val="24"/>
                <w:highlight w:val="none"/>
                <w:lang w:val="en-US" w:eastAsia="zh-CN"/>
              </w:rPr>
              <w:t>住宿</w:t>
            </w:r>
            <w:r>
              <w:rPr>
                <w:rFonts w:hint="default" w:ascii="Times New Roman" w:hAnsi="Times New Roman" w:cs="Times New Roman"/>
                <w:b w:val="0"/>
                <w:bCs/>
                <w:color w:val="auto"/>
                <w:sz w:val="24"/>
                <w:szCs w:val="24"/>
                <w:highlight w:val="none"/>
                <w:lang w:val="en-US" w:eastAsia="zh-CN"/>
              </w:rPr>
              <w:t>宠物小型</w:t>
            </w:r>
            <w:r>
              <w:rPr>
                <w:rFonts w:hint="eastAsia" w:ascii="Times New Roman" w:hAnsi="Times New Roman" w:cs="Times New Roman"/>
                <w:b w:val="0"/>
                <w:bCs/>
                <w:color w:val="auto"/>
                <w:sz w:val="24"/>
                <w:szCs w:val="24"/>
                <w:highlight w:val="none"/>
                <w:lang w:val="en-US" w:eastAsia="zh-CN"/>
              </w:rPr>
              <w:t>犬</w:t>
            </w:r>
            <w:r>
              <w:rPr>
                <w:rFonts w:hint="default" w:ascii="Times New Roman" w:hAnsi="Times New Roman" w:cs="Times New Roman"/>
                <w:b w:val="0"/>
                <w:bCs/>
                <w:color w:val="auto"/>
                <w:sz w:val="24"/>
                <w:szCs w:val="24"/>
                <w:highlight w:val="none"/>
                <w:lang w:val="en-US" w:eastAsia="zh-CN"/>
              </w:rPr>
              <w:t>用水量约</w:t>
            </w:r>
            <w:r>
              <w:rPr>
                <w:rFonts w:hint="eastAsia" w:ascii="Times New Roman" w:hAnsi="Times New Roman" w:cs="Times New Roman"/>
                <w:b w:val="0"/>
                <w:bCs/>
                <w:color w:val="auto"/>
                <w:sz w:val="24"/>
                <w:szCs w:val="24"/>
                <w:highlight w:val="none"/>
                <w:lang w:val="en-US" w:eastAsia="zh-CN"/>
              </w:rPr>
              <w:t>0.00</w:t>
            </w:r>
            <w:r>
              <w:rPr>
                <w:rFonts w:hint="eastAsia" w:cs="Times New Roman"/>
                <w:b w:val="0"/>
                <w:bCs/>
                <w:color w:val="auto"/>
                <w:sz w:val="24"/>
                <w:szCs w:val="24"/>
                <w:highlight w:val="none"/>
                <w:lang w:val="en-US" w:eastAsia="zh-CN"/>
              </w:rPr>
              <w:t>21</w:t>
            </w:r>
            <w:r>
              <w:rPr>
                <w:rFonts w:hint="default" w:ascii="Times New Roman" w:hAnsi="Times New Roman" w:cs="Times New Roman"/>
                <w:b w:val="0"/>
                <w:bCs/>
                <w:color w:val="auto"/>
                <w:sz w:val="24"/>
                <w:szCs w:val="24"/>
                <w:highlight w:val="none"/>
                <w:lang w:val="en-US" w:eastAsia="zh-CN"/>
              </w:rPr>
              <w:t>m</w:t>
            </w:r>
            <w:r>
              <w:rPr>
                <w:rFonts w:hint="default" w:ascii="Times New Roman" w:hAnsi="Times New Roman" w:cs="Times New Roman"/>
                <w:b w:val="0"/>
                <w:bCs/>
                <w:color w:val="auto"/>
                <w:sz w:val="24"/>
                <w:szCs w:val="24"/>
                <w:highlight w:val="none"/>
                <w:vertAlign w:val="superscript"/>
                <w:lang w:val="en-US" w:eastAsia="zh-CN"/>
              </w:rPr>
              <w:t>3</w:t>
            </w:r>
            <w:r>
              <w:rPr>
                <w:rFonts w:hint="default" w:ascii="Times New Roman" w:hAnsi="Times New Roman" w:cs="Times New Roman"/>
                <w:b w:val="0"/>
                <w:bCs/>
                <w:color w:val="auto"/>
                <w:sz w:val="24"/>
                <w:szCs w:val="24"/>
                <w:highlight w:val="none"/>
                <w:lang w:val="en-US" w:eastAsia="zh-CN"/>
              </w:rPr>
              <w:t>/d（</w:t>
            </w:r>
            <w:r>
              <w:rPr>
                <w:rFonts w:hint="eastAsia" w:cs="Times New Roman"/>
                <w:b w:val="0"/>
                <w:bCs/>
                <w:color w:val="auto"/>
                <w:sz w:val="24"/>
                <w:szCs w:val="24"/>
                <w:highlight w:val="none"/>
                <w:lang w:val="en-US" w:eastAsia="zh-CN"/>
              </w:rPr>
              <w:t>0.7665</w:t>
            </w:r>
            <w:r>
              <w:rPr>
                <w:rFonts w:hint="default" w:ascii="Times New Roman" w:hAnsi="Times New Roman" w:cs="Times New Roman"/>
                <w:b w:val="0"/>
                <w:bCs/>
                <w:color w:val="auto"/>
                <w:sz w:val="24"/>
                <w:szCs w:val="24"/>
                <w:highlight w:val="none"/>
                <w:lang w:val="en-US" w:eastAsia="zh-CN"/>
              </w:rPr>
              <w:t>m</w:t>
            </w:r>
            <w:r>
              <w:rPr>
                <w:rFonts w:hint="default" w:ascii="Times New Roman" w:hAnsi="Times New Roman" w:cs="Times New Roman"/>
                <w:b w:val="0"/>
                <w:bCs/>
                <w:color w:val="auto"/>
                <w:sz w:val="24"/>
                <w:szCs w:val="24"/>
                <w:highlight w:val="none"/>
                <w:vertAlign w:val="superscript"/>
                <w:lang w:val="en-US" w:eastAsia="zh-CN"/>
              </w:rPr>
              <w:t>3</w:t>
            </w:r>
            <w:r>
              <w:rPr>
                <w:rFonts w:hint="default" w:ascii="Times New Roman" w:hAnsi="Times New Roman" w:cs="Times New Roman"/>
                <w:b w:val="0"/>
                <w:bCs/>
                <w:color w:val="auto"/>
                <w:sz w:val="24"/>
                <w:szCs w:val="24"/>
                <w:highlight w:val="none"/>
                <w:lang w:val="en-US" w:eastAsia="zh-CN"/>
              </w:rPr>
              <w:t>/a），中型</w:t>
            </w:r>
            <w:r>
              <w:rPr>
                <w:rFonts w:hint="eastAsia" w:ascii="Times New Roman" w:hAnsi="Times New Roman" w:cs="Times New Roman"/>
                <w:b w:val="0"/>
                <w:bCs/>
                <w:color w:val="auto"/>
                <w:sz w:val="24"/>
                <w:szCs w:val="24"/>
                <w:highlight w:val="none"/>
                <w:lang w:val="en-US" w:eastAsia="zh-CN"/>
              </w:rPr>
              <w:t>犬</w:t>
            </w:r>
            <w:r>
              <w:rPr>
                <w:rFonts w:hint="default" w:ascii="Times New Roman" w:hAnsi="Times New Roman" w:cs="Times New Roman"/>
                <w:b w:val="0"/>
                <w:bCs/>
                <w:color w:val="auto"/>
                <w:sz w:val="24"/>
                <w:szCs w:val="24"/>
                <w:highlight w:val="none"/>
                <w:lang w:val="en-US" w:eastAsia="zh-CN"/>
              </w:rPr>
              <w:t>用水量约</w:t>
            </w:r>
            <w:r>
              <w:rPr>
                <w:rFonts w:hint="eastAsia" w:cs="Times New Roman"/>
                <w:b w:val="0"/>
                <w:bCs/>
                <w:color w:val="auto"/>
                <w:sz w:val="24"/>
                <w:szCs w:val="24"/>
                <w:highlight w:val="none"/>
                <w:lang w:val="en-US" w:eastAsia="zh-CN"/>
              </w:rPr>
              <w:t>0.0024</w:t>
            </w:r>
            <w:r>
              <w:rPr>
                <w:rFonts w:hint="default" w:ascii="Times New Roman" w:hAnsi="Times New Roman" w:cs="Times New Roman"/>
                <w:b w:val="0"/>
                <w:bCs/>
                <w:color w:val="auto"/>
                <w:sz w:val="24"/>
                <w:szCs w:val="24"/>
                <w:highlight w:val="none"/>
                <w:lang w:val="en-US" w:eastAsia="zh-CN"/>
              </w:rPr>
              <w:t>m</w:t>
            </w:r>
            <w:r>
              <w:rPr>
                <w:rFonts w:hint="default" w:ascii="Times New Roman" w:hAnsi="Times New Roman" w:cs="Times New Roman"/>
                <w:b w:val="0"/>
                <w:bCs/>
                <w:color w:val="auto"/>
                <w:sz w:val="24"/>
                <w:szCs w:val="24"/>
                <w:highlight w:val="none"/>
                <w:vertAlign w:val="superscript"/>
                <w:lang w:val="en-US" w:eastAsia="zh-CN"/>
              </w:rPr>
              <w:t>3</w:t>
            </w:r>
            <w:r>
              <w:rPr>
                <w:rFonts w:hint="default" w:ascii="Times New Roman" w:hAnsi="Times New Roman" w:cs="Times New Roman"/>
                <w:b w:val="0"/>
                <w:bCs/>
                <w:color w:val="auto"/>
                <w:sz w:val="24"/>
                <w:szCs w:val="24"/>
                <w:highlight w:val="none"/>
                <w:lang w:val="en-US" w:eastAsia="zh-CN"/>
              </w:rPr>
              <w:t>/d（</w:t>
            </w:r>
            <w:r>
              <w:rPr>
                <w:rFonts w:hint="eastAsia" w:cs="Times New Roman"/>
                <w:b w:val="0"/>
                <w:bCs/>
                <w:color w:val="auto"/>
                <w:sz w:val="24"/>
                <w:szCs w:val="24"/>
                <w:highlight w:val="none"/>
                <w:lang w:val="en-US" w:eastAsia="zh-CN"/>
              </w:rPr>
              <w:t>0.876</w:t>
            </w:r>
            <w:r>
              <w:rPr>
                <w:rFonts w:hint="default" w:ascii="Times New Roman" w:hAnsi="Times New Roman" w:cs="Times New Roman"/>
                <w:b w:val="0"/>
                <w:bCs/>
                <w:color w:val="auto"/>
                <w:sz w:val="24"/>
                <w:szCs w:val="24"/>
                <w:highlight w:val="none"/>
                <w:lang w:val="en-US" w:eastAsia="zh-CN"/>
              </w:rPr>
              <w:t>m</w:t>
            </w:r>
            <w:r>
              <w:rPr>
                <w:rFonts w:hint="default" w:ascii="Times New Roman" w:hAnsi="Times New Roman" w:cs="Times New Roman"/>
                <w:b w:val="0"/>
                <w:bCs/>
                <w:color w:val="auto"/>
                <w:sz w:val="24"/>
                <w:szCs w:val="24"/>
                <w:highlight w:val="none"/>
                <w:vertAlign w:val="superscript"/>
                <w:lang w:val="en-US" w:eastAsia="zh-CN"/>
              </w:rPr>
              <w:t>3</w:t>
            </w:r>
            <w:r>
              <w:rPr>
                <w:rFonts w:hint="default" w:ascii="Times New Roman" w:hAnsi="Times New Roman" w:cs="Times New Roman"/>
                <w:b w:val="0"/>
                <w:bCs/>
                <w:color w:val="auto"/>
                <w:sz w:val="24"/>
                <w:szCs w:val="24"/>
                <w:highlight w:val="none"/>
                <w:lang w:val="en-US" w:eastAsia="zh-CN"/>
              </w:rPr>
              <w:t>/a），大型</w:t>
            </w:r>
            <w:r>
              <w:rPr>
                <w:rFonts w:hint="eastAsia" w:ascii="Times New Roman" w:hAnsi="Times New Roman" w:cs="Times New Roman"/>
                <w:b w:val="0"/>
                <w:bCs/>
                <w:color w:val="auto"/>
                <w:sz w:val="24"/>
                <w:szCs w:val="24"/>
                <w:highlight w:val="none"/>
                <w:lang w:val="en-US" w:eastAsia="zh-CN"/>
              </w:rPr>
              <w:t>犬</w:t>
            </w:r>
            <w:r>
              <w:rPr>
                <w:rFonts w:hint="default" w:ascii="Times New Roman" w:hAnsi="Times New Roman" w:cs="Times New Roman"/>
                <w:b w:val="0"/>
                <w:bCs/>
                <w:color w:val="auto"/>
                <w:sz w:val="24"/>
                <w:szCs w:val="24"/>
                <w:highlight w:val="none"/>
                <w:lang w:val="en-US" w:eastAsia="zh-CN"/>
              </w:rPr>
              <w:t>用水量约</w:t>
            </w:r>
            <w:r>
              <w:rPr>
                <w:rFonts w:hint="eastAsia" w:cs="Times New Roman"/>
                <w:b w:val="0"/>
                <w:bCs/>
                <w:color w:val="auto"/>
                <w:sz w:val="24"/>
                <w:szCs w:val="24"/>
                <w:highlight w:val="none"/>
                <w:lang w:val="en-US" w:eastAsia="zh-CN"/>
              </w:rPr>
              <w:t>0.0024</w:t>
            </w:r>
            <w:r>
              <w:rPr>
                <w:rFonts w:hint="default" w:ascii="Times New Roman" w:hAnsi="Times New Roman" w:cs="Times New Roman"/>
                <w:b w:val="0"/>
                <w:bCs/>
                <w:color w:val="auto"/>
                <w:sz w:val="24"/>
                <w:szCs w:val="24"/>
                <w:highlight w:val="none"/>
                <w:lang w:val="en-US" w:eastAsia="zh-CN"/>
              </w:rPr>
              <w:t>m</w:t>
            </w:r>
            <w:r>
              <w:rPr>
                <w:rFonts w:hint="default" w:ascii="Times New Roman" w:hAnsi="Times New Roman" w:cs="Times New Roman"/>
                <w:b w:val="0"/>
                <w:bCs/>
                <w:color w:val="auto"/>
                <w:sz w:val="24"/>
                <w:szCs w:val="24"/>
                <w:highlight w:val="none"/>
                <w:vertAlign w:val="superscript"/>
                <w:lang w:val="en-US" w:eastAsia="zh-CN"/>
              </w:rPr>
              <w:t>3</w:t>
            </w:r>
            <w:r>
              <w:rPr>
                <w:rFonts w:hint="default" w:ascii="Times New Roman" w:hAnsi="Times New Roman" w:cs="Times New Roman"/>
                <w:b w:val="0"/>
                <w:bCs/>
                <w:color w:val="auto"/>
                <w:sz w:val="24"/>
                <w:szCs w:val="24"/>
                <w:highlight w:val="none"/>
                <w:lang w:val="en-US" w:eastAsia="zh-CN"/>
              </w:rPr>
              <w:t>/d（</w:t>
            </w:r>
            <w:r>
              <w:rPr>
                <w:rFonts w:hint="eastAsia" w:cs="Times New Roman"/>
                <w:b w:val="0"/>
                <w:bCs/>
                <w:color w:val="auto"/>
                <w:sz w:val="24"/>
                <w:szCs w:val="24"/>
                <w:highlight w:val="none"/>
                <w:lang w:val="en-US" w:eastAsia="zh-CN"/>
              </w:rPr>
              <w:t>0.876</w:t>
            </w:r>
            <w:r>
              <w:rPr>
                <w:rFonts w:hint="default" w:ascii="Times New Roman" w:hAnsi="Times New Roman" w:cs="Times New Roman"/>
                <w:b w:val="0"/>
                <w:bCs/>
                <w:color w:val="auto"/>
                <w:sz w:val="24"/>
                <w:szCs w:val="24"/>
                <w:highlight w:val="none"/>
                <w:lang w:val="en-US" w:eastAsia="zh-CN"/>
              </w:rPr>
              <w:t>m</w:t>
            </w:r>
            <w:r>
              <w:rPr>
                <w:rFonts w:hint="default" w:ascii="Times New Roman" w:hAnsi="Times New Roman" w:cs="Times New Roman"/>
                <w:b w:val="0"/>
                <w:bCs/>
                <w:color w:val="auto"/>
                <w:sz w:val="24"/>
                <w:szCs w:val="24"/>
                <w:highlight w:val="none"/>
                <w:vertAlign w:val="superscript"/>
                <w:lang w:val="en-US" w:eastAsia="zh-CN"/>
              </w:rPr>
              <w:t>3</w:t>
            </w:r>
            <w:r>
              <w:rPr>
                <w:rFonts w:hint="default" w:ascii="Times New Roman" w:hAnsi="Times New Roman" w:cs="Times New Roman"/>
                <w:b w:val="0"/>
                <w:bCs/>
                <w:color w:val="auto"/>
                <w:sz w:val="24"/>
                <w:szCs w:val="24"/>
                <w:highlight w:val="none"/>
                <w:lang w:val="en-US" w:eastAsia="zh-CN"/>
              </w:rPr>
              <w:t>/a）。</w:t>
            </w:r>
          </w:p>
          <w:p w14:paraId="1957478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b w:val="0"/>
                <w:bCs/>
                <w:sz w:val="24"/>
                <w:szCs w:val="24"/>
                <w:highlight w:val="none"/>
                <w:lang w:val="en-US" w:eastAsia="zh-CN"/>
              </w:rPr>
            </w:pPr>
            <w:r>
              <w:rPr>
                <w:rFonts w:hint="eastAsia" w:ascii="Times New Roman" w:hAnsi="Times New Roman" w:eastAsia="宋体" w:cs="Times New Roman"/>
                <w:color w:val="auto"/>
                <w:sz w:val="24"/>
                <w:szCs w:val="24"/>
                <w:lang w:val="en-US" w:eastAsia="zh-CN"/>
              </w:rPr>
              <w:t>门诊饮水按</w:t>
            </w:r>
            <w:r>
              <w:rPr>
                <w:rFonts w:hint="eastAsia" w:ascii="Times New Roman" w:hAnsi="Times New Roman" w:eastAsia="宋体" w:cs="Times New Roman"/>
                <w:b w:val="0"/>
                <w:bCs w:val="0"/>
                <w:color w:val="000000"/>
                <w:kern w:val="2"/>
                <w:sz w:val="24"/>
                <w:szCs w:val="24"/>
                <w:lang w:val="en-US" w:eastAsia="zh-CN" w:bidi="ar-SA"/>
              </w:rPr>
              <w:t>30</w:t>
            </w:r>
            <w:r>
              <w:rPr>
                <w:rFonts w:hint="eastAsia" w:cs="Times New Roman"/>
                <w:b w:val="0"/>
                <w:bCs w:val="0"/>
                <w:color w:val="000000"/>
                <w:kern w:val="2"/>
                <w:sz w:val="24"/>
                <w:szCs w:val="24"/>
                <w:lang w:val="en-US" w:eastAsia="zh-CN" w:bidi="ar-SA"/>
              </w:rPr>
              <w:t>0</w:t>
            </w:r>
            <w:r>
              <w:rPr>
                <w:rFonts w:hint="eastAsia" w:ascii="Times New Roman" w:hAnsi="Times New Roman" w:eastAsia="宋体" w:cs="Times New Roman"/>
                <w:b w:val="0"/>
                <w:bCs w:val="0"/>
                <w:color w:val="000000"/>
                <w:kern w:val="2"/>
                <w:sz w:val="24"/>
                <w:szCs w:val="24"/>
                <w:lang w:val="en-US" w:eastAsia="zh-CN" w:bidi="ar-SA"/>
              </w:rPr>
              <w:t>mL/只</w:t>
            </w:r>
            <w:r>
              <w:rPr>
                <w:rFonts w:hint="default" w:ascii="Times New Roman" w:hAnsi="Times New Roman" w:eastAsia="宋体" w:cs="Times New Roman"/>
                <w:color w:val="auto"/>
                <w:sz w:val="24"/>
                <w:szCs w:val="24"/>
              </w:rPr>
              <w:t>·d计</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每天最多接诊宠物数量为10只，则接诊宠物饮水量为</w:t>
            </w:r>
            <w:r>
              <w:rPr>
                <w:rFonts w:hint="default" w:ascii="Times New Roman" w:hAnsi="Times New Roman" w:cs="Times New Roman"/>
                <w:b w:val="0"/>
                <w:bCs/>
                <w:sz w:val="24"/>
                <w:szCs w:val="24"/>
                <w:highlight w:val="none"/>
                <w:lang w:val="en-US" w:eastAsia="zh-CN"/>
              </w:rPr>
              <w:t>0.00</w:t>
            </w:r>
            <w:r>
              <w:rPr>
                <w:rFonts w:hint="eastAsia" w:cs="Times New Roman"/>
                <w:b w:val="0"/>
                <w:bCs/>
                <w:sz w:val="24"/>
                <w:szCs w:val="24"/>
                <w:highlight w:val="none"/>
                <w:lang w:val="en-US" w:eastAsia="zh-CN"/>
              </w:rPr>
              <w:t>3</w:t>
            </w:r>
            <w:r>
              <w:rPr>
                <w:rFonts w:hint="default" w:ascii="Times New Roman" w:hAnsi="Times New Roman" w:cs="Times New Roman"/>
                <w:b w:val="0"/>
                <w:bCs/>
                <w:sz w:val="24"/>
                <w:szCs w:val="24"/>
                <w:highlight w:val="none"/>
                <w:lang w:val="en-US" w:eastAsia="zh-CN"/>
              </w:rPr>
              <w:t>m</w:t>
            </w:r>
            <w:r>
              <w:rPr>
                <w:rFonts w:hint="default" w:ascii="Times New Roman" w:hAnsi="Times New Roman" w:cs="Times New Roman"/>
                <w:b w:val="0"/>
                <w:bCs/>
                <w:sz w:val="24"/>
                <w:szCs w:val="24"/>
                <w:highlight w:val="none"/>
                <w:vertAlign w:val="superscript"/>
                <w:lang w:val="en-US" w:eastAsia="zh-CN"/>
              </w:rPr>
              <w:t>3</w:t>
            </w:r>
            <w:r>
              <w:rPr>
                <w:rFonts w:hint="default" w:ascii="Times New Roman" w:hAnsi="Times New Roman" w:cs="Times New Roman"/>
                <w:b w:val="0"/>
                <w:bCs/>
                <w:sz w:val="24"/>
                <w:szCs w:val="24"/>
                <w:highlight w:val="none"/>
                <w:lang w:val="en-US" w:eastAsia="zh-CN"/>
              </w:rPr>
              <w:t>/d</w:t>
            </w:r>
            <w:r>
              <w:rPr>
                <w:rFonts w:hint="eastAsia" w:ascii="Times New Roman" w:hAnsi="Times New Roman" w:cs="Times New Roman"/>
                <w:b w:val="0"/>
                <w:bCs/>
                <w:sz w:val="24"/>
                <w:szCs w:val="24"/>
                <w:highlight w:val="none"/>
                <w:lang w:val="en-US" w:eastAsia="zh-CN"/>
              </w:rPr>
              <w:t>（</w:t>
            </w:r>
            <w:r>
              <w:rPr>
                <w:rFonts w:hint="eastAsia" w:cs="Times New Roman"/>
                <w:b w:val="0"/>
                <w:bCs/>
                <w:sz w:val="24"/>
                <w:szCs w:val="24"/>
                <w:highlight w:val="none"/>
                <w:lang w:val="en-US" w:eastAsia="zh-CN"/>
              </w:rPr>
              <w:t>1.0</w:t>
            </w:r>
            <w:r>
              <w:rPr>
                <w:rFonts w:hint="eastAsia" w:ascii="Times New Roman" w:hAnsi="Times New Roman" w:cs="Times New Roman"/>
                <w:b w:val="0"/>
                <w:bCs/>
                <w:sz w:val="24"/>
                <w:szCs w:val="24"/>
                <w:highlight w:val="none"/>
                <w:lang w:val="en-US" w:eastAsia="zh-CN"/>
              </w:rPr>
              <w:t>95</w:t>
            </w:r>
            <w:r>
              <w:rPr>
                <w:rFonts w:hint="default" w:ascii="Times New Roman" w:hAnsi="Times New Roman" w:cs="Times New Roman"/>
                <w:b w:val="0"/>
                <w:bCs/>
                <w:sz w:val="24"/>
                <w:szCs w:val="24"/>
                <w:highlight w:val="none"/>
                <w:lang w:val="en-US" w:eastAsia="zh-CN"/>
              </w:rPr>
              <w:t>m</w:t>
            </w:r>
            <w:r>
              <w:rPr>
                <w:rFonts w:hint="default" w:ascii="Times New Roman" w:hAnsi="Times New Roman" w:cs="Times New Roman"/>
                <w:b w:val="0"/>
                <w:bCs/>
                <w:sz w:val="24"/>
                <w:szCs w:val="24"/>
                <w:highlight w:val="none"/>
                <w:vertAlign w:val="superscript"/>
                <w:lang w:val="en-US" w:eastAsia="zh-CN"/>
              </w:rPr>
              <w:t>3</w:t>
            </w:r>
            <w:r>
              <w:rPr>
                <w:rFonts w:hint="default" w:ascii="Times New Roman" w:hAnsi="Times New Roman" w:cs="Times New Roman"/>
                <w:b w:val="0"/>
                <w:bCs/>
                <w:sz w:val="24"/>
                <w:szCs w:val="24"/>
                <w:highlight w:val="none"/>
                <w:lang w:val="en-US" w:eastAsia="zh-CN"/>
              </w:rPr>
              <w:t>/a</w:t>
            </w:r>
            <w:r>
              <w:rPr>
                <w:rFonts w:hint="eastAsia" w:ascii="Times New Roman" w:hAnsi="Times New Roman" w:cs="Times New Roman"/>
                <w:b w:val="0"/>
                <w:bCs/>
                <w:sz w:val="24"/>
                <w:szCs w:val="24"/>
                <w:highlight w:val="none"/>
                <w:lang w:val="en-US" w:eastAsia="zh-CN"/>
              </w:rPr>
              <w:t>）。</w:t>
            </w:r>
          </w:p>
          <w:p w14:paraId="1343FCF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cs="Times New Roman"/>
                <w:b w:val="0"/>
                <w:bCs/>
                <w:color w:val="0000C8"/>
                <w:sz w:val="24"/>
                <w:szCs w:val="24"/>
                <w:highlight w:val="none"/>
                <w:lang w:val="en-US" w:eastAsia="zh-CN"/>
              </w:rPr>
            </w:pPr>
            <w:r>
              <w:rPr>
                <w:rFonts w:hint="default" w:ascii="Times New Roman" w:hAnsi="Times New Roman" w:cs="Times New Roman"/>
                <w:b w:val="0"/>
                <w:bCs/>
                <w:color w:val="auto"/>
                <w:sz w:val="24"/>
                <w:szCs w:val="24"/>
                <w:highlight w:val="none"/>
                <w:lang w:val="en-US" w:eastAsia="zh-CN"/>
              </w:rPr>
              <w:t>猫</w:t>
            </w:r>
            <w:r>
              <w:rPr>
                <w:rFonts w:hint="eastAsia" w:ascii="Times New Roman" w:hAnsi="Times New Roman" w:cs="Times New Roman"/>
                <w:b w:val="0"/>
                <w:bCs/>
                <w:color w:val="auto"/>
                <w:sz w:val="24"/>
                <w:szCs w:val="24"/>
                <w:highlight w:val="none"/>
                <w:lang w:val="en-US" w:eastAsia="zh-CN"/>
              </w:rPr>
              <w:t>住宿</w:t>
            </w:r>
            <w:r>
              <w:rPr>
                <w:rFonts w:hint="default" w:ascii="Times New Roman" w:hAnsi="Times New Roman" w:cs="Times New Roman"/>
                <w:b w:val="0"/>
                <w:bCs/>
                <w:color w:val="auto"/>
                <w:sz w:val="24"/>
                <w:szCs w:val="24"/>
                <w:highlight w:val="none"/>
                <w:lang w:val="en-US" w:eastAsia="zh-CN"/>
              </w:rPr>
              <w:t>及诊疗期间产生的粪便与尿液均可使用猫砂盒收集，日常工作人员及时清理猫砂盒，清理出的猫砂使用</w:t>
            </w:r>
            <w:r>
              <w:rPr>
                <w:rFonts w:hint="eastAsia" w:cs="Times New Roman"/>
                <w:b w:val="0"/>
                <w:bCs/>
                <w:color w:val="auto"/>
                <w:sz w:val="24"/>
                <w:szCs w:val="24"/>
                <w:highlight w:val="none"/>
                <w:lang w:val="en-US" w:eastAsia="zh-CN"/>
              </w:rPr>
              <w:t>84</w:t>
            </w:r>
            <w:r>
              <w:rPr>
                <w:rFonts w:hint="default" w:ascii="Times New Roman" w:hAnsi="Times New Roman" w:cs="Times New Roman"/>
                <w:b w:val="0"/>
                <w:bCs/>
                <w:color w:val="auto"/>
                <w:sz w:val="24"/>
                <w:szCs w:val="24"/>
                <w:highlight w:val="none"/>
                <w:lang w:val="en-US" w:eastAsia="zh-CN"/>
              </w:rPr>
              <w:t>消毒剂消毒后收集集中处置。狗笼内设置排便与排尿盒，犬</w:t>
            </w:r>
            <w:r>
              <w:rPr>
                <w:rFonts w:hint="eastAsia" w:ascii="Times New Roman" w:hAnsi="Times New Roman" w:cs="Times New Roman"/>
                <w:b w:val="0"/>
                <w:bCs/>
                <w:color w:val="auto"/>
                <w:sz w:val="24"/>
                <w:szCs w:val="24"/>
                <w:highlight w:val="none"/>
                <w:lang w:val="en-US" w:eastAsia="zh-CN"/>
              </w:rPr>
              <w:t>住宿</w:t>
            </w:r>
            <w:r>
              <w:rPr>
                <w:rFonts w:hint="default" w:ascii="Times New Roman" w:hAnsi="Times New Roman" w:cs="Times New Roman"/>
                <w:b w:val="0"/>
                <w:bCs/>
                <w:color w:val="auto"/>
                <w:sz w:val="24"/>
                <w:szCs w:val="24"/>
                <w:highlight w:val="none"/>
                <w:lang w:val="en-US" w:eastAsia="zh-CN"/>
              </w:rPr>
              <w:t>与诊疗期间排污采取干湿分离，犬尿液排放比例约40%，进入</w:t>
            </w:r>
            <w:r>
              <w:rPr>
                <w:rFonts w:hint="eastAsia" w:cs="Times New Roman"/>
                <w:b w:val="0"/>
                <w:bCs/>
                <w:color w:val="auto"/>
                <w:sz w:val="24"/>
                <w:szCs w:val="24"/>
                <w:highlight w:val="none"/>
                <w:lang w:val="en-US" w:eastAsia="zh-CN"/>
              </w:rPr>
              <w:t>消毒设施</w:t>
            </w:r>
            <w:r>
              <w:rPr>
                <w:rFonts w:hint="default" w:ascii="Times New Roman" w:hAnsi="Times New Roman" w:cs="Times New Roman"/>
                <w:b w:val="0"/>
                <w:bCs/>
                <w:color w:val="auto"/>
                <w:sz w:val="24"/>
                <w:szCs w:val="24"/>
                <w:highlight w:val="none"/>
                <w:lang w:val="en-US" w:eastAsia="zh-CN"/>
              </w:rPr>
              <w:t>进行消毒，粪污使用</w:t>
            </w:r>
            <w:r>
              <w:rPr>
                <w:rFonts w:hint="eastAsia" w:cs="Times New Roman"/>
                <w:b w:val="0"/>
                <w:bCs/>
                <w:color w:val="auto"/>
                <w:sz w:val="24"/>
                <w:szCs w:val="24"/>
                <w:highlight w:val="none"/>
                <w:lang w:val="en-US" w:eastAsia="zh-CN"/>
              </w:rPr>
              <w:t>84消毒剂</w:t>
            </w:r>
            <w:r>
              <w:rPr>
                <w:rFonts w:hint="default" w:ascii="Times New Roman" w:hAnsi="Times New Roman" w:cs="Times New Roman"/>
                <w:b w:val="0"/>
                <w:bCs/>
                <w:color w:val="auto"/>
                <w:sz w:val="24"/>
                <w:szCs w:val="24"/>
                <w:highlight w:val="none"/>
                <w:lang w:val="en-US" w:eastAsia="zh-CN"/>
              </w:rPr>
              <w:t>消毒后收集集中处置，排便与排尿盒清洗用排水已纳入宠物笼清洗用排水，不再单独核算。将处理后的动物粪污消毒后打包交由环卫部门收运处置。</w:t>
            </w:r>
          </w:p>
          <w:p w14:paraId="40AB443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cs="Times New Roman"/>
                <w:b w:val="0"/>
                <w:bCs/>
                <w:color w:val="auto"/>
                <w:sz w:val="24"/>
                <w:szCs w:val="24"/>
                <w:highlight w:val="none"/>
                <w:lang w:val="en-US" w:eastAsia="zh-CN"/>
              </w:rPr>
            </w:pPr>
            <w:r>
              <w:rPr>
                <w:rFonts w:hint="default" w:ascii="Times New Roman" w:hAnsi="Times New Roman" w:cs="Times New Roman"/>
                <w:b w:val="0"/>
                <w:bCs/>
                <w:color w:val="auto"/>
                <w:sz w:val="24"/>
                <w:szCs w:val="24"/>
                <w:highlight w:val="none"/>
                <w:lang w:val="en-US" w:eastAsia="zh-CN"/>
              </w:rPr>
              <w:t>综上，宠物饮用水量约0.0</w:t>
            </w:r>
            <w:r>
              <w:rPr>
                <w:rFonts w:hint="eastAsia" w:cs="Times New Roman"/>
                <w:b w:val="0"/>
                <w:bCs/>
                <w:color w:val="auto"/>
                <w:sz w:val="24"/>
                <w:szCs w:val="24"/>
                <w:highlight w:val="none"/>
                <w:lang w:val="en-US" w:eastAsia="zh-CN"/>
              </w:rPr>
              <w:t>129</w:t>
            </w:r>
            <w:r>
              <w:rPr>
                <w:rFonts w:hint="default" w:ascii="Times New Roman" w:hAnsi="Times New Roman" w:cs="Times New Roman"/>
                <w:b w:val="0"/>
                <w:bCs/>
                <w:color w:val="auto"/>
                <w:sz w:val="24"/>
                <w:szCs w:val="24"/>
                <w:highlight w:val="none"/>
                <w:lang w:val="en-US" w:eastAsia="zh-CN"/>
              </w:rPr>
              <w:t>m</w:t>
            </w:r>
            <w:r>
              <w:rPr>
                <w:rFonts w:hint="default" w:ascii="Times New Roman" w:hAnsi="Times New Roman" w:cs="Times New Roman"/>
                <w:b w:val="0"/>
                <w:bCs/>
                <w:color w:val="auto"/>
                <w:sz w:val="24"/>
                <w:szCs w:val="24"/>
                <w:highlight w:val="none"/>
                <w:vertAlign w:val="superscript"/>
                <w:lang w:val="en-US" w:eastAsia="zh-CN"/>
              </w:rPr>
              <w:t>3</w:t>
            </w:r>
            <w:r>
              <w:rPr>
                <w:rFonts w:hint="default" w:ascii="Times New Roman" w:hAnsi="Times New Roman" w:cs="Times New Roman"/>
                <w:b w:val="0"/>
                <w:bCs/>
                <w:color w:val="auto"/>
                <w:sz w:val="24"/>
                <w:szCs w:val="24"/>
                <w:highlight w:val="none"/>
                <w:lang w:val="en-US" w:eastAsia="zh-CN"/>
              </w:rPr>
              <w:t>/d（</w:t>
            </w:r>
            <w:r>
              <w:rPr>
                <w:rFonts w:hint="eastAsia" w:cs="Times New Roman"/>
                <w:b w:val="0"/>
                <w:bCs/>
                <w:color w:val="auto"/>
                <w:sz w:val="24"/>
                <w:szCs w:val="24"/>
                <w:highlight w:val="none"/>
                <w:lang w:val="en-US" w:eastAsia="zh-CN"/>
              </w:rPr>
              <w:t>4.7085</w:t>
            </w:r>
            <w:r>
              <w:rPr>
                <w:rFonts w:hint="default" w:ascii="Times New Roman" w:hAnsi="Times New Roman" w:cs="Times New Roman"/>
                <w:b w:val="0"/>
                <w:bCs/>
                <w:color w:val="auto"/>
                <w:sz w:val="24"/>
                <w:szCs w:val="24"/>
                <w:highlight w:val="none"/>
                <w:lang w:val="en-US" w:eastAsia="zh-CN"/>
              </w:rPr>
              <w:t>m</w:t>
            </w:r>
            <w:r>
              <w:rPr>
                <w:rFonts w:hint="default" w:ascii="Times New Roman" w:hAnsi="Times New Roman" w:cs="Times New Roman"/>
                <w:b w:val="0"/>
                <w:bCs/>
                <w:color w:val="auto"/>
                <w:sz w:val="24"/>
                <w:szCs w:val="24"/>
                <w:highlight w:val="none"/>
                <w:vertAlign w:val="superscript"/>
                <w:lang w:val="en-US" w:eastAsia="zh-CN"/>
              </w:rPr>
              <w:t>3</w:t>
            </w:r>
            <w:r>
              <w:rPr>
                <w:rFonts w:hint="default" w:ascii="Times New Roman" w:hAnsi="Times New Roman" w:cs="Times New Roman"/>
                <w:b w:val="0"/>
                <w:bCs/>
                <w:color w:val="auto"/>
                <w:sz w:val="24"/>
                <w:szCs w:val="24"/>
                <w:highlight w:val="none"/>
                <w:vertAlign w:val="baseline"/>
                <w:lang w:val="en-US" w:eastAsia="zh-CN"/>
              </w:rPr>
              <w:t>/</w:t>
            </w:r>
            <w:r>
              <w:rPr>
                <w:rFonts w:hint="default" w:ascii="Times New Roman" w:hAnsi="Times New Roman" w:cs="Times New Roman"/>
                <w:b w:val="0"/>
                <w:bCs/>
                <w:color w:val="auto"/>
                <w:sz w:val="24"/>
                <w:szCs w:val="24"/>
                <w:highlight w:val="none"/>
                <w:lang w:val="en-US" w:eastAsia="zh-CN"/>
              </w:rPr>
              <w:t>a）。</w:t>
            </w:r>
          </w:p>
          <w:p w14:paraId="74DFD19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left"/>
              <w:textAlignment w:val="auto"/>
              <w:rPr>
                <w:rFonts w:hint="default" w:ascii="Times New Roman" w:hAnsi="Times New Roman" w:cs="Times New Roman"/>
                <w:b/>
                <w:bCs w:val="0"/>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bCs w:val="0"/>
                <w:color w:val="000000" w:themeColor="text1"/>
                <w:sz w:val="24"/>
                <w:szCs w:val="24"/>
                <w:highlight w:val="none"/>
                <w:lang w:val="en-US" w:eastAsia="zh-CN"/>
                <w14:textFill>
                  <w14:solidFill>
                    <w14:schemeClr w14:val="tx1"/>
                  </w14:solidFill>
                </w14:textFill>
              </w:rPr>
              <w:t>③其他用水</w:t>
            </w:r>
          </w:p>
          <w:p w14:paraId="6CC4BD9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项目其他用水主要是工服清洗用水</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、宠物毛毯清洗用水、美容洗浴用水</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p>
          <w:p w14:paraId="47F066D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left"/>
              <w:textAlignment w:val="auto"/>
              <w:rPr>
                <w:rFonts w:hint="eastAsia" w:ascii="Times New Roman" w:hAnsi="Times New Roman" w:eastAsia="宋体" w:cs="Times New Roman"/>
                <w:b/>
                <w:bCs w:val="0"/>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bCs w:val="0"/>
                <w:color w:val="000000" w:themeColor="text1"/>
                <w:sz w:val="24"/>
                <w:szCs w:val="24"/>
                <w:highlight w:val="none"/>
                <w:lang w:val="en-US" w:eastAsia="zh-CN"/>
                <w14:textFill>
                  <w14:solidFill>
                    <w14:schemeClr w14:val="tx1"/>
                  </w14:solidFill>
                </w14:textFill>
              </w:rPr>
              <w:t>地面清洁用水：</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项目地面采用拖布拖地（清洁用水里添加84消毒液进行消毒），地面清洁用水按照2L/（m</w:t>
            </w:r>
            <w:r>
              <w:rPr>
                <w:rFonts w:hint="default" w:ascii="Times New Roman" w:hAnsi="Times New Roman" w:cs="Times New Roman"/>
                <w:b w:val="0"/>
                <w:bCs/>
                <w:color w:val="000000" w:themeColor="text1"/>
                <w:sz w:val="24"/>
                <w:szCs w:val="24"/>
                <w:highlight w:val="none"/>
                <w:vertAlign w:val="superscript"/>
                <w:lang w:val="en-US" w:eastAsia="zh-CN"/>
                <w14:textFill>
                  <w14:solidFill>
                    <w14:schemeClr w14:val="tx1"/>
                  </w14:solidFill>
                </w14:textFill>
              </w:rPr>
              <w:t>2</w:t>
            </w:r>
            <w:r>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d），项目需要清洁的地面面积约</w:t>
            </w:r>
            <w:r>
              <w:rPr>
                <w:rFonts w:hint="eastAsia" w:cs="Times New Roman"/>
                <w:b w:val="0"/>
                <w:bCs/>
                <w:color w:val="000000" w:themeColor="text1"/>
                <w:sz w:val="24"/>
                <w:szCs w:val="24"/>
                <w:highlight w:val="none"/>
                <w:lang w:val="en-US" w:eastAsia="zh-CN"/>
                <w14:textFill>
                  <w14:solidFill>
                    <w14:schemeClr w14:val="tx1"/>
                  </w14:solidFill>
                </w14:textFill>
              </w:rPr>
              <w:t>132</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m</w:t>
            </w:r>
            <w:r>
              <w:rPr>
                <w:rFonts w:hint="default" w:ascii="Times New Roman" w:hAnsi="Times New Roman" w:cs="Times New Roman"/>
                <w:b w:val="0"/>
                <w:bCs/>
                <w:color w:val="000000" w:themeColor="text1"/>
                <w:sz w:val="24"/>
                <w:szCs w:val="24"/>
                <w:highlight w:val="none"/>
                <w:vertAlign w:val="superscript"/>
                <w:lang w:val="en-US" w:eastAsia="zh-CN"/>
                <w14:textFill>
                  <w14:solidFill>
                    <w14:schemeClr w14:val="tx1"/>
                  </w14:solidFill>
                </w14:textFill>
              </w:rPr>
              <w:t>2</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，则地面清洁用水量</w:t>
            </w: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0.</w:t>
            </w:r>
            <w:r>
              <w:rPr>
                <w:rFonts w:hint="eastAsia" w:cs="Times New Roman"/>
                <w:b w:val="0"/>
                <w:bCs/>
                <w:color w:val="000000" w:themeColor="text1"/>
                <w:sz w:val="24"/>
                <w:szCs w:val="24"/>
                <w:highlight w:val="none"/>
                <w:lang w:val="en-US" w:eastAsia="zh-CN"/>
                <w14:textFill>
                  <w14:solidFill>
                    <w14:schemeClr w14:val="tx1"/>
                  </w14:solidFill>
                </w14:textFill>
              </w:rPr>
              <w:t>264</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m</w:t>
            </w:r>
            <w:r>
              <w:rPr>
                <w:rFonts w:hint="default" w:ascii="Times New Roman" w:hAnsi="Times New Roman" w:cs="Times New Roman"/>
                <w:b w:val="0"/>
                <w:bCs/>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/d（</w:t>
            </w:r>
            <w:r>
              <w:rPr>
                <w:rFonts w:hint="eastAsia" w:cs="Times New Roman"/>
                <w:b w:val="0"/>
                <w:bCs/>
                <w:color w:val="000000" w:themeColor="text1"/>
                <w:sz w:val="24"/>
                <w:szCs w:val="24"/>
                <w:highlight w:val="none"/>
                <w:lang w:val="en-US" w:eastAsia="zh-CN"/>
                <w14:textFill>
                  <w14:solidFill>
                    <w14:schemeClr w14:val="tx1"/>
                  </w14:solidFill>
                </w14:textFill>
              </w:rPr>
              <w:t>96.36</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m</w:t>
            </w:r>
            <w:r>
              <w:rPr>
                <w:rFonts w:hint="default" w:ascii="Times New Roman" w:hAnsi="Times New Roman" w:cs="Times New Roman"/>
                <w:b w:val="0"/>
                <w:bCs/>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/a）。地面清洁废水排污系数按0.9计。</w:t>
            </w:r>
          </w:p>
          <w:p w14:paraId="50ADC9B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left"/>
              <w:textAlignment w:val="auto"/>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4"/>
                <w:szCs w:val="24"/>
                <w:highlight w:val="none"/>
                <w:lang w:val="en-US" w:eastAsia="zh-CN"/>
                <w14:textFill>
                  <w14:solidFill>
                    <w14:schemeClr w14:val="tx1"/>
                  </w14:solidFill>
                </w14:textFill>
              </w:rPr>
              <w:t>美容洗浴用水：</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类比同类型项目，项目美容洗浴用水量按照</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50L/</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只计，项目美容洗浴每天最大</w:t>
            </w:r>
            <w:r>
              <w:rPr>
                <w:rFonts w:hint="eastAsia" w:cs="Times New Roman"/>
                <w:b w:val="0"/>
                <w:bCs/>
                <w:color w:val="000000" w:themeColor="text1"/>
                <w:sz w:val="24"/>
                <w:szCs w:val="24"/>
                <w:highlight w:val="none"/>
                <w:lang w:val="en-US" w:eastAsia="zh-CN"/>
                <w14:textFill>
                  <w14:solidFill>
                    <w14:schemeClr w14:val="tx1"/>
                  </w14:solidFill>
                </w14:textFill>
              </w:rPr>
              <w:t>接纳</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量约</w:t>
            </w:r>
            <w:r>
              <w:rPr>
                <w:rFonts w:hint="eastAsia" w:cs="Times New Roman"/>
                <w:b w:val="0"/>
                <w:bCs/>
                <w:color w:val="000000" w:themeColor="text1"/>
                <w:sz w:val="24"/>
                <w:szCs w:val="24"/>
                <w:highlight w:val="none"/>
                <w:lang w:val="en-US" w:eastAsia="zh-CN"/>
                <w14:textFill>
                  <w14:solidFill>
                    <w14:schemeClr w14:val="tx1"/>
                  </w14:solidFill>
                </w14:textFill>
              </w:rPr>
              <w:t>4</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只，则美容洗浴用水量约</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0.</w:t>
            </w:r>
            <w:r>
              <w:rPr>
                <w:rFonts w:hint="eastAsia" w:cs="Times New Roman"/>
                <w:b w:val="0"/>
                <w:bCs/>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b w:val="0"/>
                <w:bCs/>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/d</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r>
              <w:rPr>
                <w:rFonts w:hint="eastAsia" w:cs="Times New Roman"/>
                <w:b w:val="0"/>
                <w:bCs/>
                <w:color w:val="000000" w:themeColor="text1"/>
                <w:sz w:val="24"/>
                <w:szCs w:val="24"/>
                <w:highlight w:val="none"/>
                <w:lang w:val="en-US" w:eastAsia="zh-CN"/>
                <w14:textFill>
                  <w14:solidFill>
                    <w14:schemeClr w14:val="tx1"/>
                  </w14:solidFill>
                </w14:textFill>
              </w:rPr>
              <w:t>73</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b w:val="0"/>
                <w:bCs/>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/a</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）。美容洗浴废水排污系数按</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0.9</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计。</w:t>
            </w:r>
          </w:p>
          <w:p w14:paraId="7BC00D5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美容洗浴废水经过滤网过滤后与生活污水、其他废水一起排入</w:t>
            </w:r>
            <w:r>
              <w:rPr>
                <w:rFonts w:hint="eastAsia" w:cs="Times New Roman"/>
                <w:b w:val="0"/>
                <w:bCs/>
                <w:color w:val="000000" w:themeColor="text1"/>
                <w:sz w:val="24"/>
                <w:szCs w:val="24"/>
                <w:highlight w:val="none"/>
                <w:lang w:val="en-US" w:eastAsia="zh-CN"/>
                <w14:textFill>
                  <w14:solidFill>
                    <w14:schemeClr w14:val="tx1"/>
                  </w14:solidFill>
                </w14:textFill>
              </w:rPr>
              <w:t>弘悦101已建</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生化池处理达《污水综合排放标准》（</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GB8978-1996</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）三级标准后进入市政污水管网。</w:t>
            </w:r>
          </w:p>
          <w:p w14:paraId="3DCCF92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left"/>
              <w:textAlignment w:val="auto"/>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bCs w:val="0"/>
                <w:color w:val="000000" w:themeColor="text1"/>
                <w:sz w:val="24"/>
                <w:szCs w:val="24"/>
                <w:highlight w:val="none"/>
                <w:lang w:val="en-US" w:eastAsia="zh-CN"/>
                <w14:textFill>
                  <w14:solidFill>
                    <w14:schemeClr w14:val="tx1"/>
                  </w14:solidFill>
                </w14:textFill>
              </w:rPr>
              <w:t>工服清洗用水：</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项目员工工服需要进行清洗消毒，洗涤时先使用84消毒液进行浸泡消毒之后使用洗衣液进行洗涤，根据《建筑给水排水设计标准》（GB50015-2019），清洗用水量按照60L/kg干衣物计算。项目平均每天清洗工服重量约</w:t>
            </w:r>
            <w:r>
              <w:rPr>
                <w:rFonts w:hint="eastAsia" w:cs="Times New Roman"/>
                <w:b w:val="0"/>
                <w:bCs/>
                <w:color w:val="000000" w:themeColor="text1"/>
                <w:sz w:val="24"/>
                <w:szCs w:val="24"/>
                <w:highlight w:val="none"/>
                <w:lang w:val="en-US" w:eastAsia="zh-CN"/>
                <w14:textFill>
                  <w14:solidFill>
                    <w14:schemeClr w14:val="tx1"/>
                  </w14:solidFill>
                </w14:textFill>
              </w:rPr>
              <w:t>3</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kg，则工服清洗用水量约</w:t>
            </w: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0.1</w:t>
            </w:r>
            <w:r>
              <w:rPr>
                <w:rFonts w:hint="eastAsia" w:cs="Times New Roman"/>
                <w:b w:val="0"/>
                <w:bCs/>
                <w:color w:val="000000" w:themeColor="text1"/>
                <w:sz w:val="24"/>
                <w:szCs w:val="24"/>
                <w:highlight w:val="none"/>
                <w:lang w:val="en-US" w:eastAsia="zh-CN"/>
                <w14:textFill>
                  <w14:solidFill>
                    <w14:schemeClr w14:val="tx1"/>
                  </w14:solidFill>
                </w14:textFill>
              </w:rPr>
              <w:t>8</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m</w:t>
            </w:r>
            <w:r>
              <w:rPr>
                <w:rFonts w:hint="default" w:ascii="Times New Roman" w:hAnsi="Times New Roman" w:cs="Times New Roman"/>
                <w:b w:val="0"/>
                <w:bCs/>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/d（</w:t>
            </w:r>
            <w:r>
              <w:rPr>
                <w:rFonts w:hint="eastAsia" w:cs="Times New Roman"/>
                <w:b w:val="0"/>
                <w:bCs/>
                <w:color w:val="000000" w:themeColor="text1"/>
                <w:sz w:val="24"/>
                <w:szCs w:val="24"/>
                <w:highlight w:val="none"/>
                <w:lang w:val="en-US" w:eastAsia="zh-CN"/>
                <w14:textFill>
                  <w14:solidFill>
                    <w14:schemeClr w14:val="tx1"/>
                  </w14:solidFill>
                </w14:textFill>
              </w:rPr>
              <w:t>65.7</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m</w:t>
            </w:r>
            <w:r>
              <w:rPr>
                <w:rFonts w:hint="default" w:ascii="Times New Roman" w:hAnsi="Times New Roman" w:cs="Times New Roman"/>
                <w:b w:val="0"/>
                <w:bCs/>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/a）。工服清洗废水排污系数按</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0.9计。</w:t>
            </w:r>
          </w:p>
          <w:p w14:paraId="6A97C7F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left"/>
              <w:textAlignment w:val="auto"/>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4"/>
                <w:szCs w:val="24"/>
                <w:highlight w:val="none"/>
                <w:lang w:val="en-US" w:eastAsia="zh-CN"/>
                <w14:textFill>
                  <w14:solidFill>
                    <w14:schemeClr w14:val="tx1"/>
                  </w14:solidFill>
                </w14:textFill>
              </w:rPr>
              <w:t>宠物毛毯清洗用水：</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健康的宠物美容洗浴后的毛毯需要定期进行清洗，参照《建筑给水排水设计标准》（</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GB50015-2019</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），清洗用水量按照</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60L/kg</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干衣物计算，根据建设单位提供资料，项目平均每天清洗宠物毛毯约</w:t>
            </w:r>
            <w:r>
              <w:rPr>
                <w:rFonts w:hint="eastAsia" w:cs="Times New Roman"/>
                <w:b w:val="0"/>
                <w:bCs/>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kg</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，则宠物毛毯清洗用水量约</w:t>
            </w:r>
            <w:r>
              <w:rPr>
                <w:rFonts w:hint="eastAsia" w:cs="Times New Roman"/>
                <w:b w:val="0"/>
                <w:bCs/>
                <w:color w:val="000000" w:themeColor="text1"/>
                <w:sz w:val="24"/>
                <w:szCs w:val="24"/>
                <w:highlight w:val="none"/>
                <w:lang w:val="en-US" w:eastAsia="zh-CN"/>
                <w14:textFill>
                  <w14:solidFill>
                    <w14:schemeClr w14:val="tx1"/>
                  </w14:solidFill>
                </w14:textFill>
              </w:rPr>
              <w:t>0.06</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b w:val="0"/>
                <w:bCs/>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/d</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r>
              <w:rPr>
                <w:rFonts w:hint="eastAsia" w:cs="Times New Roman"/>
                <w:b w:val="0"/>
                <w:bCs/>
                <w:color w:val="000000" w:themeColor="text1"/>
                <w:sz w:val="24"/>
                <w:szCs w:val="24"/>
                <w:highlight w:val="none"/>
                <w:lang w:val="en-US" w:eastAsia="zh-CN"/>
                <w14:textFill>
                  <w14:solidFill>
                    <w14:schemeClr w14:val="tx1"/>
                  </w14:solidFill>
                </w14:textFill>
              </w:rPr>
              <w:t>21.9</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b w:val="0"/>
                <w:bCs/>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/a</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）。宠物毛毯清洗废水排污系数按</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0.9</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计。</w:t>
            </w:r>
          </w:p>
          <w:p w14:paraId="03AC3D8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项目用排水情况一览表详见表2.8-1。</w:t>
            </w:r>
          </w:p>
          <w:p w14:paraId="4AA4941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firstLine="0" w:firstLineChars="0"/>
              <w:jc w:val="center"/>
              <w:textAlignment w:val="auto"/>
              <w:rPr>
                <w:rFonts w:hint="default" w:ascii="Times New Roman" w:hAnsi="Times New Roman" w:cs="Times New Roman"/>
                <w:b/>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z w:val="24"/>
                <w:szCs w:val="24"/>
                <w:highlight w:val="none"/>
                <w:lang w:val="en-US" w:eastAsia="zh-CN"/>
                <w14:textFill>
                  <w14:solidFill>
                    <w14:schemeClr w14:val="tx1"/>
                  </w14:solidFill>
                </w14:textFill>
              </w:rPr>
              <w:t>表2.8-1项目用排水量核算一览表</w:t>
            </w:r>
          </w:p>
          <w:tbl>
            <w:tblPr>
              <w:tblStyle w:val="21"/>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07"/>
              <w:gridCol w:w="1159"/>
              <w:gridCol w:w="777"/>
              <w:gridCol w:w="1159"/>
              <w:gridCol w:w="996"/>
              <w:gridCol w:w="954"/>
              <w:gridCol w:w="996"/>
              <w:gridCol w:w="1002"/>
            </w:tblGrid>
            <w:tr w14:paraId="709FF2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33" w:type="pct"/>
                  <w:gridSpan w:val="2"/>
                  <w:tcBorders>
                    <w:tl2br w:val="nil"/>
                    <w:tr2bl w:val="nil"/>
                  </w:tcBorders>
                  <w:vAlign w:val="center"/>
                </w:tcPr>
                <w:p w14:paraId="38DCE42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类别</w:t>
                  </w:r>
                </w:p>
              </w:tc>
              <w:tc>
                <w:tcPr>
                  <w:tcW w:w="470" w:type="pct"/>
                  <w:tcBorders>
                    <w:tl2br w:val="nil"/>
                    <w:tr2bl w:val="nil"/>
                  </w:tcBorders>
                  <w:vAlign w:val="center"/>
                </w:tcPr>
                <w:p w14:paraId="4288F78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规模</w:t>
                  </w:r>
                </w:p>
              </w:tc>
              <w:tc>
                <w:tcPr>
                  <w:tcW w:w="702" w:type="pct"/>
                  <w:tcBorders>
                    <w:tl2br w:val="nil"/>
                    <w:tr2bl w:val="nil"/>
                  </w:tcBorders>
                  <w:vAlign w:val="center"/>
                </w:tcPr>
                <w:p w14:paraId="1E7AC41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用水定额</w:t>
                  </w:r>
                </w:p>
              </w:tc>
              <w:tc>
                <w:tcPr>
                  <w:tcW w:w="603" w:type="pct"/>
                  <w:tcBorders>
                    <w:tl2br w:val="nil"/>
                    <w:tr2bl w:val="nil"/>
                  </w:tcBorders>
                  <w:vAlign w:val="center"/>
                </w:tcPr>
                <w:p w14:paraId="2534F88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color w:val="000000" w:themeColor="text1"/>
                      <w:sz w:val="21"/>
                      <w:szCs w:val="21"/>
                      <w:highlight w:val="none"/>
                      <w:vertAlign w:val="baseline"/>
                      <w:lang w:val="en-US" w:eastAsia="zh-CN"/>
                      <w14:textFill>
                        <w14:solidFill>
                          <w14:schemeClr w14:val="tx1"/>
                        </w14:solidFill>
                      </w14:textFill>
                    </w:rPr>
                    <w:t>用水</w:t>
                  </w: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量（m</w:t>
                  </w:r>
                  <w:r>
                    <w:rPr>
                      <w:rFonts w:hint="default" w:ascii="Times New Roman" w:hAnsi="Times New Roman" w:cs="Times New Roman"/>
                      <w:b w:val="0"/>
                      <w:bCs/>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/d）</w:t>
                  </w:r>
                </w:p>
              </w:tc>
              <w:tc>
                <w:tcPr>
                  <w:tcW w:w="578" w:type="pct"/>
                  <w:tcBorders>
                    <w:tl2br w:val="nil"/>
                    <w:tr2bl w:val="nil"/>
                  </w:tcBorders>
                  <w:vAlign w:val="center"/>
                </w:tcPr>
                <w:p w14:paraId="61CD462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产生量（m</w:t>
                  </w:r>
                  <w:r>
                    <w:rPr>
                      <w:rFonts w:hint="default" w:ascii="Times New Roman" w:hAnsi="Times New Roman" w:cs="Times New Roman"/>
                      <w:b w:val="0"/>
                      <w:bCs/>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/a）</w:t>
                  </w:r>
                </w:p>
              </w:tc>
              <w:tc>
                <w:tcPr>
                  <w:tcW w:w="603" w:type="pct"/>
                  <w:tcBorders>
                    <w:tl2br w:val="nil"/>
                    <w:tr2bl w:val="nil"/>
                  </w:tcBorders>
                  <w:shd w:val="clear" w:color="auto" w:fill="auto"/>
                  <w:vAlign w:val="center"/>
                </w:tcPr>
                <w:p w14:paraId="19F8A90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排放量（m</w:t>
                  </w:r>
                  <w:r>
                    <w:rPr>
                      <w:rFonts w:hint="default" w:ascii="Times New Roman" w:hAnsi="Times New Roman" w:cs="Times New Roman"/>
                      <w:b w:val="0"/>
                      <w:bCs/>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/d）</w:t>
                  </w:r>
                </w:p>
              </w:tc>
              <w:tc>
                <w:tcPr>
                  <w:tcW w:w="607" w:type="pct"/>
                  <w:tcBorders>
                    <w:tl2br w:val="nil"/>
                    <w:tr2bl w:val="nil"/>
                  </w:tcBorders>
                  <w:shd w:val="clear" w:color="auto" w:fill="auto"/>
                  <w:vAlign w:val="center"/>
                </w:tcPr>
                <w:p w14:paraId="336D02C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排放量（m</w:t>
                  </w:r>
                  <w:r>
                    <w:rPr>
                      <w:rFonts w:hint="default" w:ascii="Times New Roman" w:hAnsi="Times New Roman" w:cs="Times New Roman"/>
                      <w:b w:val="0"/>
                      <w:bCs/>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/a）</w:t>
                  </w:r>
                </w:p>
              </w:tc>
            </w:tr>
            <w:tr w14:paraId="5B873D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1" w:type="pct"/>
                  <w:vMerge w:val="restart"/>
                  <w:tcBorders>
                    <w:tl2br w:val="nil"/>
                    <w:tr2bl w:val="nil"/>
                  </w:tcBorders>
                  <w:vAlign w:val="center"/>
                </w:tcPr>
                <w:p w14:paraId="1D56421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生活用水</w:t>
                  </w:r>
                </w:p>
              </w:tc>
              <w:tc>
                <w:tcPr>
                  <w:tcW w:w="702" w:type="pct"/>
                  <w:tcBorders>
                    <w:tl2br w:val="nil"/>
                    <w:tr2bl w:val="nil"/>
                  </w:tcBorders>
                  <w:vAlign w:val="center"/>
                </w:tcPr>
                <w:p w14:paraId="3C92C50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生活用水</w:t>
                  </w:r>
                </w:p>
              </w:tc>
              <w:tc>
                <w:tcPr>
                  <w:tcW w:w="470" w:type="pct"/>
                  <w:tcBorders>
                    <w:tl2br w:val="nil"/>
                    <w:tr2bl w:val="nil"/>
                  </w:tcBorders>
                  <w:vAlign w:val="center"/>
                </w:tcPr>
                <w:p w14:paraId="2071449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color w:val="000000" w:themeColor="text1"/>
                      <w:sz w:val="21"/>
                      <w:szCs w:val="21"/>
                      <w:highlight w:val="none"/>
                      <w:vertAlign w:val="baseline"/>
                      <w:lang w:val="en-US" w:eastAsia="zh-CN"/>
                      <w14:textFill>
                        <w14:solidFill>
                          <w14:schemeClr w14:val="tx1"/>
                        </w14:solidFill>
                      </w14:textFill>
                    </w:rPr>
                    <w:t>3</w:t>
                  </w: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人</w:t>
                  </w:r>
                </w:p>
              </w:tc>
              <w:tc>
                <w:tcPr>
                  <w:tcW w:w="702" w:type="pct"/>
                  <w:tcBorders>
                    <w:tl2br w:val="nil"/>
                    <w:tr2bl w:val="nil"/>
                  </w:tcBorders>
                  <w:vAlign w:val="center"/>
                </w:tcPr>
                <w:p w14:paraId="6591F84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50L/人</w:t>
                  </w:r>
                  <w:r>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w:t>
                  </w: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d</w:t>
                  </w:r>
                </w:p>
              </w:tc>
              <w:tc>
                <w:tcPr>
                  <w:tcW w:w="996" w:type="dxa"/>
                  <w:tcBorders>
                    <w:tl2br w:val="nil"/>
                    <w:tr2bl w:val="nil"/>
                  </w:tcBorders>
                  <w:vAlign w:val="center"/>
                </w:tcPr>
                <w:p w14:paraId="703863DC">
                  <w:pPr>
                    <w:keepNext w:val="0"/>
                    <w:keepLines w:val="0"/>
                    <w:widowControl/>
                    <w:suppressLineNumbers w:val="0"/>
                    <w:jc w:val="center"/>
                    <w:textAlignment w:val="center"/>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0.15</w:t>
                  </w:r>
                </w:p>
              </w:tc>
              <w:tc>
                <w:tcPr>
                  <w:tcW w:w="954" w:type="dxa"/>
                  <w:tcBorders>
                    <w:tl2br w:val="nil"/>
                    <w:tr2bl w:val="nil"/>
                  </w:tcBorders>
                  <w:vAlign w:val="center"/>
                </w:tcPr>
                <w:p w14:paraId="0B0350F4">
                  <w:pPr>
                    <w:keepNext w:val="0"/>
                    <w:keepLines w:val="0"/>
                    <w:widowControl/>
                    <w:suppressLineNumbers w:val="0"/>
                    <w:jc w:val="center"/>
                    <w:textAlignment w:val="center"/>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54.75</w:t>
                  </w:r>
                </w:p>
              </w:tc>
              <w:tc>
                <w:tcPr>
                  <w:tcW w:w="996" w:type="dxa"/>
                  <w:tcBorders>
                    <w:tl2br w:val="nil"/>
                    <w:tr2bl w:val="nil"/>
                  </w:tcBorders>
                  <w:vAlign w:val="center"/>
                </w:tcPr>
                <w:p w14:paraId="43566369">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0.135</w:t>
                  </w:r>
                </w:p>
              </w:tc>
              <w:tc>
                <w:tcPr>
                  <w:tcW w:w="1002" w:type="dxa"/>
                  <w:tcBorders>
                    <w:tl2br w:val="nil"/>
                    <w:tr2bl w:val="nil"/>
                  </w:tcBorders>
                  <w:vAlign w:val="center"/>
                </w:tcPr>
                <w:p w14:paraId="1957012C">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49.275</w:t>
                  </w:r>
                </w:p>
              </w:tc>
            </w:tr>
            <w:tr w14:paraId="674086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1" w:type="pct"/>
                  <w:vMerge w:val="continue"/>
                  <w:tcBorders>
                    <w:tl2br w:val="nil"/>
                    <w:tr2bl w:val="nil"/>
                  </w:tcBorders>
                  <w:vAlign w:val="center"/>
                </w:tcPr>
                <w:p w14:paraId="6AE5D48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FF0000"/>
                      <w:sz w:val="21"/>
                      <w:szCs w:val="21"/>
                      <w:highlight w:val="none"/>
                      <w:vertAlign w:val="baseline"/>
                      <w:lang w:val="en-US" w:eastAsia="zh-CN"/>
                    </w:rPr>
                  </w:pPr>
                </w:p>
              </w:tc>
              <w:tc>
                <w:tcPr>
                  <w:tcW w:w="702" w:type="pct"/>
                  <w:tcBorders>
                    <w:tl2br w:val="nil"/>
                    <w:tr2bl w:val="nil"/>
                  </w:tcBorders>
                  <w:vAlign w:val="center"/>
                </w:tcPr>
                <w:p w14:paraId="0D113CE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流动顾客用水</w:t>
                  </w:r>
                </w:p>
              </w:tc>
              <w:tc>
                <w:tcPr>
                  <w:tcW w:w="470" w:type="pct"/>
                  <w:tcBorders>
                    <w:tl2br w:val="nil"/>
                    <w:tr2bl w:val="nil"/>
                  </w:tcBorders>
                  <w:vAlign w:val="center"/>
                </w:tcPr>
                <w:p w14:paraId="3678FFF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color w:val="000000" w:themeColor="text1"/>
                      <w:sz w:val="21"/>
                      <w:szCs w:val="21"/>
                      <w:highlight w:val="none"/>
                      <w:vertAlign w:val="baseline"/>
                      <w:lang w:val="en-US" w:eastAsia="zh-CN"/>
                      <w14:textFill>
                        <w14:solidFill>
                          <w14:schemeClr w14:val="tx1"/>
                        </w14:solidFill>
                      </w14:textFill>
                    </w:rPr>
                    <w:t>36</w:t>
                  </w: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人/d</w:t>
                  </w:r>
                </w:p>
              </w:tc>
              <w:tc>
                <w:tcPr>
                  <w:tcW w:w="702" w:type="pct"/>
                  <w:tcBorders>
                    <w:tl2br w:val="nil"/>
                    <w:tr2bl w:val="nil"/>
                  </w:tcBorders>
                  <w:vAlign w:val="center"/>
                </w:tcPr>
                <w:p w14:paraId="12832BA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10L/人</w:t>
                  </w:r>
                  <w:r>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w:t>
                  </w: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d</w:t>
                  </w:r>
                </w:p>
              </w:tc>
              <w:tc>
                <w:tcPr>
                  <w:tcW w:w="996" w:type="dxa"/>
                  <w:tcBorders>
                    <w:tl2br w:val="nil"/>
                    <w:tr2bl w:val="nil"/>
                  </w:tcBorders>
                  <w:vAlign w:val="center"/>
                </w:tcPr>
                <w:p w14:paraId="043C2964">
                  <w:pPr>
                    <w:keepNext w:val="0"/>
                    <w:keepLines w:val="0"/>
                    <w:widowControl/>
                    <w:suppressLineNumbers w:val="0"/>
                    <w:jc w:val="center"/>
                    <w:textAlignment w:val="center"/>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0.36</w:t>
                  </w:r>
                </w:p>
              </w:tc>
              <w:tc>
                <w:tcPr>
                  <w:tcW w:w="954" w:type="dxa"/>
                  <w:tcBorders>
                    <w:tl2br w:val="nil"/>
                    <w:tr2bl w:val="nil"/>
                  </w:tcBorders>
                  <w:vAlign w:val="center"/>
                </w:tcPr>
                <w:p w14:paraId="72AFF30E">
                  <w:pPr>
                    <w:keepNext w:val="0"/>
                    <w:keepLines w:val="0"/>
                    <w:widowControl/>
                    <w:suppressLineNumbers w:val="0"/>
                    <w:jc w:val="center"/>
                    <w:textAlignment w:val="center"/>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131.4</w:t>
                  </w:r>
                </w:p>
              </w:tc>
              <w:tc>
                <w:tcPr>
                  <w:tcW w:w="996" w:type="dxa"/>
                  <w:tcBorders>
                    <w:tl2br w:val="nil"/>
                    <w:tr2bl w:val="nil"/>
                  </w:tcBorders>
                  <w:vAlign w:val="center"/>
                </w:tcPr>
                <w:p w14:paraId="41AF851C">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0.324</w:t>
                  </w:r>
                </w:p>
              </w:tc>
              <w:tc>
                <w:tcPr>
                  <w:tcW w:w="1002" w:type="dxa"/>
                  <w:tcBorders>
                    <w:tl2br w:val="nil"/>
                    <w:tr2bl w:val="nil"/>
                  </w:tcBorders>
                  <w:vAlign w:val="center"/>
                </w:tcPr>
                <w:p w14:paraId="2AF7279F">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118.26</w:t>
                  </w:r>
                </w:p>
              </w:tc>
            </w:tr>
            <w:tr w14:paraId="2294F1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07" w:type="pct"/>
                  <w:gridSpan w:val="4"/>
                  <w:tcBorders>
                    <w:tl2br w:val="nil"/>
                    <w:tr2bl w:val="nil"/>
                  </w:tcBorders>
                  <w:vAlign w:val="center"/>
                </w:tcPr>
                <w:p w14:paraId="455F9B9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color w:val="000000" w:themeColor="text1"/>
                      <w:sz w:val="21"/>
                      <w:szCs w:val="21"/>
                      <w:highlight w:val="none"/>
                      <w:vertAlign w:val="baseline"/>
                      <w:lang w:val="en-US" w:eastAsia="zh-CN"/>
                      <w14:textFill>
                        <w14:solidFill>
                          <w14:schemeClr w14:val="tx1"/>
                        </w14:solidFill>
                      </w14:textFill>
                    </w:rPr>
                    <w:t>小计</w:t>
                  </w:r>
                </w:p>
              </w:tc>
              <w:tc>
                <w:tcPr>
                  <w:tcW w:w="996" w:type="dxa"/>
                  <w:tcBorders>
                    <w:tl2br w:val="nil"/>
                    <w:tr2bl w:val="nil"/>
                  </w:tcBorders>
                  <w:vAlign w:val="center"/>
                </w:tcPr>
                <w:p w14:paraId="10F4AB2C">
                  <w:pPr>
                    <w:keepNext w:val="0"/>
                    <w:keepLines w:val="0"/>
                    <w:widowControl/>
                    <w:suppressLineNumbers w:val="0"/>
                    <w:jc w:val="center"/>
                    <w:textAlignment w:val="center"/>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0.51</w:t>
                  </w:r>
                </w:p>
              </w:tc>
              <w:tc>
                <w:tcPr>
                  <w:tcW w:w="954" w:type="dxa"/>
                  <w:tcBorders>
                    <w:tl2br w:val="nil"/>
                    <w:tr2bl w:val="nil"/>
                  </w:tcBorders>
                  <w:vAlign w:val="center"/>
                </w:tcPr>
                <w:p w14:paraId="72D48A05">
                  <w:pPr>
                    <w:keepNext w:val="0"/>
                    <w:keepLines w:val="0"/>
                    <w:widowControl/>
                    <w:suppressLineNumbers w:val="0"/>
                    <w:jc w:val="center"/>
                    <w:textAlignment w:val="center"/>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186.15</w:t>
                  </w:r>
                </w:p>
              </w:tc>
              <w:tc>
                <w:tcPr>
                  <w:tcW w:w="996" w:type="dxa"/>
                  <w:tcBorders>
                    <w:tl2br w:val="nil"/>
                    <w:tr2bl w:val="nil"/>
                  </w:tcBorders>
                  <w:vAlign w:val="center"/>
                </w:tcPr>
                <w:p w14:paraId="0694BD76">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0.459</w:t>
                  </w:r>
                </w:p>
              </w:tc>
              <w:tc>
                <w:tcPr>
                  <w:tcW w:w="1002" w:type="dxa"/>
                  <w:tcBorders>
                    <w:tl2br w:val="nil"/>
                    <w:tr2bl w:val="nil"/>
                  </w:tcBorders>
                  <w:vAlign w:val="center"/>
                </w:tcPr>
                <w:p w14:paraId="26257118">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167.535</w:t>
                  </w:r>
                </w:p>
              </w:tc>
            </w:tr>
            <w:tr w14:paraId="600093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1" w:type="pct"/>
                  <w:vMerge w:val="restart"/>
                  <w:tcBorders>
                    <w:tl2br w:val="nil"/>
                    <w:tr2bl w:val="nil"/>
                  </w:tcBorders>
                  <w:vAlign w:val="center"/>
                </w:tcPr>
                <w:p w14:paraId="47FE4DD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医疗废水</w:t>
                  </w:r>
                </w:p>
              </w:tc>
              <w:tc>
                <w:tcPr>
                  <w:tcW w:w="702" w:type="pct"/>
                  <w:tcBorders>
                    <w:tl2br w:val="nil"/>
                    <w:tr2bl w:val="nil"/>
                  </w:tcBorders>
                  <w:vAlign w:val="center"/>
                </w:tcPr>
                <w:p w14:paraId="0228452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color w:val="000000" w:themeColor="text1"/>
                      <w:sz w:val="21"/>
                      <w:szCs w:val="21"/>
                      <w:highlight w:val="none"/>
                      <w:vertAlign w:val="baseline"/>
                      <w:lang w:val="en-US" w:eastAsia="zh-CN"/>
                      <w14:textFill>
                        <w14:solidFill>
                          <w14:schemeClr w14:val="tx1"/>
                        </w14:solidFill>
                      </w14:textFill>
                    </w:rPr>
                    <w:t>化验用水</w:t>
                  </w:r>
                </w:p>
              </w:tc>
              <w:tc>
                <w:tcPr>
                  <w:tcW w:w="470" w:type="pct"/>
                  <w:tcBorders>
                    <w:tl2br w:val="nil"/>
                    <w:tr2bl w:val="nil"/>
                  </w:tcBorders>
                  <w:vAlign w:val="center"/>
                </w:tcPr>
                <w:p w14:paraId="16D2C20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color w:val="000000" w:themeColor="text1"/>
                      <w:sz w:val="21"/>
                      <w:szCs w:val="21"/>
                      <w:highlight w:val="none"/>
                      <w:vertAlign w:val="baseline"/>
                      <w:lang w:val="en-US" w:eastAsia="zh-CN"/>
                      <w14:textFill>
                        <w14:solidFill>
                          <w14:schemeClr w14:val="tx1"/>
                        </w14:solidFill>
                      </w14:textFill>
                    </w:rPr>
                    <w:t>10</w:t>
                  </w: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只/d</w:t>
                  </w:r>
                </w:p>
              </w:tc>
              <w:tc>
                <w:tcPr>
                  <w:tcW w:w="702" w:type="pct"/>
                  <w:tcBorders>
                    <w:tl2br w:val="nil"/>
                    <w:tr2bl w:val="nil"/>
                  </w:tcBorders>
                  <w:vAlign w:val="center"/>
                </w:tcPr>
                <w:p w14:paraId="422803E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15</w:t>
                  </w: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L/只</w:t>
                  </w:r>
                  <w:r>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w:t>
                  </w: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d</w:t>
                  </w:r>
                </w:p>
              </w:tc>
              <w:tc>
                <w:tcPr>
                  <w:tcW w:w="996" w:type="dxa"/>
                  <w:tcBorders>
                    <w:tl2br w:val="nil"/>
                    <w:tr2bl w:val="nil"/>
                  </w:tcBorders>
                  <w:vAlign w:val="center"/>
                </w:tcPr>
                <w:p w14:paraId="0EE4A03A">
                  <w:pPr>
                    <w:keepNext w:val="0"/>
                    <w:keepLines w:val="0"/>
                    <w:widowControl/>
                    <w:suppressLineNumbers w:val="0"/>
                    <w:jc w:val="center"/>
                    <w:textAlignment w:val="center"/>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0.15</w:t>
                  </w:r>
                </w:p>
              </w:tc>
              <w:tc>
                <w:tcPr>
                  <w:tcW w:w="954" w:type="dxa"/>
                  <w:tcBorders>
                    <w:tl2br w:val="nil"/>
                    <w:tr2bl w:val="nil"/>
                  </w:tcBorders>
                  <w:vAlign w:val="center"/>
                </w:tcPr>
                <w:p w14:paraId="12BBA62C">
                  <w:pPr>
                    <w:keepNext w:val="0"/>
                    <w:keepLines w:val="0"/>
                    <w:widowControl/>
                    <w:suppressLineNumbers w:val="0"/>
                    <w:jc w:val="center"/>
                    <w:textAlignment w:val="center"/>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54.75</w:t>
                  </w:r>
                </w:p>
              </w:tc>
              <w:tc>
                <w:tcPr>
                  <w:tcW w:w="996" w:type="dxa"/>
                  <w:tcBorders>
                    <w:tl2br w:val="nil"/>
                    <w:tr2bl w:val="nil"/>
                  </w:tcBorders>
                  <w:vAlign w:val="center"/>
                </w:tcPr>
                <w:p w14:paraId="1C0E764E">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0.135</w:t>
                  </w:r>
                </w:p>
              </w:tc>
              <w:tc>
                <w:tcPr>
                  <w:tcW w:w="1002" w:type="dxa"/>
                  <w:tcBorders>
                    <w:tl2br w:val="nil"/>
                    <w:tr2bl w:val="nil"/>
                  </w:tcBorders>
                  <w:vAlign w:val="center"/>
                </w:tcPr>
                <w:p w14:paraId="089081EF">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49.275</w:t>
                  </w:r>
                </w:p>
              </w:tc>
            </w:tr>
            <w:tr w14:paraId="64CCF2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1" w:type="pct"/>
                  <w:vMerge w:val="continue"/>
                  <w:tcBorders>
                    <w:tl2br w:val="nil"/>
                    <w:tr2bl w:val="nil"/>
                  </w:tcBorders>
                  <w:vAlign w:val="center"/>
                </w:tcPr>
                <w:p w14:paraId="04A48D0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FF0000"/>
                      <w:sz w:val="21"/>
                      <w:szCs w:val="21"/>
                      <w:highlight w:val="none"/>
                      <w:vertAlign w:val="baseline"/>
                      <w:lang w:val="en-US" w:eastAsia="zh-CN"/>
                    </w:rPr>
                  </w:pPr>
                </w:p>
              </w:tc>
              <w:tc>
                <w:tcPr>
                  <w:tcW w:w="702" w:type="pct"/>
                  <w:tcBorders>
                    <w:tl2br w:val="nil"/>
                    <w:tr2bl w:val="nil"/>
                  </w:tcBorders>
                  <w:vAlign w:val="center"/>
                </w:tcPr>
                <w:p w14:paraId="44DE938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宠物饮用水</w:t>
                  </w:r>
                </w:p>
              </w:tc>
              <w:tc>
                <w:tcPr>
                  <w:tcW w:w="470" w:type="pct"/>
                  <w:tcBorders>
                    <w:tl2br w:val="nil"/>
                    <w:tr2bl w:val="nil"/>
                  </w:tcBorders>
                  <w:vAlign w:val="center"/>
                </w:tcPr>
                <w:p w14:paraId="5E5567B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w:t>
                  </w:r>
                </w:p>
              </w:tc>
              <w:tc>
                <w:tcPr>
                  <w:tcW w:w="702" w:type="pct"/>
                  <w:tcBorders>
                    <w:tl2br w:val="nil"/>
                    <w:tr2bl w:val="nil"/>
                  </w:tcBorders>
                  <w:vAlign w:val="center"/>
                </w:tcPr>
                <w:p w14:paraId="21D5D3B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w:t>
                  </w:r>
                </w:p>
              </w:tc>
              <w:tc>
                <w:tcPr>
                  <w:tcW w:w="996" w:type="dxa"/>
                  <w:tcBorders>
                    <w:tl2br w:val="nil"/>
                    <w:tr2bl w:val="nil"/>
                  </w:tcBorders>
                  <w:vAlign w:val="center"/>
                </w:tcPr>
                <w:p w14:paraId="4ABCFE79">
                  <w:pPr>
                    <w:keepNext w:val="0"/>
                    <w:keepLines w:val="0"/>
                    <w:widowControl/>
                    <w:suppressLineNumbers w:val="0"/>
                    <w:jc w:val="center"/>
                    <w:textAlignment w:val="center"/>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0.0129</w:t>
                  </w:r>
                </w:p>
              </w:tc>
              <w:tc>
                <w:tcPr>
                  <w:tcW w:w="954" w:type="dxa"/>
                  <w:tcBorders>
                    <w:tl2br w:val="nil"/>
                    <w:tr2bl w:val="nil"/>
                  </w:tcBorders>
                  <w:vAlign w:val="center"/>
                </w:tcPr>
                <w:p w14:paraId="20750779">
                  <w:pPr>
                    <w:keepNext w:val="0"/>
                    <w:keepLines w:val="0"/>
                    <w:widowControl/>
                    <w:suppressLineNumbers w:val="0"/>
                    <w:jc w:val="center"/>
                    <w:textAlignment w:val="center"/>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4.7085</w:t>
                  </w:r>
                </w:p>
              </w:tc>
              <w:tc>
                <w:tcPr>
                  <w:tcW w:w="996" w:type="dxa"/>
                  <w:tcBorders>
                    <w:tl2br w:val="nil"/>
                    <w:tr2bl w:val="nil"/>
                  </w:tcBorders>
                  <w:vAlign w:val="center"/>
                </w:tcPr>
                <w:p w14:paraId="7F3D0C4F">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002" w:type="dxa"/>
                  <w:tcBorders>
                    <w:tl2br w:val="nil"/>
                    <w:tr2bl w:val="nil"/>
                  </w:tcBorders>
                  <w:vAlign w:val="center"/>
                </w:tcPr>
                <w:p w14:paraId="09882365">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r>
            <w:tr w14:paraId="0FDB33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1" w:type="pct"/>
                  <w:vMerge w:val="continue"/>
                  <w:tcBorders>
                    <w:tl2br w:val="nil"/>
                    <w:tr2bl w:val="nil"/>
                  </w:tcBorders>
                  <w:vAlign w:val="center"/>
                </w:tcPr>
                <w:p w14:paraId="5F1D377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FF0000"/>
                      <w:sz w:val="21"/>
                      <w:szCs w:val="21"/>
                      <w:highlight w:val="none"/>
                      <w:vertAlign w:val="baseline"/>
                      <w:lang w:val="en-US" w:eastAsia="zh-CN"/>
                    </w:rPr>
                  </w:pPr>
                </w:p>
              </w:tc>
              <w:tc>
                <w:tcPr>
                  <w:tcW w:w="702" w:type="pct"/>
                  <w:tcBorders>
                    <w:tl2br w:val="nil"/>
                    <w:tr2bl w:val="nil"/>
                  </w:tcBorders>
                  <w:vAlign w:val="center"/>
                </w:tcPr>
                <w:p w14:paraId="488172E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宠物笼清洗用水</w:t>
                  </w:r>
                </w:p>
              </w:tc>
              <w:tc>
                <w:tcPr>
                  <w:tcW w:w="470" w:type="pct"/>
                  <w:tcBorders>
                    <w:tl2br w:val="nil"/>
                    <w:tr2bl w:val="nil"/>
                  </w:tcBorders>
                  <w:vAlign w:val="center"/>
                </w:tcPr>
                <w:p w14:paraId="021287F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color w:val="000000" w:themeColor="text1"/>
                      <w:sz w:val="21"/>
                      <w:szCs w:val="21"/>
                      <w:highlight w:val="none"/>
                      <w:vertAlign w:val="baseline"/>
                      <w:lang w:val="en-US" w:eastAsia="zh-CN"/>
                      <w14:textFill>
                        <w14:solidFill>
                          <w14:schemeClr w14:val="tx1"/>
                        </w14:solidFill>
                      </w14:textFill>
                    </w:rPr>
                    <w:t>19</w:t>
                  </w:r>
                  <w:r>
                    <w:rPr>
                      <w:rFonts w:hint="eastAsia"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只</w:t>
                  </w:r>
                </w:p>
              </w:tc>
              <w:tc>
                <w:tcPr>
                  <w:tcW w:w="702" w:type="pct"/>
                  <w:tcBorders>
                    <w:tl2br w:val="nil"/>
                    <w:tr2bl w:val="nil"/>
                  </w:tcBorders>
                  <w:vAlign w:val="center"/>
                </w:tcPr>
                <w:p w14:paraId="38C8583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5L/笼</w:t>
                  </w:r>
                </w:p>
              </w:tc>
              <w:tc>
                <w:tcPr>
                  <w:tcW w:w="996" w:type="dxa"/>
                  <w:tcBorders>
                    <w:tl2br w:val="nil"/>
                    <w:tr2bl w:val="nil"/>
                  </w:tcBorders>
                  <w:vAlign w:val="center"/>
                </w:tcPr>
                <w:p w14:paraId="6EA9EA90">
                  <w:pPr>
                    <w:keepNext w:val="0"/>
                    <w:keepLines w:val="0"/>
                    <w:widowControl/>
                    <w:suppressLineNumbers w:val="0"/>
                    <w:jc w:val="center"/>
                    <w:textAlignment w:val="center"/>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0.095</w:t>
                  </w:r>
                </w:p>
              </w:tc>
              <w:tc>
                <w:tcPr>
                  <w:tcW w:w="954" w:type="dxa"/>
                  <w:tcBorders>
                    <w:tl2br w:val="nil"/>
                    <w:tr2bl w:val="nil"/>
                  </w:tcBorders>
                  <w:vAlign w:val="center"/>
                </w:tcPr>
                <w:p w14:paraId="7D4676C3">
                  <w:pPr>
                    <w:keepNext w:val="0"/>
                    <w:keepLines w:val="0"/>
                    <w:widowControl/>
                    <w:suppressLineNumbers w:val="0"/>
                    <w:jc w:val="center"/>
                    <w:textAlignment w:val="center"/>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34.675</w:t>
                  </w:r>
                </w:p>
              </w:tc>
              <w:tc>
                <w:tcPr>
                  <w:tcW w:w="996" w:type="dxa"/>
                  <w:tcBorders>
                    <w:tl2br w:val="nil"/>
                    <w:tr2bl w:val="nil"/>
                  </w:tcBorders>
                  <w:vAlign w:val="center"/>
                </w:tcPr>
                <w:p w14:paraId="3DDB3FF7">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0.0855</w:t>
                  </w:r>
                </w:p>
              </w:tc>
              <w:tc>
                <w:tcPr>
                  <w:tcW w:w="1002" w:type="dxa"/>
                  <w:tcBorders>
                    <w:tl2br w:val="nil"/>
                    <w:tr2bl w:val="nil"/>
                  </w:tcBorders>
                  <w:vAlign w:val="center"/>
                </w:tcPr>
                <w:p w14:paraId="0FBFD7B3">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31.2075</w:t>
                  </w:r>
                </w:p>
              </w:tc>
            </w:tr>
            <w:tr w14:paraId="7492E1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731" w:type="pct"/>
                  <w:vMerge w:val="continue"/>
                  <w:tcBorders>
                    <w:tl2br w:val="nil"/>
                    <w:tr2bl w:val="nil"/>
                  </w:tcBorders>
                  <w:vAlign w:val="center"/>
                </w:tcPr>
                <w:p w14:paraId="7F6D998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FF0000"/>
                      <w:sz w:val="21"/>
                      <w:szCs w:val="21"/>
                      <w:highlight w:val="none"/>
                      <w:vertAlign w:val="baseline"/>
                      <w:lang w:val="en-US" w:eastAsia="zh-CN"/>
                    </w:rPr>
                  </w:pPr>
                </w:p>
              </w:tc>
              <w:tc>
                <w:tcPr>
                  <w:tcW w:w="702" w:type="pct"/>
                  <w:tcBorders>
                    <w:tl2br w:val="nil"/>
                    <w:tr2bl w:val="nil"/>
                  </w:tcBorders>
                  <w:vAlign w:val="center"/>
                </w:tcPr>
                <w:p w14:paraId="1533DFB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手术器械清洗用水</w:t>
                  </w:r>
                </w:p>
              </w:tc>
              <w:tc>
                <w:tcPr>
                  <w:tcW w:w="470" w:type="pct"/>
                  <w:tcBorders>
                    <w:tl2br w:val="nil"/>
                    <w:tr2bl w:val="nil"/>
                  </w:tcBorders>
                  <w:vAlign w:val="center"/>
                </w:tcPr>
                <w:p w14:paraId="660E5C6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color w:val="000000" w:themeColor="text1"/>
                      <w:sz w:val="21"/>
                      <w:szCs w:val="21"/>
                      <w:highlight w:val="none"/>
                      <w:vertAlign w:val="baseline"/>
                      <w:lang w:val="en-US" w:eastAsia="zh-CN"/>
                      <w14:textFill>
                        <w14:solidFill>
                          <w14:schemeClr w14:val="tx1"/>
                        </w14:solidFill>
                      </w14:textFill>
                    </w:rPr>
                    <w:t>4</w:t>
                  </w: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台/d</w:t>
                  </w:r>
                </w:p>
              </w:tc>
              <w:tc>
                <w:tcPr>
                  <w:tcW w:w="702" w:type="pct"/>
                  <w:tcBorders>
                    <w:tl2br w:val="nil"/>
                    <w:tr2bl w:val="nil"/>
                  </w:tcBorders>
                  <w:vAlign w:val="center"/>
                </w:tcPr>
                <w:p w14:paraId="2BC969D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5L/台</w:t>
                  </w:r>
                </w:p>
              </w:tc>
              <w:tc>
                <w:tcPr>
                  <w:tcW w:w="996" w:type="dxa"/>
                  <w:tcBorders>
                    <w:tl2br w:val="nil"/>
                    <w:tr2bl w:val="nil"/>
                  </w:tcBorders>
                  <w:vAlign w:val="center"/>
                </w:tcPr>
                <w:p w14:paraId="66DB37B1">
                  <w:pPr>
                    <w:keepNext w:val="0"/>
                    <w:keepLines w:val="0"/>
                    <w:widowControl/>
                    <w:suppressLineNumbers w:val="0"/>
                    <w:jc w:val="center"/>
                    <w:textAlignment w:val="center"/>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0.02</w:t>
                  </w:r>
                </w:p>
              </w:tc>
              <w:tc>
                <w:tcPr>
                  <w:tcW w:w="954" w:type="dxa"/>
                  <w:tcBorders>
                    <w:tl2br w:val="nil"/>
                    <w:tr2bl w:val="nil"/>
                  </w:tcBorders>
                  <w:vAlign w:val="center"/>
                </w:tcPr>
                <w:p w14:paraId="3B710324">
                  <w:pPr>
                    <w:keepNext w:val="0"/>
                    <w:keepLines w:val="0"/>
                    <w:widowControl/>
                    <w:suppressLineNumbers w:val="0"/>
                    <w:jc w:val="center"/>
                    <w:textAlignment w:val="center"/>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7.3</w:t>
                  </w:r>
                </w:p>
              </w:tc>
              <w:tc>
                <w:tcPr>
                  <w:tcW w:w="996" w:type="dxa"/>
                  <w:tcBorders>
                    <w:tl2br w:val="nil"/>
                    <w:tr2bl w:val="nil"/>
                  </w:tcBorders>
                  <w:vAlign w:val="center"/>
                </w:tcPr>
                <w:p w14:paraId="05CC53C0">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0.018</w:t>
                  </w:r>
                </w:p>
              </w:tc>
              <w:tc>
                <w:tcPr>
                  <w:tcW w:w="1002" w:type="dxa"/>
                  <w:tcBorders>
                    <w:tl2br w:val="nil"/>
                    <w:tr2bl w:val="nil"/>
                  </w:tcBorders>
                  <w:vAlign w:val="center"/>
                </w:tcPr>
                <w:p w14:paraId="2690085F">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6.57</w:t>
                  </w:r>
                </w:p>
              </w:tc>
            </w:tr>
            <w:tr w14:paraId="6B257E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07" w:type="pct"/>
                  <w:gridSpan w:val="4"/>
                  <w:tcBorders>
                    <w:tl2br w:val="nil"/>
                    <w:tr2bl w:val="nil"/>
                  </w:tcBorders>
                  <w:vAlign w:val="center"/>
                </w:tcPr>
                <w:p w14:paraId="72513F4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color w:val="000000" w:themeColor="text1"/>
                      <w:sz w:val="21"/>
                      <w:szCs w:val="21"/>
                      <w:highlight w:val="none"/>
                      <w:vertAlign w:val="baseline"/>
                      <w:lang w:val="en-US" w:eastAsia="zh-CN"/>
                      <w14:textFill>
                        <w14:solidFill>
                          <w14:schemeClr w14:val="tx1"/>
                        </w14:solidFill>
                      </w14:textFill>
                    </w:rPr>
                    <w:t>小计</w:t>
                  </w:r>
                </w:p>
              </w:tc>
              <w:tc>
                <w:tcPr>
                  <w:tcW w:w="996" w:type="dxa"/>
                  <w:tcBorders>
                    <w:tl2br w:val="nil"/>
                    <w:tr2bl w:val="nil"/>
                  </w:tcBorders>
                  <w:vAlign w:val="center"/>
                </w:tcPr>
                <w:p w14:paraId="120CFA4D">
                  <w:pPr>
                    <w:keepNext w:val="0"/>
                    <w:keepLines w:val="0"/>
                    <w:widowControl/>
                    <w:suppressLineNumbers w:val="0"/>
                    <w:jc w:val="center"/>
                    <w:textAlignment w:val="center"/>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0.2779</w:t>
                  </w:r>
                </w:p>
              </w:tc>
              <w:tc>
                <w:tcPr>
                  <w:tcW w:w="954" w:type="dxa"/>
                  <w:tcBorders>
                    <w:tl2br w:val="nil"/>
                    <w:tr2bl w:val="nil"/>
                  </w:tcBorders>
                  <w:vAlign w:val="center"/>
                </w:tcPr>
                <w:p w14:paraId="44A4D578">
                  <w:pPr>
                    <w:keepNext w:val="0"/>
                    <w:keepLines w:val="0"/>
                    <w:widowControl/>
                    <w:suppressLineNumbers w:val="0"/>
                    <w:jc w:val="center"/>
                    <w:textAlignment w:val="center"/>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101.4335</w:t>
                  </w:r>
                </w:p>
              </w:tc>
              <w:tc>
                <w:tcPr>
                  <w:tcW w:w="996" w:type="dxa"/>
                  <w:tcBorders>
                    <w:tl2br w:val="nil"/>
                    <w:tr2bl w:val="nil"/>
                  </w:tcBorders>
                  <w:vAlign w:val="center"/>
                </w:tcPr>
                <w:p w14:paraId="0D3FE12E">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0.2385</w:t>
                  </w:r>
                </w:p>
              </w:tc>
              <w:tc>
                <w:tcPr>
                  <w:tcW w:w="1002" w:type="dxa"/>
                  <w:tcBorders>
                    <w:tl2br w:val="nil"/>
                    <w:tr2bl w:val="nil"/>
                  </w:tcBorders>
                  <w:vAlign w:val="center"/>
                </w:tcPr>
                <w:p w14:paraId="7186C36F">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87.0525</w:t>
                  </w:r>
                </w:p>
              </w:tc>
            </w:tr>
            <w:tr w14:paraId="5058CA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33" w:type="pct"/>
                  <w:gridSpan w:val="2"/>
                  <w:tcBorders>
                    <w:tl2br w:val="nil"/>
                    <w:tr2bl w:val="nil"/>
                  </w:tcBorders>
                  <w:vAlign w:val="center"/>
                </w:tcPr>
                <w:p w14:paraId="2C9FB7B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地面清洁用水</w:t>
                  </w:r>
                </w:p>
              </w:tc>
              <w:tc>
                <w:tcPr>
                  <w:tcW w:w="470" w:type="pct"/>
                  <w:tcBorders>
                    <w:tl2br w:val="nil"/>
                    <w:tr2bl w:val="nil"/>
                  </w:tcBorders>
                  <w:vAlign w:val="center"/>
                </w:tcPr>
                <w:p w14:paraId="3869DBD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b w:val="0"/>
                      <w:bCs/>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color w:val="000000" w:themeColor="text1"/>
                      <w:sz w:val="21"/>
                      <w:szCs w:val="21"/>
                      <w:highlight w:val="none"/>
                      <w:vertAlign w:val="baseline"/>
                      <w:lang w:val="en-US" w:eastAsia="zh-CN"/>
                      <w14:textFill>
                        <w14:solidFill>
                          <w14:schemeClr w14:val="tx1"/>
                        </w14:solidFill>
                      </w14:textFill>
                    </w:rPr>
                    <w:t>132</w:t>
                  </w:r>
                  <w:r>
                    <w:rPr>
                      <w:rFonts w:hint="eastAsia"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m</w:t>
                  </w:r>
                  <w:r>
                    <w:rPr>
                      <w:rFonts w:hint="eastAsia" w:ascii="Times New Roman" w:hAnsi="Times New Roman" w:cs="Times New Roman"/>
                      <w:b w:val="0"/>
                      <w:bCs/>
                      <w:color w:val="000000" w:themeColor="text1"/>
                      <w:sz w:val="21"/>
                      <w:szCs w:val="21"/>
                      <w:highlight w:val="none"/>
                      <w:vertAlign w:val="superscript"/>
                      <w:lang w:val="en-US" w:eastAsia="zh-CN"/>
                      <w14:textFill>
                        <w14:solidFill>
                          <w14:schemeClr w14:val="tx1"/>
                        </w14:solidFill>
                      </w14:textFill>
                    </w:rPr>
                    <w:t>2</w:t>
                  </w:r>
                </w:p>
              </w:tc>
              <w:tc>
                <w:tcPr>
                  <w:tcW w:w="702" w:type="pct"/>
                  <w:tcBorders>
                    <w:tl2br w:val="nil"/>
                    <w:tr2bl w:val="nil"/>
                  </w:tcBorders>
                  <w:vAlign w:val="center"/>
                </w:tcPr>
                <w:p w14:paraId="7723D8C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2L/（m</w:t>
                  </w:r>
                  <w:r>
                    <w:rPr>
                      <w:rFonts w:hint="default" w:ascii="Times New Roman" w:hAnsi="Times New Roman" w:cs="Times New Roman"/>
                      <w:b w:val="0"/>
                      <w:bCs/>
                      <w:color w:val="000000" w:themeColor="text1"/>
                      <w:sz w:val="21"/>
                      <w:szCs w:val="21"/>
                      <w:highlight w:val="none"/>
                      <w:vertAlign w:val="superscript"/>
                      <w:lang w:val="en-US" w:eastAsia="zh-CN"/>
                      <w14:textFill>
                        <w14:solidFill>
                          <w14:schemeClr w14:val="tx1"/>
                        </w14:solidFill>
                      </w14:textFill>
                    </w:rPr>
                    <w:t>2</w:t>
                  </w:r>
                  <w:r>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w:t>
                  </w: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d）</w:t>
                  </w:r>
                </w:p>
              </w:tc>
              <w:tc>
                <w:tcPr>
                  <w:tcW w:w="996" w:type="dxa"/>
                  <w:tcBorders>
                    <w:tl2br w:val="nil"/>
                    <w:tr2bl w:val="nil"/>
                  </w:tcBorders>
                  <w:vAlign w:val="center"/>
                </w:tcPr>
                <w:p w14:paraId="47BF2FA8">
                  <w:pPr>
                    <w:keepNext w:val="0"/>
                    <w:keepLines w:val="0"/>
                    <w:widowControl/>
                    <w:suppressLineNumbers w:val="0"/>
                    <w:jc w:val="center"/>
                    <w:textAlignment w:val="center"/>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0.264</w:t>
                  </w:r>
                </w:p>
              </w:tc>
              <w:tc>
                <w:tcPr>
                  <w:tcW w:w="954" w:type="dxa"/>
                  <w:tcBorders>
                    <w:tl2br w:val="nil"/>
                    <w:tr2bl w:val="nil"/>
                  </w:tcBorders>
                  <w:vAlign w:val="center"/>
                </w:tcPr>
                <w:p w14:paraId="03AD3CE7">
                  <w:pPr>
                    <w:keepNext w:val="0"/>
                    <w:keepLines w:val="0"/>
                    <w:widowControl/>
                    <w:suppressLineNumbers w:val="0"/>
                    <w:jc w:val="center"/>
                    <w:textAlignment w:val="center"/>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96.36</w:t>
                  </w:r>
                </w:p>
              </w:tc>
              <w:tc>
                <w:tcPr>
                  <w:tcW w:w="996" w:type="dxa"/>
                  <w:tcBorders>
                    <w:tl2br w:val="nil"/>
                    <w:tr2bl w:val="nil"/>
                  </w:tcBorders>
                  <w:vAlign w:val="center"/>
                </w:tcPr>
                <w:p w14:paraId="27E2BA32">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0.2376</w:t>
                  </w:r>
                </w:p>
              </w:tc>
              <w:tc>
                <w:tcPr>
                  <w:tcW w:w="1002" w:type="dxa"/>
                  <w:tcBorders>
                    <w:tl2br w:val="nil"/>
                    <w:tr2bl w:val="nil"/>
                  </w:tcBorders>
                  <w:vAlign w:val="center"/>
                </w:tcPr>
                <w:p w14:paraId="1A3017C0">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86.724</w:t>
                  </w:r>
                </w:p>
              </w:tc>
            </w:tr>
            <w:tr w14:paraId="77E24F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33" w:type="pct"/>
                  <w:gridSpan w:val="2"/>
                  <w:tcBorders>
                    <w:tl2br w:val="nil"/>
                    <w:tr2bl w:val="nil"/>
                  </w:tcBorders>
                  <w:vAlign w:val="center"/>
                </w:tcPr>
                <w:p w14:paraId="765BBD1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工服清洗用水</w:t>
                  </w:r>
                </w:p>
              </w:tc>
              <w:tc>
                <w:tcPr>
                  <w:tcW w:w="470" w:type="pct"/>
                  <w:tcBorders>
                    <w:tl2br w:val="nil"/>
                    <w:tr2bl w:val="nil"/>
                  </w:tcBorders>
                  <w:vAlign w:val="center"/>
                </w:tcPr>
                <w:p w14:paraId="7BC9DD8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color w:val="000000" w:themeColor="text1"/>
                      <w:sz w:val="21"/>
                      <w:szCs w:val="21"/>
                      <w:highlight w:val="none"/>
                      <w:vertAlign w:val="baseline"/>
                      <w:lang w:val="en-US" w:eastAsia="zh-CN"/>
                      <w14:textFill>
                        <w14:solidFill>
                          <w14:schemeClr w14:val="tx1"/>
                        </w14:solidFill>
                      </w14:textFill>
                    </w:rPr>
                    <w:t>3</w:t>
                  </w: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kg/d</w:t>
                  </w:r>
                </w:p>
              </w:tc>
              <w:tc>
                <w:tcPr>
                  <w:tcW w:w="702" w:type="pct"/>
                  <w:tcBorders>
                    <w:tl2br w:val="nil"/>
                    <w:tr2bl w:val="nil"/>
                  </w:tcBorders>
                  <w:vAlign w:val="center"/>
                </w:tcPr>
                <w:p w14:paraId="0E09B0C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60</w:t>
                  </w: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L/kg</w:t>
                  </w:r>
                </w:p>
              </w:tc>
              <w:tc>
                <w:tcPr>
                  <w:tcW w:w="996" w:type="dxa"/>
                  <w:tcBorders>
                    <w:tl2br w:val="nil"/>
                    <w:tr2bl w:val="nil"/>
                  </w:tcBorders>
                  <w:vAlign w:val="center"/>
                </w:tcPr>
                <w:p w14:paraId="6B5ECE5F">
                  <w:pPr>
                    <w:keepNext w:val="0"/>
                    <w:keepLines w:val="0"/>
                    <w:widowControl/>
                    <w:suppressLineNumbers w:val="0"/>
                    <w:jc w:val="center"/>
                    <w:textAlignment w:val="center"/>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0.18</w:t>
                  </w:r>
                </w:p>
              </w:tc>
              <w:tc>
                <w:tcPr>
                  <w:tcW w:w="954" w:type="dxa"/>
                  <w:tcBorders>
                    <w:tl2br w:val="nil"/>
                    <w:tr2bl w:val="nil"/>
                  </w:tcBorders>
                  <w:vAlign w:val="center"/>
                </w:tcPr>
                <w:p w14:paraId="2AB50543">
                  <w:pPr>
                    <w:keepNext w:val="0"/>
                    <w:keepLines w:val="0"/>
                    <w:widowControl/>
                    <w:suppressLineNumbers w:val="0"/>
                    <w:jc w:val="center"/>
                    <w:textAlignment w:val="center"/>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65.7</w:t>
                  </w:r>
                </w:p>
              </w:tc>
              <w:tc>
                <w:tcPr>
                  <w:tcW w:w="996" w:type="dxa"/>
                  <w:tcBorders>
                    <w:tl2br w:val="nil"/>
                    <w:tr2bl w:val="nil"/>
                  </w:tcBorders>
                  <w:vAlign w:val="center"/>
                </w:tcPr>
                <w:p w14:paraId="23D1C5FD">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0.162</w:t>
                  </w:r>
                </w:p>
              </w:tc>
              <w:tc>
                <w:tcPr>
                  <w:tcW w:w="1002" w:type="dxa"/>
                  <w:tcBorders>
                    <w:tl2br w:val="nil"/>
                    <w:tr2bl w:val="nil"/>
                  </w:tcBorders>
                  <w:vAlign w:val="center"/>
                </w:tcPr>
                <w:p w14:paraId="73E8381F">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59.13</w:t>
                  </w:r>
                </w:p>
              </w:tc>
            </w:tr>
            <w:tr w14:paraId="774E99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33" w:type="pct"/>
                  <w:gridSpan w:val="2"/>
                  <w:tcBorders>
                    <w:tl2br w:val="nil"/>
                    <w:tr2bl w:val="nil"/>
                  </w:tcBorders>
                  <w:vAlign w:val="center"/>
                </w:tcPr>
                <w:p w14:paraId="5BE1D5A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美容洗浴用水</w:t>
                  </w:r>
                </w:p>
              </w:tc>
              <w:tc>
                <w:tcPr>
                  <w:tcW w:w="470" w:type="pct"/>
                  <w:tcBorders>
                    <w:tl2br w:val="nil"/>
                    <w:tr2bl w:val="nil"/>
                  </w:tcBorders>
                  <w:vAlign w:val="center"/>
                </w:tcPr>
                <w:p w14:paraId="39CC1EE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color w:val="000000" w:themeColor="text1"/>
                      <w:sz w:val="21"/>
                      <w:szCs w:val="21"/>
                      <w:highlight w:val="none"/>
                      <w:vertAlign w:val="baseline"/>
                      <w:lang w:val="en-US" w:eastAsia="zh-CN"/>
                      <w14:textFill>
                        <w14:solidFill>
                          <w14:schemeClr w14:val="tx1"/>
                        </w14:solidFill>
                      </w14:textFill>
                    </w:rPr>
                    <w:t>4</w:t>
                  </w:r>
                  <w:r>
                    <w:rPr>
                      <w:rFonts w:hint="eastAsia"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只/d</w:t>
                  </w:r>
                </w:p>
              </w:tc>
              <w:tc>
                <w:tcPr>
                  <w:tcW w:w="702" w:type="pct"/>
                  <w:tcBorders>
                    <w:tl2br w:val="nil"/>
                    <w:tr2bl w:val="nil"/>
                  </w:tcBorders>
                  <w:vAlign w:val="center"/>
                </w:tcPr>
                <w:p w14:paraId="18D5D75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50L/只</w:t>
                  </w:r>
                </w:p>
              </w:tc>
              <w:tc>
                <w:tcPr>
                  <w:tcW w:w="996" w:type="dxa"/>
                  <w:tcBorders>
                    <w:tl2br w:val="nil"/>
                    <w:tr2bl w:val="nil"/>
                  </w:tcBorders>
                  <w:vAlign w:val="center"/>
                </w:tcPr>
                <w:p w14:paraId="67739FFB">
                  <w:pPr>
                    <w:keepNext w:val="0"/>
                    <w:keepLines w:val="0"/>
                    <w:widowControl/>
                    <w:suppressLineNumbers w:val="0"/>
                    <w:jc w:val="center"/>
                    <w:textAlignment w:val="center"/>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0.2</w:t>
                  </w:r>
                </w:p>
              </w:tc>
              <w:tc>
                <w:tcPr>
                  <w:tcW w:w="954" w:type="dxa"/>
                  <w:tcBorders>
                    <w:tl2br w:val="nil"/>
                    <w:tr2bl w:val="nil"/>
                  </w:tcBorders>
                  <w:vAlign w:val="center"/>
                </w:tcPr>
                <w:p w14:paraId="40D99330">
                  <w:pPr>
                    <w:keepNext w:val="0"/>
                    <w:keepLines w:val="0"/>
                    <w:widowControl/>
                    <w:suppressLineNumbers w:val="0"/>
                    <w:jc w:val="center"/>
                    <w:textAlignment w:val="center"/>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73</w:t>
                  </w:r>
                </w:p>
              </w:tc>
              <w:tc>
                <w:tcPr>
                  <w:tcW w:w="996" w:type="dxa"/>
                  <w:tcBorders>
                    <w:tl2br w:val="nil"/>
                    <w:tr2bl w:val="nil"/>
                  </w:tcBorders>
                  <w:vAlign w:val="center"/>
                </w:tcPr>
                <w:p w14:paraId="08910C76">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0.18</w:t>
                  </w:r>
                </w:p>
              </w:tc>
              <w:tc>
                <w:tcPr>
                  <w:tcW w:w="1002" w:type="dxa"/>
                  <w:tcBorders>
                    <w:tl2br w:val="nil"/>
                    <w:tr2bl w:val="nil"/>
                  </w:tcBorders>
                  <w:vAlign w:val="center"/>
                </w:tcPr>
                <w:p w14:paraId="7627C46F">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65.7</w:t>
                  </w:r>
                </w:p>
              </w:tc>
            </w:tr>
            <w:tr w14:paraId="26A379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33" w:type="pct"/>
                  <w:gridSpan w:val="2"/>
                  <w:tcBorders>
                    <w:tl2br w:val="nil"/>
                    <w:tr2bl w:val="nil"/>
                  </w:tcBorders>
                  <w:vAlign w:val="center"/>
                </w:tcPr>
                <w:p w14:paraId="19164F8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宠物毛毯清洗用水</w:t>
                  </w:r>
                </w:p>
              </w:tc>
              <w:tc>
                <w:tcPr>
                  <w:tcW w:w="470" w:type="pct"/>
                  <w:tcBorders>
                    <w:tl2br w:val="nil"/>
                    <w:tr2bl w:val="nil"/>
                  </w:tcBorders>
                  <w:vAlign w:val="center"/>
                </w:tcPr>
                <w:p w14:paraId="2BC467E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color w:val="000000" w:themeColor="text1"/>
                      <w:sz w:val="21"/>
                      <w:szCs w:val="21"/>
                      <w:highlight w:val="none"/>
                      <w:vertAlign w:val="baseline"/>
                      <w:lang w:val="en-US" w:eastAsia="zh-CN"/>
                      <w14:textFill>
                        <w14:solidFill>
                          <w14:schemeClr w14:val="tx1"/>
                        </w14:solidFill>
                      </w14:textFill>
                    </w:rPr>
                    <w:t>1</w:t>
                  </w:r>
                  <w:r>
                    <w:rPr>
                      <w:rFonts w:hint="eastAsia"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kg/d</w:t>
                  </w:r>
                </w:p>
              </w:tc>
              <w:tc>
                <w:tcPr>
                  <w:tcW w:w="702" w:type="pct"/>
                  <w:tcBorders>
                    <w:tl2br w:val="nil"/>
                    <w:tr2bl w:val="nil"/>
                  </w:tcBorders>
                  <w:vAlign w:val="center"/>
                </w:tcPr>
                <w:p w14:paraId="5681346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60L/kg</w:t>
                  </w:r>
                </w:p>
              </w:tc>
              <w:tc>
                <w:tcPr>
                  <w:tcW w:w="996" w:type="dxa"/>
                  <w:tcBorders>
                    <w:tl2br w:val="nil"/>
                    <w:tr2bl w:val="nil"/>
                  </w:tcBorders>
                  <w:vAlign w:val="center"/>
                </w:tcPr>
                <w:p w14:paraId="73FCE312">
                  <w:pPr>
                    <w:keepNext w:val="0"/>
                    <w:keepLines w:val="0"/>
                    <w:widowControl/>
                    <w:suppressLineNumbers w:val="0"/>
                    <w:jc w:val="center"/>
                    <w:textAlignment w:val="center"/>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0.06</w:t>
                  </w:r>
                </w:p>
              </w:tc>
              <w:tc>
                <w:tcPr>
                  <w:tcW w:w="954" w:type="dxa"/>
                  <w:tcBorders>
                    <w:tl2br w:val="nil"/>
                    <w:tr2bl w:val="nil"/>
                  </w:tcBorders>
                  <w:vAlign w:val="center"/>
                </w:tcPr>
                <w:p w14:paraId="694DF3AB">
                  <w:pPr>
                    <w:keepNext w:val="0"/>
                    <w:keepLines w:val="0"/>
                    <w:widowControl/>
                    <w:suppressLineNumbers w:val="0"/>
                    <w:jc w:val="center"/>
                    <w:textAlignment w:val="center"/>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21.9</w:t>
                  </w:r>
                </w:p>
              </w:tc>
              <w:tc>
                <w:tcPr>
                  <w:tcW w:w="996" w:type="dxa"/>
                  <w:tcBorders>
                    <w:tl2br w:val="nil"/>
                    <w:tr2bl w:val="nil"/>
                  </w:tcBorders>
                  <w:vAlign w:val="center"/>
                </w:tcPr>
                <w:p w14:paraId="155CF04D">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0.054</w:t>
                  </w:r>
                </w:p>
              </w:tc>
              <w:tc>
                <w:tcPr>
                  <w:tcW w:w="1002" w:type="dxa"/>
                  <w:tcBorders>
                    <w:tl2br w:val="nil"/>
                    <w:tr2bl w:val="nil"/>
                  </w:tcBorders>
                  <w:vAlign w:val="center"/>
                </w:tcPr>
                <w:p w14:paraId="4E9F00A2">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19.71</w:t>
                  </w:r>
                </w:p>
              </w:tc>
            </w:tr>
            <w:tr w14:paraId="735B0C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07" w:type="pct"/>
                  <w:gridSpan w:val="4"/>
                  <w:tcBorders>
                    <w:tl2br w:val="nil"/>
                    <w:tr2bl w:val="nil"/>
                  </w:tcBorders>
                  <w:vAlign w:val="center"/>
                </w:tcPr>
                <w:p w14:paraId="25F5467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color w:val="000000" w:themeColor="text1"/>
                      <w:sz w:val="21"/>
                      <w:szCs w:val="21"/>
                      <w:highlight w:val="none"/>
                      <w:vertAlign w:val="baseline"/>
                      <w:lang w:val="en-US" w:eastAsia="zh-CN"/>
                      <w14:textFill>
                        <w14:solidFill>
                          <w14:schemeClr w14:val="tx1"/>
                        </w14:solidFill>
                      </w14:textFill>
                    </w:rPr>
                    <w:t>小计</w:t>
                  </w:r>
                </w:p>
              </w:tc>
              <w:tc>
                <w:tcPr>
                  <w:tcW w:w="996" w:type="dxa"/>
                  <w:tcBorders>
                    <w:tl2br w:val="nil"/>
                    <w:tr2bl w:val="nil"/>
                  </w:tcBorders>
                  <w:vAlign w:val="center"/>
                </w:tcPr>
                <w:p w14:paraId="5C7D52F4">
                  <w:pPr>
                    <w:keepNext w:val="0"/>
                    <w:keepLines w:val="0"/>
                    <w:widowControl/>
                    <w:suppressLineNumbers w:val="0"/>
                    <w:jc w:val="center"/>
                    <w:textAlignment w:val="center"/>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0.704</w:t>
                  </w:r>
                </w:p>
              </w:tc>
              <w:tc>
                <w:tcPr>
                  <w:tcW w:w="954" w:type="dxa"/>
                  <w:tcBorders>
                    <w:tl2br w:val="nil"/>
                    <w:tr2bl w:val="nil"/>
                  </w:tcBorders>
                  <w:vAlign w:val="center"/>
                </w:tcPr>
                <w:p w14:paraId="306164B0">
                  <w:pPr>
                    <w:keepNext w:val="0"/>
                    <w:keepLines w:val="0"/>
                    <w:widowControl/>
                    <w:suppressLineNumbers w:val="0"/>
                    <w:jc w:val="center"/>
                    <w:textAlignment w:val="center"/>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256.96</w:t>
                  </w:r>
                </w:p>
              </w:tc>
              <w:tc>
                <w:tcPr>
                  <w:tcW w:w="996" w:type="dxa"/>
                  <w:tcBorders>
                    <w:tl2br w:val="nil"/>
                    <w:tr2bl w:val="nil"/>
                  </w:tcBorders>
                  <w:vAlign w:val="center"/>
                </w:tcPr>
                <w:p w14:paraId="357ECCC8">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0.6336</w:t>
                  </w:r>
                </w:p>
              </w:tc>
              <w:tc>
                <w:tcPr>
                  <w:tcW w:w="1002" w:type="dxa"/>
                  <w:tcBorders>
                    <w:tl2br w:val="nil"/>
                    <w:tr2bl w:val="nil"/>
                  </w:tcBorders>
                  <w:vAlign w:val="center"/>
                </w:tcPr>
                <w:p w14:paraId="33B1665E">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231.264</w:t>
                  </w:r>
                </w:p>
              </w:tc>
            </w:tr>
            <w:tr w14:paraId="576364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07" w:type="pct"/>
                  <w:gridSpan w:val="4"/>
                  <w:tcBorders>
                    <w:tl2br w:val="nil"/>
                    <w:tr2bl w:val="nil"/>
                  </w:tcBorders>
                  <w:vAlign w:val="center"/>
                </w:tcPr>
                <w:p w14:paraId="48E703C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合计</w:t>
                  </w:r>
                </w:p>
              </w:tc>
              <w:tc>
                <w:tcPr>
                  <w:tcW w:w="996" w:type="dxa"/>
                  <w:tcBorders>
                    <w:tl2br w:val="nil"/>
                    <w:tr2bl w:val="nil"/>
                  </w:tcBorders>
                  <w:vAlign w:val="center"/>
                </w:tcPr>
                <w:p w14:paraId="67763D6B">
                  <w:pPr>
                    <w:keepNext w:val="0"/>
                    <w:keepLines w:val="0"/>
                    <w:widowControl/>
                    <w:suppressLineNumbers w:val="0"/>
                    <w:jc w:val="center"/>
                    <w:textAlignment w:val="center"/>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1.4919</w:t>
                  </w:r>
                </w:p>
              </w:tc>
              <w:tc>
                <w:tcPr>
                  <w:tcW w:w="954" w:type="dxa"/>
                  <w:tcBorders>
                    <w:tl2br w:val="nil"/>
                    <w:tr2bl w:val="nil"/>
                  </w:tcBorders>
                  <w:vAlign w:val="center"/>
                </w:tcPr>
                <w:p w14:paraId="21A15B46">
                  <w:pPr>
                    <w:keepNext w:val="0"/>
                    <w:keepLines w:val="0"/>
                    <w:widowControl/>
                    <w:suppressLineNumbers w:val="0"/>
                    <w:jc w:val="center"/>
                    <w:textAlignment w:val="center"/>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544.5435</w:t>
                  </w:r>
                </w:p>
              </w:tc>
              <w:tc>
                <w:tcPr>
                  <w:tcW w:w="996" w:type="dxa"/>
                  <w:tcBorders>
                    <w:tl2br w:val="nil"/>
                    <w:tr2bl w:val="nil"/>
                  </w:tcBorders>
                  <w:vAlign w:val="center"/>
                </w:tcPr>
                <w:p w14:paraId="5CF2F3F1">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1.3311</w:t>
                  </w:r>
                </w:p>
              </w:tc>
              <w:tc>
                <w:tcPr>
                  <w:tcW w:w="1002" w:type="dxa"/>
                  <w:tcBorders>
                    <w:tl2br w:val="nil"/>
                    <w:tr2bl w:val="nil"/>
                  </w:tcBorders>
                  <w:vAlign w:val="center"/>
                </w:tcPr>
                <w:p w14:paraId="588F5DDF">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485.8515</w:t>
                  </w:r>
                </w:p>
              </w:tc>
            </w:tr>
            <w:tr w14:paraId="147C38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8"/>
                  <w:tcBorders>
                    <w:tl2br w:val="nil"/>
                    <w:tr2bl w:val="nil"/>
                  </w:tcBorders>
                  <w:vAlign w:val="center"/>
                </w:tcPr>
                <w:p w14:paraId="4C80DC1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备注：宠物住院规模按照最大住院量进行核算</w:t>
                  </w:r>
                  <w:r>
                    <w:rPr>
                      <w:rFonts w:hint="eastAsia"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门诊规模为建设单位提供的最大接诊量</w:t>
                  </w:r>
                  <w:r>
                    <w:rPr>
                      <w:rFonts w:hint="eastAsia" w:cs="Times New Roman"/>
                      <w:b w:val="0"/>
                      <w:bCs/>
                      <w:color w:val="000000" w:themeColor="text1"/>
                      <w:sz w:val="21"/>
                      <w:szCs w:val="21"/>
                      <w:highlight w:val="none"/>
                      <w:vertAlign w:val="baseline"/>
                      <w:lang w:val="en-US" w:eastAsia="zh-CN"/>
                      <w14:textFill>
                        <w14:solidFill>
                          <w14:schemeClr w14:val="tx1"/>
                        </w14:solidFill>
                      </w14:textFill>
                    </w:rPr>
                    <w:t>。</w:t>
                  </w:r>
                </w:p>
              </w:tc>
            </w:tr>
          </w:tbl>
          <w:p w14:paraId="749719B8">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cs="Times New Roman"/>
                <w:b/>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z w:val="24"/>
                <w:szCs w:val="24"/>
                <w:highlight w:val="none"/>
                <w:vertAlign w:val="baseline"/>
                <w:lang w:val="en-US" w:eastAsia="zh-CN"/>
                <w14:textFill>
                  <w14:solidFill>
                    <w14:schemeClr w14:val="tx1"/>
                  </w14:solidFill>
                </w14:textFill>
              </w:rPr>
              <w:t>2.8.2排水</w:t>
            </w:r>
          </w:p>
          <w:p w14:paraId="5B7529F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项目废水来自于生活污水、医疗废水及</w:t>
            </w:r>
            <w:r>
              <w:rPr>
                <w:rFonts w:hint="eastAsia"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其他废水（含</w:t>
            </w:r>
            <w:r>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工服清洗废水</w:t>
            </w:r>
            <w:r>
              <w:rPr>
                <w:rFonts w:hint="eastAsia"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、宠物毛毯清洗</w:t>
            </w:r>
            <w:r>
              <w:rPr>
                <w:rFonts w:hint="eastAsia" w:ascii="Times New Roman" w:hAnsi="Times New Roman" w:cs="Times New Roman"/>
                <w:b w:val="0"/>
                <w:bCs/>
                <w:color w:val="auto"/>
                <w:sz w:val="24"/>
                <w:szCs w:val="24"/>
                <w:highlight w:val="none"/>
                <w:vertAlign w:val="baseline"/>
                <w:lang w:val="en-US" w:eastAsia="zh-CN"/>
              </w:rPr>
              <w:t>废水、美容洗浴废水</w:t>
            </w:r>
            <w:r>
              <w:rPr>
                <w:rFonts w:hint="eastAsia" w:cs="Times New Roman"/>
                <w:b w:val="0"/>
                <w:bCs/>
                <w:color w:val="auto"/>
                <w:sz w:val="24"/>
                <w:szCs w:val="24"/>
                <w:highlight w:val="none"/>
                <w:vertAlign w:val="baseline"/>
                <w:lang w:val="en-US" w:eastAsia="zh-CN"/>
              </w:rPr>
              <w:t>、地面清洁废水</w:t>
            </w:r>
            <w:r>
              <w:rPr>
                <w:rFonts w:hint="eastAsia" w:ascii="Times New Roman" w:hAnsi="Times New Roman" w:cs="Times New Roman"/>
                <w:b w:val="0"/>
                <w:bCs/>
                <w:color w:val="auto"/>
                <w:sz w:val="24"/>
                <w:szCs w:val="24"/>
                <w:highlight w:val="none"/>
                <w:vertAlign w:val="baseline"/>
                <w:lang w:val="en-US" w:eastAsia="zh-CN"/>
              </w:rPr>
              <w:t>）</w:t>
            </w:r>
            <w:r>
              <w:rPr>
                <w:rFonts w:hint="default" w:ascii="Times New Roman" w:hAnsi="Times New Roman" w:cs="Times New Roman"/>
                <w:b w:val="0"/>
                <w:bCs/>
                <w:color w:val="auto"/>
                <w:sz w:val="24"/>
                <w:szCs w:val="24"/>
                <w:highlight w:val="none"/>
                <w:vertAlign w:val="baseline"/>
                <w:lang w:val="en-US" w:eastAsia="zh-CN"/>
              </w:rPr>
              <w:t>。废水排放总量为</w:t>
            </w:r>
            <w:r>
              <w:rPr>
                <w:rFonts w:hint="eastAsia" w:cs="Times New Roman"/>
                <w:b w:val="0"/>
                <w:bCs/>
                <w:color w:val="auto"/>
                <w:sz w:val="24"/>
                <w:szCs w:val="24"/>
                <w:highlight w:val="none"/>
                <w:vertAlign w:val="baseline"/>
                <w:lang w:val="en-US" w:eastAsia="zh-CN"/>
              </w:rPr>
              <w:t>1.3311</w:t>
            </w:r>
            <w:r>
              <w:rPr>
                <w:rFonts w:hint="default" w:ascii="Times New Roman" w:hAnsi="Times New Roman" w:cs="Times New Roman"/>
                <w:b w:val="0"/>
                <w:bCs/>
                <w:color w:val="auto"/>
                <w:sz w:val="24"/>
                <w:szCs w:val="24"/>
                <w:highlight w:val="none"/>
                <w:vertAlign w:val="baseline"/>
                <w:lang w:val="en-US" w:eastAsia="zh-CN"/>
              </w:rPr>
              <w:t>m</w:t>
            </w:r>
            <w:r>
              <w:rPr>
                <w:rFonts w:hint="default" w:ascii="Times New Roman" w:hAnsi="Times New Roman" w:cs="Times New Roman"/>
                <w:b w:val="0"/>
                <w:bCs/>
                <w:color w:val="auto"/>
                <w:sz w:val="24"/>
                <w:szCs w:val="24"/>
                <w:highlight w:val="none"/>
                <w:vertAlign w:val="superscript"/>
                <w:lang w:val="en-US" w:eastAsia="zh-CN"/>
              </w:rPr>
              <w:t>3</w:t>
            </w:r>
            <w:r>
              <w:rPr>
                <w:rFonts w:hint="default" w:ascii="Times New Roman" w:hAnsi="Times New Roman" w:cs="Times New Roman"/>
                <w:b w:val="0"/>
                <w:bCs/>
                <w:color w:val="auto"/>
                <w:sz w:val="24"/>
                <w:szCs w:val="24"/>
                <w:highlight w:val="none"/>
                <w:vertAlign w:val="baseline"/>
                <w:lang w:val="en-US" w:eastAsia="zh-CN"/>
              </w:rPr>
              <w:t>/d（</w:t>
            </w:r>
            <w:r>
              <w:rPr>
                <w:rFonts w:hint="eastAsia" w:cs="Times New Roman"/>
                <w:b w:val="0"/>
                <w:bCs/>
                <w:color w:val="auto"/>
                <w:sz w:val="24"/>
                <w:szCs w:val="24"/>
                <w:highlight w:val="none"/>
                <w:vertAlign w:val="baseline"/>
                <w:lang w:val="en-US" w:eastAsia="zh-CN"/>
              </w:rPr>
              <w:t>485.8515</w:t>
            </w:r>
            <w:r>
              <w:rPr>
                <w:rFonts w:hint="default" w:ascii="Times New Roman" w:hAnsi="Times New Roman" w:cs="Times New Roman"/>
                <w:b w:val="0"/>
                <w:bCs/>
                <w:color w:val="auto"/>
                <w:sz w:val="24"/>
                <w:szCs w:val="24"/>
                <w:highlight w:val="none"/>
                <w:vertAlign w:val="baseline"/>
                <w:lang w:val="en-US" w:eastAsia="zh-CN"/>
              </w:rPr>
              <w:t>m</w:t>
            </w:r>
            <w:r>
              <w:rPr>
                <w:rFonts w:hint="default" w:ascii="Times New Roman" w:hAnsi="Times New Roman" w:cs="Times New Roman"/>
                <w:b w:val="0"/>
                <w:bCs/>
                <w:color w:val="auto"/>
                <w:sz w:val="24"/>
                <w:szCs w:val="24"/>
                <w:highlight w:val="none"/>
                <w:vertAlign w:val="superscript"/>
                <w:lang w:val="en-US" w:eastAsia="zh-CN"/>
              </w:rPr>
              <w:t>3</w:t>
            </w:r>
            <w:r>
              <w:rPr>
                <w:rFonts w:hint="default" w:ascii="Times New Roman" w:hAnsi="Times New Roman" w:cs="Times New Roman"/>
                <w:b w:val="0"/>
                <w:bCs/>
                <w:color w:val="auto"/>
                <w:sz w:val="24"/>
                <w:szCs w:val="24"/>
                <w:highlight w:val="none"/>
                <w:vertAlign w:val="baseline"/>
                <w:lang w:val="en-US" w:eastAsia="zh-CN"/>
              </w:rPr>
              <w:t>/a），其中医疗废水</w:t>
            </w:r>
            <w:r>
              <w:rPr>
                <w:rFonts w:hint="eastAsia" w:cs="Times New Roman"/>
                <w:b w:val="0"/>
                <w:bCs/>
                <w:color w:val="auto"/>
                <w:sz w:val="24"/>
                <w:szCs w:val="24"/>
                <w:highlight w:val="none"/>
                <w:vertAlign w:val="baseline"/>
                <w:lang w:val="en-US" w:eastAsia="zh-CN"/>
              </w:rPr>
              <w:t>0.2385</w:t>
            </w:r>
            <w:r>
              <w:rPr>
                <w:rFonts w:hint="default" w:ascii="Times New Roman" w:hAnsi="Times New Roman" w:cs="Times New Roman"/>
                <w:b w:val="0"/>
                <w:bCs/>
                <w:color w:val="auto"/>
                <w:sz w:val="24"/>
                <w:szCs w:val="24"/>
                <w:highlight w:val="none"/>
                <w:vertAlign w:val="baseline"/>
                <w:lang w:val="en-US" w:eastAsia="zh-CN"/>
              </w:rPr>
              <w:t>m</w:t>
            </w:r>
            <w:r>
              <w:rPr>
                <w:rFonts w:hint="default" w:ascii="Times New Roman" w:hAnsi="Times New Roman" w:cs="Times New Roman"/>
                <w:b w:val="0"/>
                <w:bCs/>
                <w:color w:val="auto"/>
                <w:sz w:val="24"/>
                <w:szCs w:val="24"/>
                <w:highlight w:val="none"/>
                <w:vertAlign w:val="superscript"/>
                <w:lang w:val="en-US" w:eastAsia="zh-CN"/>
              </w:rPr>
              <w:t>3</w:t>
            </w:r>
            <w:r>
              <w:rPr>
                <w:rFonts w:hint="default" w:ascii="Times New Roman" w:hAnsi="Times New Roman" w:cs="Times New Roman"/>
                <w:b w:val="0"/>
                <w:bCs/>
                <w:color w:val="auto"/>
                <w:sz w:val="24"/>
                <w:szCs w:val="24"/>
                <w:highlight w:val="none"/>
                <w:vertAlign w:val="baseline"/>
                <w:lang w:val="en-US" w:eastAsia="zh-CN"/>
              </w:rPr>
              <w:t>/d，生活污水量</w:t>
            </w:r>
            <w:r>
              <w:rPr>
                <w:rFonts w:hint="eastAsia" w:cs="Times New Roman"/>
                <w:b w:val="0"/>
                <w:bCs/>
                <w:color w:val="auto"/>
                <w:sz w:val="24"/>
                <w:szCs w:val="24"/>
                <w:highlight w:val="none"/>
                <w:vertAlign w:val="baseline"/>
                <w:lang w:val="en-US" w:eastAsia="zh-CN"/>
              </w:rPr>
              <w:t>0.459</w:t>
            </w:r>
            <w:r>
              <w:rPr>
                <w:rFonts w:hint="default" w:ascii="Times New Roman" w:hAnsi="Times New Roman" w:cs="Times New Roman"/>
                <w:b w:val="0"/>
                <w:bCs/>
                <w:color w:val="auto"/>
                <w:sz w:val="24"/>
                <w:szCs w:val="24"/>
                <w:highlight w:val="none"/>
                <w:vertAlign w:val="baseline"/>
                <w:lang w:val="en-US" w:eastAsia="zh-CN"/>
              </w:rPr>
              <w:t>m</w:t>
            </w:r>
            <w:r>
              <w:rPr>
                <w:rFonts w:hint="default" w:ascii="Times New Roman" w:hAnsi="Times New Roman" w:cs="Times New Roman"/>
                <w:b w:val="0"/>
                <w:bCs/>
                <w:color w:val="auto"/>
                <w:sz w:val="24"/>
                <w:szCs w:val="24"/>
                <w:highlight w:val="none"/>
                <w:vertAlign w:val="superscript"/>
                <w:lang w:val="en-US" w:eastAsia="zh-CN"/>
              </w:rPr>
              <w:t>3</w:t>
            </w:r>
            <w:r>
              <w:rPr>
                <w:rFonts w:hint="default" w:ascii="Times New Roman" w:hAnsi="Times New Roman" w:cs="Times New Roman"/>
                <w:b w:val="0"/>
                <w:bCs/>
                <w:color w:val="auto"/>
                <w:sz w:val="24"/>
                <w:szCs w:val="24"/>
                <w:highlight w:val="none"/>
                <w:vertAlign w:val="baseline"/>
                <w:lang w:val="en-US" w:eastAsia="zh-CN"/>
              </w:rPr>
              <w:t>/d</w:t>
            </w:r>
            <w:r>
              <w:rPr>
                <w:rFonts w:hint="eastAsia" w:ascii="Times New Roman" w:hAnsi="Times New Roman" w:cs="Times New Roman"/>
                <w:b w:val="0"/>
                <w:bCs/>
                <w:color w:val="auto"/>
                <w:sz w:val="24"/>
                <w:szCs w:val="24"/>
                <w:highlight w:val="none"/>
                <w:vertAlign w:val="baseline"/>
                <w:lang w:val="en-US" w:eastAsia="zh-CN"/>
              </w:rPr>
              <w:t>，其他废水</w:t>
            </w:r>
            <w:r>
              <w:rPr>
                <w:rFonts w:hint="default" w:ascii="Times New Roman" w:hAnsi="Times New Roman" w:cs="Times New Roman"/>
                <w:b w:val="0"/>
                <w:bCs/>
                <w:color w:val="auto"/>
                <w:sz w:val="24"/>
                <w:szCs w:val="24"/>
                <w:highlight w:val="none"/>
                <w:vertAlign w:val="baseline"/>
                <w:lang w:val="en-US" w:eastAsia="zh-CN"/>
              </w:rPr>
              <w:t>产生量约</w:t>
            </w:r>
            <w:r>
              <w:rPr>
                <w:rFonts w:hint="eastAsia" w:cs="Times New Roman"/>
                <w:b w:val="0"/>
                <w:bCs/>
                <w:color w:val="auto"/>
                <w:sz w:val="24"/>
                <w:szCs w:val="24"/>
                <w:highlight w:val="none"/>
                <w:vertAlign w:val="baseline"/>
                <w:lang w:val="en-US" w:eastAsia="zh-CN"/>
              </w:rPr>
              <w:t>0.6336</w:t>
            </w:r>
            <w:r>
              <w:rPr>
                <w:rFonts w:hint="default" w:ascii="Times New Roman" w:hAnsi="Times New Roman" w:cs="Times New Roman"/>
                <w:b w:val="0"/>
                <w:bCs/>
                <w:color w:val="auto"/>
                <w:sz w:val="24"/>
                <w:szCs w:val="24"/>
                <w:highlight w:val="none"/>
                <w:vertAlign w:val="baseline"/>
                <w:lang w:val="en-US" w:eastAsia="zh-CN"/>
              </w:rPr>
              <w:t>m</w:t>
            </w:r>
            <w:r>
              <w:rPr>
                <w:rFonts w:hint="default" w:ascii="Times New Roman" w:hAnsi="Times New Roman" w:cs="Times New Roman"/>
                <w:b w:val="0"/>
                <w:bCs/>
                <w:color w:val="auto"/>
                <w:sz w:val="24"/>
                <w:szCs w:val="24"/>
                <w:highlight w:val="none"/>
                <w:vertAlign w:val="superscript"/>
                <w:lang w:val="en-US" w:eastAsia="zh-CN"/>
              </w:rPr>
              <w:t>3</w:t>
            </w:r>
            <w:r>
              <w:rPr>
                <w:rFonts w:hint="default" w:ascii="Times New Roman" w:hAnsi="Times New Roman" w:cs="Times New Roman"/>
                <w:b w:val="0"/>
                <w:bCs/>
                <w:color w:val="auto"/>
                <w:sz w:val="24"/>
                <w:szCs w:val="24"/>
                <w:highlight w:val="none"/>
                <w:vertAlign w:val="baseline"/>
                <w:lang w:val="en-US" w:eastAsia="zh-CN"/>
              </w:rPr>
              <w:t>/d。医疗废水经</w:t>
            </w:r>
            <w:r>
              <w:rPr>
                <w:rFonts w:hint="eastAsia" w:cs="Times New Roman"/>
                <w:b w:val="0"/>
                <w:bCs/>
                <w:color w:val="auto"/>
                <w:sz w:val="24"/>
                <w:szCs w:val="24"/>
                <w:highlight w:val="none"/>
                <w:vertAlign w:val="baseline"/>
                <w:lang w:val="en-US" w:eastAsia="zh-CN"/>
              </w:rPr>
              <w:t>消毒设施消毒</w:t>
            </w:r>
            <w:r>
              <w:rPr>
                <w:rFonts w:hint="default" w:ascii="Times New Roman" w:hAnsi="Times New Roman" w:cs="Times New Roman"/>
                <w:b w:val="0"/>
                <w:bCs/>
                <w:color w:val="auto"/>
                <w:sz w:val="24"/>
                <w:szCs w:val="24"/>
                <w:highlight w:val="none"/>
                <w:vertAlign w:val="baseline"/>
                <w:lang w:val="en-US" w:eastAsia="zh-CN"/>
              </w:rPr>
              <w:t>后，美容洗浴废水经滤网过滤后再与生活污水及</w:t>
            </w:r>
            <w:r>
              <w:rPr>
                <w:rFonts w:hint="eastAsia" w:ascii="Times New Roman" w:hAnsi="Times New Roman" w:cs="Times New Roman"/>
                <w:b w:val="0"/>
                <w:bCs/>
                <w:color w:val="auto"/>
                <w:sz w:val="24"/>
                <w:szCs w:val="24"/>
                <w:highlight w:val="none"/>
                <w:vertAlign w:val="baseline"/>
                <w:lang w:val="en-US" w:eastAsia="zh-CN"/>
              </w:rPr>
              <w:t>其它废水</w:t>
            </w:r>
            <w:r>
              <w:rPr>
                <w:rFonts w:hint="default" w:ascii="Times New Roman" w:hAnsi="Times New Roman" w:cs="Times New Roman"/>
                <w:b w:val="0"/>
                <w:bCs/>
                <w:color w:val="auto"/>
                <w:sz w:val="24"/>
                <w:szCs w:val="24"/>
                <w:highlight w:val="none"/>
                <w:vertAlign w:val="baseline"/>
                <w:lang w:val="en-US" w:eastAsia="zh-CN"/>
              </w:rPr>
              <w:t>一并进入</w:t>
            </w:r>
            <w:r>
              <w:rPr>
                <w:rFonts w:hint="eastAsia" w:cs="Times New Roman"/>
                <w:b w:val="0"/>
                <w:bCs/>
                <w:color w:val="auto"/>
                <w:sz w:val="24"/>
                <w:szCs w:val="24"/>
                <w:highlight w:val="none"/>
                <w:lang w:val="en-US" w:eastAsia="zh-CN"/>
              </w:rPr>
              <w:t>弘悦101已建</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生化池</w:t>
            </w:r>
            <w:r>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处理达《污水综合排放标准》（GB8978-1996）三级标准后</w:t>
            </w:r>
            <w:r>
              <w:rPr>
                <w:rFonts w:hint="default" w:cs="Times New Roman"/>
                <w:b w:val="0"/>
                <w:bCs/>
                <w:color w:val="000000" w:themeColor="text1"/>
                <w:sz w:val="24"/>
                <w:szCs w:val="24"/>
                <w:highlight w:val="none"/>
                <w:lang w:val="en-US" w:eastAsia="zh-CN"/>
                <w14:textFill>
                  <w14:solidFill>
                    <w14:schemeClr w14:val="tx1"/>
                  </w14:solidFill>
                </w14:textFill>
              </w:rPr>
              <w:t>排入市政污水管网，再进入</w:t>
            </w:r>
            <w:r>
              <w:rPr>
                <w:rFonts w:hint="eastAsia" w:cs="Times New Roman"/>
                <w:b w:val="0"/>
                <w:bCs/>
                <w:color w:val="000000" w:themeColor="text1"/>
                <w:sz w:val="24"/>
                <w:szCs w:val="24"/>
                <w:highlight w:val="none"/>
                <w:lang w:val="en-US" w:eastAsia="zh-CN"/>
                <w14:textFill>
                  <w14:solidFill>
                    <w14:schemeClr w14:val="tx1"/>
                  </w14:solidFill>
                </w14:textFill>
              </w:rPr>
              <w:t>彩云湖污水处理厂</w:t>
            </w:r>
            <w:r>
              <w:rPr>
                <w:rFonts w:hint="default" w:cs="Times New Roman"/>
                <w:b w:val="0"/>
                <w:bCs/>
                <w:color w:val="000000" w:themeColor="text1"/>
                <w:sz w:val="24"/>
                <w:szCs w:val="24"/>
                <w:highlight w:val="none"/>
                <w:lang w:val="en-US" w:eastAsia="zh-CN"/>
                <w14:textFill>
                  <w14:solidFill>
                    <w14:schemeClr w14:val="tx1"/>
                  </w14:solidFill>
                </w14:textFill>
              </w:rPr>
              <w:t>进一步</w:t>
            </w:r>
            <w:r>
              <w:rPr>
                <w:rFonts w:hint="default" w:cs="Times New Roman"/>
                <w:b w:val="0"/>
                <w:bCs/>
                <w:color w:val="auto"/>
                <w:sz w:val="24"/>
                <w:szCs w:val="24"/>
                <w:highlight w:val="none"/>
                <w:lang w:val="en-US" w:eastAsia="zh-CN"/>
              </w:rPr>
              <w:t>处理达</w:t>
            </w:r>
            <w:r>
              <w:rPr>
                <w:rFonts w:hint="default" w:ascii="Times New Roman" w:hAnsi="Times New Roman" w:cs="Times New Roman"/>
                <w:b w:val="0"/>
                <w:bCs w:val="0"/>
                <w:color w:val="000000" w:themeColor="text1"/>
                <w:kern w:val="0"/>
                <w:sz w:val="24"/>
                <w:szCs w:val="24"/>
                <w:highlight w:val="none"/>
                <w:lang w:val="en-US" w:eastAsia="zh-CN"/>
                <w14:textFill>
                  <w14:solidFill>
                    <w14:schemeClr w14:val="tx1"/>
                  </w14:solidFill>
                </w14:textFill>
              </w:rPr>
              <w:t>彩云湖污水处理厂出水水质标准后</w:t>
            </w:r>
            <w:r>
              <w:rPr>
                <w:rFonts w:hint="default" w:ascii="Times New Roman" w:hAnsi="Times New Roman" w:eastAsia="宋体" w:cs="Times New Roman"/>
                <w:b w:val="0"/>
                <w:bCs/>
                <w:color w:val="auto"/>
                <w:sz w:val="24"/>
                <w:szCs w:val="24"/>
                <w:highlight w:val="none"/>
                <w:vertAlign w:val="baseline"/>
                <w:lang w:val="en-US" w:eastAsia="zh-CN"/>
              </w:rPr>
              <w:t>作为彩云湖湿地公园和桃花溪景观补水</w:t>
            </w:r>
            <w:r>
              <w:rPr>
                <w:rFonts w:hint="eastAsia" w:cs="Times New Roman"/>
                <w:b w:val="0"/>
                <w:bCs/>
                <w:color w:val="auto"/>
                <w:sz w:val="24"/>
                <w:szCs w:val="24"/>
                <w:highlight w:val="none"/>
                <w:vertAlign w:val="baseline"/>
                <w:lang w:val="en-US" w:eastAsia="zh-CN"/>
              </w:rPr>
              <w:t>，最终</w:t>
            </w:r>
            <w:r>
              <w:rPr>
                <w:rFonts w:hint="default" w:cs="Times New Roman"/>
                <w:b w:val="0"/>
                <w:bCs/>
                <w:color w:val="auto"/>
                <w:sz w:val="24"/>
                <w:szCs w:val="24"/>
                <w:highlight w:val="none"/>
                <w:lang w:val="en-US" w:eastAsia="zh-CN"/>
              </w:rPr>
              <w:t>排入</w:t>
            </w:r>
            <w:r>
              <w:rPr>
                <w:rFonts w:hint="eastAsia" w:cs="Times New Roman"/>
                <w:b w:val="0"/>
                <w:bCs/>
                <w:color w:val="000000" w:themeColor="text1"/>
                <w:sz w:val="24"/>
                <w:szCs w:val="24"/>
                <w:highlight w:val="none"/>
                <w:lang w:val="en-US" w:eastAsia="zh-CN"/>
                <w14:textFill>
                  <w14:solidFill>
                    <w14:schemeClr w14:val="tx1"/>
                  </w14:solidFill>
                </w14:textFill>
              </w:rPr>
              <w:t>长江</w:t>
            </w:r>
            <w:r>
              <w:rPr>
                <w:rFonts w:hint="default" w:cs="Times New Roman"/>
                <w:b w:val="0"/>
                <w:bCs/>
                <w:color w:val="000000" w:themeColor="text1"/>
                <w:sz w:val="24"/>
                <w:szCs w:val="24"/>
                <w:highlight w:val="none"/>
                <w:lang w:val="en-US" w:eastAsia="zh-CN"/>
                <w14:textFill>
                  <w14:solidFill>
                    <w14:schemeClr w14:val="tx1"/>
                  </w14:solidFill>
                </w14:textFill>
              </w:rPr>
              <w:t>。</w:t>
            </w:r>
          </w:p>
          <w:p w14:paraId="6E1087E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firstLine="0" w:firstLineChars="0"/>
              <w:jc w:val="center"/>
              <w:textAlignment w:val="auto"/>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drawing>
                <wp:inline distT="0" distB="0" distL="114300" distR="114300">
                  <wp:extent cx="5258435" cy="6118860"/>
                  <wp:effectExtent l="0" t="0" r="18415" b="15240"/>
                  <wp:docPr id="1" name="图片 1" descr="175377370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53773701673"/>
                          <pic:cNvPicPr>
                            <a:picLocks noChangeAspect="1"/>
                          </pic:cNvPicPr>
                        </pic:nvPicPr>
                        <pic:blipFill>
                          <a:blip r:embed="rId17"/>
                          <a:stretch>
                            <a:fillRect/>
                          </a:stretch>
                        </pic:blipFill>
                        <pic:spPr>
                          <a:xfrm>
                            <a:off x="0" y="0"/>
                            <a:ext cx="5258435" cy="6118860"/>
                          </a:xfrm>
                          <a:prstGeom prst="rect">
                            <a:avLst/>
                          </a:prstGeom>
                        </pic:spPr>
                      </pic:pic>
                    </a:graphicData>
                  </a:graphic>
                </wp:inline>
              </w:drawing>
            </w:r>
          </w:p>
          <w:p w14:paraId="6CE3D9B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firstLine="0" w:firstLineChars="0"/>
              <w:jc w:val="center"/>
              <w:textAlignment w:val="auto"/>
              <w:rPr>
                <w:rFonts w:hint="default" w:ascii="Times New Roman" w:hAnsi="Times New Roman" w:cs="Times New Roman"/>
                <w:b/>
                <w:bCs w:val="0"/>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bCs w:val="0"/>
                <w:color w:val="000000" w:themeColor="text1"/>
                <w:sz w:val="24"/>
                <w:szCs w:val="24"/>
                <w:highlight w:val="none"/>
                <w:lang w:val="en-US" w:eastAsia="zh-CN"/>
                <w14:textFill>
                  <w14:solidFill>
                    <w14:schemeClr w14:val="tx1"/>
                  </w14:solidFill>
                </w14:textFill>
              </w:rPr>
              <w:t>图2.1</w:t>
            </w:r>
            <w:r>
              <w:rPr>
                <w:rFonts w:hint="eastAsia" w:cs="Times New Roman"/>
                <w:b/>
                <w:bCs w:val="0"/>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cs="Times New Roman"/>
                <w:b/>
                <w:bCs w:val="0"/>
                <w:color w:val="000000" w:themeColor="text1"/>
                <w:sz w:val="24"/>
                <w:szCs w:val="24"/>
                <w:highlight w:val="none"/>
                <w:lang w:val="en-US" w:eastAsia="zh-CN"/>
                <w14:textFill>
                  <w14:solidFill>
                    <w14:schemeClr w14:val="tx1"/>
                  </w14:solidFill>
                </w14:textFill>
              </w:rPr>
              <w:t>项目水平衡图（m</w:t>
            </w:r>
            <w:r>
              <w:rPr>
                <w:rFonts w:hint="default" w:ascii="Times New Roman" w:hAnsi="Times New Roman" w:cs="Times New Roman"/>
                <w:b/>
                <w:bCs w:val="0"/>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cs="Times New Roman"/>
                <w:b/>
                <w:bCs w:val="0"/>
                <w:color w:val="000000" w:themeColor="text1"/>
                <w:sz w:val="24"/>
                <w:szCs w:val="24"/>
                <w:highlight w:val="none"/>
                <w:lang w:val="en-US" w:eastAsia="zh-CN"/>
                <w14:textFill>
                  <w14:solidFill>
                    <w14:schemeClr w14:val="tx1"/>
                  </w14:solidFill>
                </w14:textFill>
              </w:rPr>
              <w:t>/d）</w:t>
            </w:r>
          </w:p>
          <w:p w14:paraId="0067166D">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cs="Times New Roman"/>
                <w:b/>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z w:val="24"/>
                <w:szCs w:val="24"/>
                <w:highlight w:val="none"/>
                <w:vertAlign w:val="baseline"/>
                <w:lang w:val="en-US" w:eastAsia="zh-CN"/>
                <w14:textFill>
                  <w14:solidFill>
                    <w14:schemeClr w14:val="tx1"/>
                  </w14:solidFill>
                </w14:textFill>
              </w:rPr>
              <w:t>2.8.3供电</w:t>
            </w:r>
          </w:p>
          <w:p w14:paraId="70FB0E7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由市政供电设施供电，能满足项目需要。</w:t>
            </w:r>
          </w:p>
          <w:p w14:paraId="1B1E1F4A">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cs="Times New Roman"/>
                <w:b/>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z w:val="24"/>
                <w:szCs w:val="24"/>
                <w:highlight w:val="none"/>
                <w:vertAlign w:val="baseline"/>
                <w:lang w:val="en-US" w:eastAsia="zh-CN"/>
                <w14:textFill>
                  <w14:solidFill>
                    <w14:schemeClr w14:val="tx1"/>
                  </w14:solidFill>
                </w14:textFill>
              </w:rPr>
              <w:t>2.8.4热水</w:t>
            </w:r>
          </w:p>
          <w:p w14:paraId="0D5FEA9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项目采用电热水器烧水。</w:t>
            </w:r>
          </w:p>
          <w:p w14:paraId="6FDFB4DE">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cs="Times New Roman"/>
                <w:b/>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z w:val="24"/>
                <w:szCs w:val="24"/>
                <w:highlight w:val="none"/>
                <w:vertAlign w:val="baseline"/>
                <w:lang w:val="en-US" w:eastAsia="zh-CN"/>
                <w14:textFill>
                  <w14:solidFill>
                    <w14:schemeClr w14:val="tx1"/>
                  </w14:solidFill>
                </w14:textFill>
              </w:rPr>
              <w:t>2.8.5消毒系统</w:t>
            </w:r>
          </w:p>
          <w:p w14:paraId="36DA306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项目的</w:t>
            </w:r>
            <w:r>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医疗器械、玻璃器皿等采用</w:t>
            </w:r>
            <w:r>
              <w:rPr>
                <w:rFonts w:hint="eastAsia"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蒸汽灭菌器进行灭菌消毒</w:t>
            </w:r>
            <w:r>
              <w:rPr>
                <w:rFonts w:hint="eastAsia" w:cs="Times New Roman"/>
                <w:b w:val="0"/>
                <w:bCs/>
                <w:color w:val="000000" w:themeColor="text1"/>
                <w:sz w:val="24"/>
                <w:szCs w:val="24"/>
                <w:highlight w:val="none"/>
                <w:vertAlign w:val="baseline"/>
                <w:lang w:val="en-US" w:eastAsia="zh-CN"/>
                <w14:textFill>
                  <w14:solidFill>
                    <w14:schemeClr w14:val="tx1"/>
                  </w14:solidFill>
                </w14:textFill>
              </w:rPr>
              <w:t>；</w:t>
            </w:r>
            <w:r>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公共区域采用紫外线</w:t>
            </w:r>
            <w:r>
              <w:rPr>
                <w:rFonts w:hint="eastAsia"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消毒车紫外灯</w:t>
            </w:r>
            <w:r>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消毒、84消毒液喷酒消毒</w:t>
            </w:r>
            <w:r>
              <w:rPr>
                <w:rFonts w:hint="eastAsia" w:cs="Times New Roman"/>
                <w:b w:val="0"/>
                <w:bCs/>
                <w:color w:val="000000" w:themeColor="text1"/>
                <w:sz w:val="24"/>
                <w:szCs w:val="24"/>
                <w:highlight w:val="none"/>
                <w:vertAlign w:val="baseline"/>
                <w:lang w:val="en-US" w:eastAsia="zh-CN"/>
                <w14:textFill>
                  <w14:solidFill>
                    <w14:schemeClr w14:val="tx1"/>
                  </w14:solidFill>
                </w14:textFill>
              </w:rPr>
              <w:t>；</w:t>
            </w:r>
            <w:r>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医疗废水通过投加</w:t>
            </w:r>
            <w:r>
              <w:rPr>
                <w:rFonts w:hint="eastAsia" w:cs="Times New Roman"/>
                <w:b w:val="0"/>
                <w:bCs/>
                <w:color w:val="000000" w:themeColor="text1"/>
                <w:sz w:val="24"/>
                <w:szCs w:val="24"/>
                <w:highlight w:val="none"/>
                <w:vertAlign w:val="baseline"/>
                <w:lang w:val="en-US" w:eastAsia="zh-CN"/>
                <w14:textFill>
                  <w14:solidFill>
                    <w14:schemeClr w14:val="tx1"/>
                  </w14:solidFill>
                </w14:textFill>
              </w:rPr>
              <w:t>二氧化氯</w:t>
            </w:r>
            <w:r>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消毒片</w:t>
            </w:r>
            <w:r>
              <w:rPr>
                <w:rFonts w:hint="eastAsia" w:cs="Times New Roman"/>
                <w:b w:val="0"/>
                <w:bCs/>
                <w:color w:val="000000" w:themeColor="text1"/>
                <w:sz w:val="24"/>
                <w:szCs w:val="24"/>
                <w:highlight w:val="none"/>
                <w:vertAlign w:val="baseline"/>
                <w:lang w:val="en-US" w:eastAsia="zh-CN"/>
                <w14:textFill>
                  <w14:solidFill>
                    <w14:schemeClr w14:val="tx1"/>
                  </w14:solidFill>
                </w14:textFill>
              </w:rPr>
              <w:t>、</w:t>
            </w:r>
            <w:r>
              <w:rPr>
                <w:rFonts w:hint="eastAsia" w:ascii="Times New Roman" w:hAnsi="Times New Roman" w:eastAsia="宋体" w:cs="Times New Roman"/>
                <w:b w:val="0"/>
                <w:color w:val="auto"/>
                <w:sz w:val="24"/>
                <w:szCs w:val="24"/>
                <w:lang w:val="en-US" w:eastAsia="zh-CN" w:bidi="ar-SA"/>
              </w:rPr>
              <w:t>三氯异氰尿酸消毒片</w:t>
            </w:r>
            <w:r>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消毒</w:t>
            </w:r>
            <w:r>
              <w:rPr>
                <w:rFonts w:hint="eastAsia"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w:t>
            </w:r>
          </w:p>
          <w:p w14:paraId="0E0BDDF5">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cs="Times New Roman"/>
                <w:b/>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z w:val="24"/>
                <w:szCs w:val="24"/>
                <w:highlight w:val="none"/>
                <w:vertAlign w:val="baseline"/>
                <w:lang w:val="en-US" w:eastAsia="zh-CN"/>
                <w14:textFill>
                  <w14:solidFill>
                    <w14:schemeClr w14:val="tx1"/>
                  </w14:solidFill>
                </w14:textFill>
              </w:rPr>
              <w:t>2.8.6</w:t>
            </w:r>
            <w:r>
              <w:rPr>
                <w:rFonts w:hint="eastAsia" w:ascii="Times New Roman" w:hAnsi="Times New Roman" w:cs="Times New Roman"/>
                <w:b/>
                <w:bCs w:val="0"/>
                <w:color w:val="000000" w:themeColor="text1"/>
                <w:sz w:val="24"/>
                <w:szCs w:val="24"/>
                <w:highlight w:val="none"/>
                <w:vertAlign w:val="baseline"/>
                <w:lang w:val="en-US" w:eastAsia="zh-CN"/>
                <w14:textFill>
                  <w14:solidFill>
                    <w14:schemeClr w14:val="tx1"/>
                  </w14:solidFill>
                </w14:textFill>
              </w:rPr>
              <w:t>供氧</w:t>
            </w:r>
          </w:p>
          <w:p w14:paraId="3623ABD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color w:val="FF0000"/>
                <w:sz w:val="24"/>
                <w:szCs w:val="24"/>
                <w:highlight w:val="none"/>
                <w:lang w:val="en-US" w:eastAsia="zh-CN"/>
              </w:rPr>
            </w:pPr>
            <w:r>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项目在手术室设置</w:t>
            </w:r>
            <w:r>
              <w:rPr>
                <w:rFonts w:hint="eastAsia"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2</w:t>
            </w:r>
            <w:r>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个成品氧气瓶（各</w:t>
            </w:r>
            <w:r>
              <w:rPr>
                <w:rFonts w:hint="eastAsia" w:cs="Times New Roman"/>
                <w:b w:val="0"/>
                <w:bCs/>
                <w:color w:val="000000" w:themeColor="text1"/>
                <w:sz w:val="24"/>
                <w:szCs w:val="24"/>
                <w:highlight w:val="none"/>
                <w:vertAlign w:val="baseline"/>
                <w:lang w:val="en-US" w:eastAsia="zh-CN"/>
                <w14:textFill>
                  <w14:solidFill>
                    <w14:schemeClr w14:val="tx1"/>
                  </w14:solidFill>
                </w14:textFill>
              </w:rPr>
              <w:t>40</w:t>
            </w:r>
            <w:r>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L，</w:t>
            </w:r>
            <w:r>
              <w:rPr>
                <w:rFonts w:hint="eastAsia"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1</w:t>
            </w:r>
            <w:r>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用</w:t>
            </w:r>
            <w:r>
              <w:rPr>
                <w:rFonts w:hint="eastAsia"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1</w:t>
            </w:r>
            <w:r>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备）</w:t>
            </w:r>
            <w:r>
              <w:rPr>
                <w:rFonts w:hint="eastAsia" w:ascii="Times New Roman" w:hAnsi="Times New Roman" w:eastAsia="宋体" w:cs="Times New Roman"/>
                <w:b w:val="0"/>
                <w:bCs/>
                <w:color w:val="0000C8"/>
                <w:sz w:val="24"/>
                <w:szCs w:val="24"/>
                <w:highlight w:val="none"/>
                <w:lang w:eastAsia="zh-CN"/>
              </w:rPr>
              <w:t>。</w:t>
            </w:r>
          </w:p>
        </w:tc>
      </w:tr>
      <w:tr w14:paraId="58295C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99" w:hRule="atLeast"/>
          <w:jc w:val="center"/>
        </w:trPr>
        <w:tc>
          <w:tcPr>
            <w:tcW w:w="485" w:type="dxa"/>
            <w:noWrap w:val="0"/>
            <w:vAlign w:val="center"/>
          </w:tcPr>
          <w:p w14:paraId="7984571B">
            <w:pPr>
              <w:pStyle w:val="16"/>
              <w:adjustRightInd w:val="0"/>
              <w:snapToGrid w:val="0"/>
              <w:spacing w:before="0" w:beforeAutospacing="0" w:after="0" w:afterAutospacing="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000000" w:themeColor="text1"/>
                <w:sz w:val="21"/>
                <w:szCs w:val="21"/>
                <w:highlight w:val="none"/>
                <w14:textFill>
                  <w14:solidFill>
                    <w14:schemeClr w14:val="tx1"/>
                  </w14:solidFill>
                </w14:textFill>
              </w:rPr>
              <w:t>工艺流程和产排污环节</w:t>
            </w:r>
          </w:p>
        </w:tc>
        <w:tc>
          <w:tcPr>
            <w:tcW w:w="8499" w:type="dxa"/>
            <w:noWrap w:val="0"/>
            <w:vAlign w:val="top"/>
          </w:tcPr>
          <w:p w14:paraId="5762D27C">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b/>
                <w:bCs w:val="0"/>
                <w:color w:val="000000" w:themeColor="text1"/>
                <w:sz w:val="24"/>
                <w:szCs w:val="24"/>
                <w:highlight w:val="none"/>
                <w14:textFill>
                  <w14:solidFill>
                    <w14:schemeClr w14:val="tx1"/>
                  </w14:solidFill>
                </w14:textFill>
              </w:rPr>
            </w:pPr>
            <w:r>
              <w:rPr>
                <w:rFonts w:hint="default" w:ascii="Times New Roman" w:hAnsi="Times New Roman" w:cs="Times New Roman"/>
                <w:b/>
                <w:bCs w:val="0"/>
                <w:color w:val="000000" w:themeColor="text1"/>
                <w:sz w:val="24"/>
                <w:szCs w:val="24"/>
                <w:highlight w:val="none"/>
                <w14:textFill>
                  <w14:solidFill>
                    <w14:schemeClr w14:val="tx1"/>
                  </w14:solidFill>
                </w14:textFill>
              </w:rPr>
              <w:t>2.9工艺流程及产排污环节分析</w:t>
            </w:r>
          </w:p>
          <w:p w14:paraId="1FBE2562">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val="0"/>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b/>
                <w:bCs w:val="0"/>
                <w:color w:val="000000" w:themeColor="text1"/>
                <w:sz w:val="24"/>
                <w:szCs w:val="24"/>
                <w:highlight w:val="none"/>
                <w:lang w:val="en-US" w:eastAsia="zh-CN"/>
                <w14:textFill>
                  <w14:solidFill>
                    <w14:schemeClr w14:val="tx1"/>
                  </w14:solidFill>
                </w14:textFill>
              </w:rPr>
              <w:t>2.9.1施工期</w:t>
            </w:r>
            <w:r>
              <w:rPr>
                <w:rFonts w:hint="default" w:ascii="Times New Roman" w:hAnsi="Times New Roman" w:cs="Times New Roman"/>
                <w:b/>
                <w:bCs w:val="0"/>
                <w:color w:val="000000" w:themeColor="text1"/>
                <w:sz w:val="24"/>
                <w:szCs w:val="24"/>
                <w:highlight w:val="none"/>
                <w14:textFill>
                  <w14:solidFill>
                    <w14:schemeClr w14:val="tx1"/>
                  </w14:solidFill>
                </w14:textFill>
              </w:rPr>
              <w:t>工艺流程及产排污分析</w:t>
            </w:r>
          </w:p>
          <w:p w14:paraId="2E0B254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本次建设是在宠物医院现有手术基础上增设动物颅腔、胸腔、腹腔手术服务，仅新增部分设备，无需重新装修，无施工期。故本次评价不再对施工期进行分析。</w:t>
            </w:r>
          </w:p>
          <w:p w14:paraId="0B9E3D3C">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b/>
                <w:bCs w:val="0"/>
                <w:color w:val="000000" w:themeColor="text1"/>
                <w:sz w:val="24"/>
                <w:szCs w:val="24"/>
                <w:highlight w:val="none"/>
                <w14:textFill>
                  <w14:solidFill>
                    <w14:schemeClr w14:val="tx1"/>
                  </w14:solidFill>
                </w14:textFill>
              </w:rPr>
            </w:pPr>
            <w:r>
              <w:rPr>
                <w:rFonts w:hint="default" w:ascii="Times New Roman" w:hAnsi="Times New Roman" w:cs="Times New Roman"/>
                <w:b/>
                <w:bCs w:val="0"/>
                <w:color w:val="000000" w:themeColor="text1"/>
                <w:sz w:val="24"/>
                <w:szCs w:val="24"/>
                <w:highlight w:val="none"/>
                <w14:textFill>
                  <w14:solidFill>
                    <w14:schemeClr w14:val="tx1"/>
                  </w14:solidFill>
                </w14:textFill>
              </w:rPr>
              <w:t>2.9.</w:t>
            </w:r>
            <w:r>
              <w:rPr>
                <w:rFonts w:hint="eastAsia" w:ascii="Times New Roman" w:hAnsi="Times New Roman" w:cs="Times New Roman"/>
                <w:b/>
                <w:bCs w:val="0"/>
                <w:color w:val="000000" w:themeColor="text1"/>
                <w:sz w:val="24"/>
                <w:szCs w:val="24"/>
                <w:highlight w:val="none"/>
                <w:lang w:val="en-US" w:eastAsia="zh-CN"/>
                <w14:textFill>
                  <w14:solidFill>
                    <w14:schemeClr w14:val="tx1"/>
                  </w14:solidFill>
                </w14:textFill>
              </w:rPr>
              <w:t>2</w:t>
            </w:r>
            <w:r>
              <w:rPr>
                <w:rFonts w:hint="default" w:ascii="Times New Roman" w:hAnsi="Times New Roman" w:cs="Times New Roman"/>
                <w:b/>
                <w:bCs w:val="0"/>
                <w:color w:val="000000" w:themeColor="text1"/>
                <w:sz w:val="24"/>
                <w:szCs w:val="24"/>
                <w:highlight w:val="none"/>
                <w14:textFill>
                  <w14:solidFill>
                    <w14:schemeClr w14:val="tx1"/>
                  </w14:solidFill>
                </w14:textFill>
              </w:rPr>
              <w:t>营运期工艺流程及产排污分析</w:t>
            </w:r>
          </w:p>
          <w:p w14:paraId="40A4C9F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color w:val="000000" w:themeColor="text1"/>
                <w:sz w:val="24"/>
                <w:szCs w:val="24"/>
                <w:highlight w:val="none"/>
                <w14:textFill>
                  <w14:solidFill>
                    <w14:schemeClr w14:val="tx1"/>
                  </w14:solidFill>
                </w14:textFill>
              </w:rPr>
            </w:pPr>
            <w:r>
              <w:rPr>
                <w:rFonts w:hint="default" w:ascii="Times New Roman" w:hAnsi="Times New Roman" w:cs="Times New Roman"/>
                <w:b w:val="0"/>
                <w:bCs/>
                <w:color w:val="000000" w:themeColor="text1"/>
                <w:sz w:val="24"/>
                <w:szCs w:val="24"/>
                <w:highlight w:val="none"/>
                <w14:textFill>
                  <w14:solidFill>
                    <w14:schemeClr w14:val="tx1"/>
                  </w14:solidFill>
                </w14:textFill>
              </w:rPr>
              <w:t>项目建成后主要进行狗、猫等宠物疾病预防、诊疗、治疗和手术</w:t>
            </w:r>
            <w:r>
              <w:rPr>
                <w:rFonts w:hint="default" w:ascii="Times New Roman" w:hAnsi="Times New Roman" w:cs="Times New Roman"/>
                <w:b w:val="0"/>
                <w:bCs/>
                <w:color w:val="000000" w:themeColor="text1"/>
                <w:sz w:val="24"/>
                <w:szCs w:val="24"/>
                <w:highlight w:val="none"/>
                <w:lang w:eastAsia="zh-CN"/>
                <w14:textFill>
                  <w14:solidFill>
                    <w14:schemeClr w14:val="tx1"/>
                  </w14:solidFill>
                </w14:textFill>
              </w:rPr>
              <w:t>（</w:t>
            </w:r>
            <w:r>
              <w:rPr>
                <w:rFonts w:hint="default" w:ascii="Times New Roman" w:hAnsi="Times New Roman" w:cs="Times New Roman"/>
                <w:b w:val="0"/>
                <w:bCs/>
                <w:color w:val="000000" w:themeColor="text1"/>
                <w:sz w:val="24"/>
                <w:szCs w:val="24"/>
                <w:highlight w:val="none"/>
                <w14:textFill>
                  <w14:solidFill>
                    <w14:schemeClr w14:val="tx1"/>
                  </w14:solidFill>
                </w14:textFill>
              </w:rPr>
              <w:t>含三腔手术</w:t>
            </w:r>
            <w:r>
              <w:rPr>
                <w:rFonts w:hint="default" w:ascii="Times New Roman" w:hAnsi="Times New Roman" w:cs="Times New Roman"/>
                <w:b w:val="0"/>
                <w:bCs/>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及美容服务</w:t>
            </w:r>
            <w:r>
              <w:rPr>
                <w:rFonts w:hint="default" w:ascii="Times New Roman" w:hAnsi="Times New Roman" w:cs="Times New Roman"/>
                <w:b w:val="0"/>
                <w:bCs/>
                <w:color w:val="000000" w:themeColor="text1"/>
                <w:sz w:val="24"/>
                <w:szCs w:val="24"/>
                <w:highlight w:val="none"/>
                <w14:textFill>
                  <w14:solidFill>
                    <w14:schemeClr w14:val="tx1"/>
                  </w14:solidFill>
                </w14:textFill>
              </w:rPr>
              <w:t>，宠物进行挂号、就诊、化验、治疗和手术、住院观察等，部分宠物仅打疫苗预防疾病。项目配备1台DR自带数字直接成像系统。不需要出片，不设置洗片室，不涉及洗片废水产生。项目医疗服务的工作流程及产污节点见下图。</w:t>
            </w:r>
          </w:p>
          <w:p w14:paraId="6D6D5C4E">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drawing>
                <wp:inline distT="0" distB="0" distL="114300" distR="114300">
                  <wp:extent cx="5250815" cy="2849880"/>
                  <wp:effectExtent l="0" t="0" r="6985" b="7620"/>
                  <wp:docPr id="17" name="图片 17" descr="工艺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工艺流程"/>
                          <pic:cNvPicPr>
                            <a:picLocks noChangeAspect="1"/>
                          </pic:cNvPicPr>
                        </pic:nvPicPr>
                        <pic:blipFill>
                          <a:blip r:embed="rId18"/>
                          <a:stretch>
                            <a:fillRect/>
                          </a:stretch>
                        </pic:blipFill>
                        <pic:spPr>
                          <a:xfrm>
                            <a:off x="0" y="0"/>
                            <a:ext cx="5250815" cy="2849880"/>
                          </a:xfrm>
                          <a:prstGeom prst="rect">
                            <a:avLst/>
                          </a:prstGeom>
                        </pic:spPr>
                      </pic:pic>
                    </a:graphicData>
                  </a:graphic>
                </wp:inline>
              </w:drawing>
            </w:r>
          </w:p>
          <w:p w14:paraId="472E3F3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图2.9-1 医疗服务工作流程及产污环节分析</w:t>
            </w:r>
          </w:p>
          <w:p w14:paraId="2E08FB6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工艺流程简述</w:t>
            </w:r>
            <w:r>
              <w:rPr>
                <w:rFonts w:hint="default" w:ascii="Times New Roman" w:hAnsi="Times New Roman" w:cs="Times New Roman"/>
                <w:b w:val="0"/>
                <w:bCs/>
                <w:color w:val="000000" w:themeColor="text1"/>
                <w:sz w:val="24"/>
                <w:szCs w:val="24"/>
                <w:highlight w:val="none"/>
                <w:lang w:eastAsia="zh-CN"/>
                <w14:textFill>
                  <w14:solidFill>
                    <w14:schemeClr w14:val="tx1"/>
                  </w14:solidFill>
                </w14:textFill>
              </w:rPr>
              <w:t>：</w:t>
            </w:r>
          </w:p>
          <w:p w14:paraId="6630D153">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pPr>
            <w:r>
              <w:rPr>
                <w:rFonts w:hint="default" w:ascii="Times New Roman" w:hAnsi="Times New Roman" w:cs="Times New Roman"/>
                <w:b/>
                <w:bCs w:val="0"/>
                <w:color w:val="000000" w:themeColor="text1"/>
                <w:sz w:val="24"/>
                <w:szCs w:val="24"/>
                <w:highlight w:val="none"/>
                <w:lang w:eastAsia="zh-CN"/>
                <w14:textFill>
                  <w14:solidFill>
                    <w14:schemeClr w14:val="tx1"/>
                  </w14:solidFill>
                </w14:textFill>
              </w:rPr>
              <w:t>（</w:t>
            </w:r>
            <w:r>
              <w:rPr>
                <w:rFonts w:hint="default" w:ascii="Times New Roman" w:hAnsi="Times New Roman" w:cs="Times New Roman"/>
                <w:b/>
                <w:bCs w:val="0"/>
                <w:color w:val="000000" w:themeColor="text1"/>
                <w:sz w:val="24"/>
                <w:szCs w:val="24"/>
                <w:highlight w:val="none"/>
                <w:lang w:val="en-US" w:eastAsia="zh-CN"/>
                <w14:textFill>
                  <w14:solidFill>
                    <w14:schemeClr w14:val="tx1"/>
                  </w14:solidFill>
                </w14:textFill>
              </w:rPr>
              <w:t>1</w:t>
            </w:r>
            <w:r>
              <w:rPr>
                <w:rFonts w:hint="default" w:ascii="Times New Roman" w:hAnsi="Times New Roman" w:cs="Times New Roman"/>
                <w:b/>
                <w:bCs w:val="0"/>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宠物治疗</w:t>
            </w:r>
          </w:p>
          <w:p w14:paraId="6C18242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项目主要从事犬、猫等动物疫病的预防、诊疗及手术。项目不接收经诊断患有人畜交叉感染传染病的宠物，仅对一般宠物感染病症进行隔离。项目化验过程中均采用成品试剂，该过程不产生化验废水。</w:t>
            </w:r>
          </w:p>
          <w:p w14:paraId="5698B790">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检查</w:t>
            </w:r>
            <w:r>
              <w:rPr>
                <w:rFonts w:hint="default" w:ascii="Times New Roman" w:hAnsi="Times New Roman" w:cs="Times New Roman"/>
                <w:b/>
                <w:bCs w:val="0"/>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顾客携带宠物先到前台挂号并进行初检，符合治疗条件的患病动物由导诊人员</w:t>
            </w:r>
            <w:r>
              <w:rPr>
                <w:rFonts w:hint="default" w:ascii="Times New Roman" w:hAnsi="Times New Roman" w:cs="Times New Roman"/>
                <w:b w:val="0"/>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或顾客</w:t>
            </w:r>
            <w:r>
              <w:rPr>
                <w:rFonts w:hint="default" w:ascii="Times New Roman" w:hAnsi="Times New Roman" w:cs="Times New Roman"/>
                <w:b w:val="0"/>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带至诊室就诊，由医护人员对宠物进行基础检查，会使用医用酒精棉进行消毒，使用后的酒精棉属于医疗废物。</w:t>
            </w:r>
          </w:p>
          <w:p w14:paraId="3147A81F">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化验诊断</w:t>
            </w:r>
            <w:r>
              <w:rPr>
                <w:rFonts w:hint="default" w:ascii="Times New Roman" w:hAnsi="Times New Roman" w:cs="Times New Roman"/>
                <w:b/>
                <w:bCs w:val="0"/>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医护人员根据宠物情况进行常规检查，包括使用显微镜进行细胞学、皮肤、耳道分泌物、粪常规检查</w:t>
            </w:r>
            <w:r>
              <w:rPr>
                <w:rFonts w:hint="eastAsia" w:cs="Times New Roman"/>
                <w:b w:val="0"/>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使用生化分析仪采用干式生化试剂片对ALT</w:t>
            </w:r>
            <w:r>
              <w:rPr>
                <w:rFonts w:hint="default" w:ascii="Times New Roman" w:hAnsi="Times New Roman" w:cs="Times New Roman"/>
                <w:b w:val="0"/>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谷丙转氨酶</w:t>
            </w:r>
            <w:r>
              <w:rPr>
                <w:rFonts w:hint="default" w:ascii="Times New Roman" w:hAnsi="Times New Roman" w:cs="Times New Roman"/>
                <w:b w:val="0"/>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、ALB</w:t>
            </w:r>
            <w:r>
              <w:rPr>
                <w:rFonts w:hint="default" w:ascii="Times New Roman" w:hAnsi="Times New Roman" w:cs="Times New Roman"/>
                <w:b w:val="0"/>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白蛋白</w:t>
            </w:r>
            <w:r>
              <w:rPr>
                <w:rFonts w:hint="default" w:ascii="Times New Roman" w:hAnsi="Times New Roman" w:cs="Times New Roman"/>
                <w:b w:val="0"/>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、ALP</w:t>
            </w:r>
            <w:r>
              <w:rPr>
                <w:rFonts w:hint="default" w:ascii="Times New Roman" w:hAnsi="Times New Roman" w:cs="Times New Roman"/>
                <w:b w:val="0"/>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碱性磷酸酶</w:t>
            </w:r>
            <w:r>
              <w:rPr>
                <w:rFonts w:hint="default" w:ascii="Times New Roman" w:hAnsi="Times New Roman" w:cs="Times New Roman"/>
                <w:b w:val="0"/>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、AMY</w:t>
            </w:r>
            <w:r>
              <w:rPr>
                <w:rFonts w:hint="default" w:ascii="Times New Roman" w:hAnsi="Times New Roman" w:cs="Times New Roman"/>
                <w:b w:val="0"/>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淀粉酶</w:t>
            </w:r>
            <w:r>
              <w:rPr>
                <w:rFonts w:hint="default" w:ascii="Times New Roman" w:hAnsi="Times New Roman" w:cs="Times New Roman"/>
                <w:b w:val="0"/>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等因子进行检测</w:t>
            </w:r>
            <w:r>
              <w:rPr>
                <w:rFonts w:hint="eastAsia" w:cs="Times New Roman"/>
                <w:b w:val="0"/>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使用荧光分析仪采用干式试剂片对犬胰腺炎、猫胰腺炎等进行检测及DR检测等。执业医师根据化验数据做出诊断结果</w:t>
            </w:r>
            <w:r>
              <w:rPr>
                <w:rFonts w:hint="default" w:ascii="Times New Roman" w:hAnsi="Times New Roman" w:cs="Times New Roman"/>
                <w:b w:val="0"/>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并根据患病动物的情况进行输液、手术、疫苗接种等诊疗过程。化验诊疗主要产生的一次性医疗器、棉签、宠物血液、针管等医疗废物，化验时宠物医生洗手等产生医疗废水。</w:t>
            </w:r>
          </w:p>
          <w:p w14:paraId="7652A5E7">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治疗</w:t>
            </w:r>
            <w:r>
              <w:rPr>
                <w:rFonts w:hint="default" w:ascii="Times New Roman" w:hAnsi="Times New Roman" w:cs="Times New Roman"/>
                <w:b/>
                <w:bCs w:val="0"/>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项目治疗包含手术治疗和常规治疗。手术过程中手术台上铺的医用纱布、垫料，手术过程中产生的血液、废弃医用棉、宠物医生的一次性手套、输液及手术过程中的一次性注射器等医疗废物，切除的宠物组织、病死宠物尸体等属于医疗废物。宠物医生手术后的清洗废水及手术器械清洗废水属于医疗废水。治疗过程中会产生医疗废物和医疗废水。</w:t>
            </w:r>
          </w:p>
          <w:p w14:paraId="06081A4E">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住院</w:t>
            </w:r>
            <w:r>
              <w:rPr>
                <w:rFonts w:hint="default" w:ascii="Times New Roman" w:hAnsi="Times New Roman" w:cs="Times New Roman"/>
                <w:b/>
                <w:bCs w:val="0"/>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宠物住院观察过程中宠物生活会产生少量臭气、粪便及宠物笼清洗废水及宠物叫声。</w:t>
            </w:r>
          </w:p>
          <w:p w14:paraId="28142BA1">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离开</w:t>
            </w:r>
            <w:r>
              <w:rPr>
                <w:rFonts w:hint="default" w:ascii="Times New Roman" w:hAnsi="Times New Roman" w:cs="Times New Roman"/>
                <w:b/>
                <w:bCs w:val="0"/>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观察一段时间后，宠物恢复，离开医院</w:t>
            </w:r>
            <w:r>
              <w:rPr>
                <w:rFonts w:hint="eastAsia" w:ascii="Times New Roman" w:hAnsi="Times New Roman" w:cs="Times New Roman"/>
                <w:b w:val="0"/>
                <w:bCs/>
                <w:color w:val="000000" w:themeColor="text1"/>
                <w:sz w:val="24"/>
                <w:szCs w:val="24"/>
                <w:highlight w:val="none"/>
                <w:lang w:eastAsia="zh-CN"/>
                <w14:textFill>
                  <w14:solidFill>
                    <w14:schemeClr w14:val="tx1"/>
                  </w14:solidFill>
                </w14:textFill>
              </w:rPr>
              <w:t>。</w:t>
            </w:r>
          </w:p>
          <w:p w14:paraId="3D835407">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（2）美容洗浴</w:t>
            </w:r>
          </w:p>
          <w:p w14:paraId="256210F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宠物美容主要包括给宠物修剪指（趾）甲、剃脚毛、挖耳朵、洗澡等，进行美容后的宠物由其主人带离医院，本项目美容不包括染色项目。</w:t>
            </w:r>
          </w:p>
          <w:p w14:paraId="1CD7EA8B">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美容洗浴：</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洗护人员对宠物进行全身清洗，该过程会产生美容洗浴废水。</w:t>
            </w:r>
          </w:p>
          <w:p w14:paraId="3B15C221">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剪毛</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：医护人员对宠物进行毛发修整，该过程会产生动物毛发，包含修剪废物。</w:t>
            </w:r>
          </w:p>
          <w:p w14:paraId="0ADDF1DD">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离开</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：宠物美容完成后离开医院。</w:t>
            </w:r>
          </w:p>
          <w:p w14:paraId="26A400F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其他产污环节：项目需要定期对工服进行清洗，会产生工服清洗废水</w:t>
            </w:r>
            <w:r>
              <w:rPr>
                <w:rFonts w:hint="eastAsia"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美容洗浴后的宠物毛毯需要进行清洗，会产生宠物毛毯清洗废水</w:t>
            </w:r>
            <w:r>
              <w:rPr>
                <w:rFonts w:hint="eastAsia"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宠物偶发性噪声等。</w:t>
            </w:r>
          </w:p>
          <w:p w14:paraId="2E785B0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color w:val="0000C8"/>
                <w:sz w:val="24"/>
                <w:szCs w:val="24"/>
                <w:highlight w:val="none"/>
                <w:lang w:val="en-US" w:eastAsia="zh-CN"/>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医院消毒方式</w:t>
            </w:r>
            <w:r>
              <w:rPr>
                <w:rFonts w:hint="default" w:ascii="Times New Roman" w:hAnsi="Times New Roman" w:cs="Times New Roman"/>
                <w:b w:val="0"/>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医院地面采用84消毒</w:t>
            </w:r>
            <w:r>
              <w:rPr>
                <w:rFonts w:hint="eastAsia" w:cs="Times New Roman"/>
                <w:b w:val="0"/>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手术治疗过程中使用酒精对宠物进行喷雾治疗。医疗器械、玻璃器皿采用</w:t>
            </w:r>
            <w:r>
              <w:rPr>
                <w:rFonts w:hint="eastAsia" w:ascii="Times New Roman" w:hAnsi="Times New Roman" w:eastAsia="宋体" w:cs="Times New Roman"/>
                <w:b w:val="0"/>
                <w:bCs/>
                <w:color w:val="000000" w:themeColor="text1"/>
                <w:sz w:val="24"/>
                <w:szCs w:val="24"/>
                <w:highlight w:val="none"/>
                <w:lang w:eastAsia="zh-CN"/>
                <w14:textFill>
                  <w14:solidFill>
                    <w14:schemeClr w14:val="tx1"/>
                  </w14:solidFill>
                </w14:textFill>
              </w:rPr>
              <w:t>蒸汽灭菌器</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进行高温消毒，高温灭菌保持在120℃以上并维持30分钟即可有效灭菌。医疗废水使用</w:t>
            </w:r>
            <w:r>
              <w:rPr>
                <w:rFonts w:hint="eastAsia" w:cs="Times New Roman"/>
                <w:b w:val="0"/>
                <w:bCs/>
                <w:color w:val="000000" w:themeColor="text1"/>
                <w:sz w:val="24"/>
                <w:szCs w:val="24"/>
                <w:highlight w:val="none"/>
                <w:lang w:val="en-US" w:eastAsia="zh-CN"/>
                <w14:textFill>
                  <w14:solidFill>
                    <w14:schemeClr w14:val="tx1"/>
                  </w14:solidFill>
                </w14:textFill>
              </w:rPr>
              <w:t>二氧化氯</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消毒片</w:t>
            </w:r>
            <w:r>
              <w:rPr>
                <w:rFonts w:hint="eastAsia" w:cs="Times New Roman"/>
                <w:b w:val="0"/>
                <w:bCs/>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b w:val="0"/>
                <w:color w:val="auto"/>
                <w:sz w:val="24"/>
                <w:szCs w:val="24"/>
                <w:lang w:val="en-US" w:eastAsia="zh-CN" w:bidi="ar-SA"/>
              </w:rPr>
              <w:t>三氯异氰尿酸消毒片</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进行消毒使用浓度为40-60mg</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/L</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，静置消毒60-70分钟即可。动物排泄物经</w:t>
            </w:r>
            <w:r>
              <w:rPr>
                <w:rFonts w:hint="eastAsia" w:cs="Times New Roman"/>
                <w:b w:val="0"/>
                <w:bCs/>
                <w:color w:val="000000" w:themeColor="text1"/>
                <w:sz w:val="24"/>
                <w:szCs w:val="24"/>
                <w:highlight w:val="none"/>
                <w:lang w:val="en-US" w:eastAsia="zh-CN"/>
                <w14:textFill>
                  <w14:solidFill>
                    <w14:schemeClr w14:val="tx1"/>
                  </w14:solidFill>
                </w14:textFill>
              </w:rPr>
              <w:t>84消毒剂</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消毒后交市政环卫部门处置。</w:t>
            </w:r>
          </w:p>
          <w:p w14:paraId="066E3DCF">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2.10 项目产排污环节分析</w:t>
            </w:r>
          </w:p>
          <w:p w14:paraId="4B4CC8B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项目产排污节点详见表2.10-1。</w:t>
            </w:r>
          </w:p>
          <w:p w14:paraId="4DD55FF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表2.10-1项目产排污节点分析一览表</w:t>
            </w:r>
          </w:p>
          <w:tbl>
            <w:tblPr>
              <w:tblStyle w:val="21"/>
              <w:tblW w:w="8253"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79"/>
              <w:gridCol w:w="870"/>
              <w:gridCol w:w="1553"/>
              <w:gridCol w:w="600"/>
              <w:gridCol w:w="2280"/>
              <w:gridCol w:w="2471"/>
            </w:tblGrid>
            <w:tr w14:paraId="6C8FF2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pct"/>
                  <w:gridSpan w:val="2"/>
                  <w:tcBorders>
                    <w:tl2br w:val="nil"/>
                    <w:tr2bl w:val="nil"/>
                  </w:tcBorders>
                  <w:vAlign w:val="center"/>
                </w:tcPr>
                <w:p w14:paraId="2866AAA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类型</w:t>
                  </w:r>
                </w:p>
              </w:tc>
              <w:tc>
                <w:tcPr>
                  <w:tcW w:w="940" w:type="pct"/>
                  <w:tcBorders>
                    <w:tl2br w:val="nil"/>
                    <w:tr2bl w:val="nil"/>
                  </w:tcBorders>
                  <w:vAlign w:val="center"/>
                </w:tcPr>
                <w:p w14:paraId="5AA269B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产污工序</w:t>
                  </w:r>
                </w:p>
              </w:tc>
              <w:tc>
                <w:tcPr>
                  <w:tcW w:w="1744" w:type="pct"/>
                  <w:gridSpan w:val="2"/>
                  <w:tcBorders>
                    <w:tl2br w:val="nil"/>
                    <w:tr2bl w:val="nil"/>
                  </w:tcBorders>
                  <w:vAlign w:val="center"/>
                </w:tcPr>
                <w:p w14:paraId="3396C89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主要污染物</w:t>
                  </w:r>
                </w:p>
              </w:tc>
              <w:tc>
                <w:tcPr>
                  <w:tcW w:w="1497" w:type="pct"/>
                  <w:tcBorders>
                    <w:tl2br w:val="nil"/>
                    <w:tr2bl w:val="nil"/>
                  </w:tcBorders>
                  <w:vAlign w:val="center"/>
                </w:tcPr>
                <w:p w14:paraId="383520F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措施与去向</w:t>
                  </w:r>
                </w:p>
              </w:tc>
            </w:tr>
            <w:tr w14:paraId="5C1FCE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0" w:type="pct"/>
                  <w:vMerge w:val="restart"/>
                  <w:tcBorders>
                    <w:tl2br w:val="nil"/>
                    <w:tr2bl w:val="nil"/>
                  </w:tcBorders>
                  <w:vAlign w:val="center"/>
                </w:tcPr>
                <w:p w14:paraId="2DECF96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废气</w:t>
                  </w:r>
                </w:p>
              </w:tc>
              <w:tc>
                <w:tcPr>
                  <w:tcW w:w="527" w:type="pct"/>
                  <w:tcBorders>
                    <w:tl2br w:val="nil"/>
                    <w:tr2bl w:val="nil"/>
                  </w:tcBorders>
                  <w:vAlign w:val="center"/>
                </w:tcPr>
                <w:p w14:paraId="28E5F73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t>宠物异味、</w:t>
                  </w:r>
                  <w:r>
                    <w:rPr>
                      <w:rFonts w:hint="eastAsia" w:cs="Times New Roman"/>
                      <w:b w:val="0"/>
                      <w:bCs/>
                      <w:color w:val="000000" w:themeColor="text1"/>
                      <w:sz w:val="21"/>
                      <w:szCs w:val="21"/>
                      <w:highlight w:val="none"/>
                      <w:vertAlign w:val="baseline"/>
                      <w:lang w:eastAsia="zh-CN"/>
                      <w14:textFill>
                        <w14:solidFill>
                          <w14:schemeClr w14:val="tx1"/>
                        </w14:solidFill>
                      </w14:textFill>
                    </w:rPr>
                    <w:t>消毒设施</w:t>
                  </w:r>
                  <w:r>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t>异味等</w:t>
                  </w:r>
                </w:p>
              </w:tc>
              <w:tc>
                <w:tcPr>
                  <w:tcW w:w="940" w:type="pct"/>
                  <w:tcBorders>
                    <w:tl2br w:val="nil"/>
                    <w:tr2bl w:val="nil"/>
                  </w:tcBorders>
                  <w:vAlign w:val="center"/>
                </w:tcPr>
                <w:p w14:paraId="267211D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t>诊疗、住院、</w:t>
                  </w:r>
                  <w:r>
                    <w:rPr>
                      <w:rFonts w:hint="eastAsia" w:cs="Times New Roman"/>
                      <w:b w:val="0"/>
                      <w:bCs/>
                      <w:color w:val="000000" w:themeColor="text1"/>
                      <w:sz w:val="21"/>
                      <w:szCs w:val="21"/>
                      <w:highlight w:val="none"/>
                      <w:vertAlign w:val="baseline"/>
                      <w:lang w:eastAsia="zh-CN"/>
                      <w14:textFill>
                        <w14:solidFill>
                          <w14:schemeClr w14:val="tx1"/>
                        </w14:solidFill>
                      </w14:textFill>
                    </w:rPr>
                    <w:t>消毒设施</w:t>
                  </w:r>
                  <w:r>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t>等</w:t>
                  </w:r>
                </w:p>
              </w:tc>
              <w:tc>
                <w:tcPr>
                  <w:tcW w:w="1744" w:type="pct"/>
                  <w:gridSpan w:val="2"/>
                  <w:tcBorders>
                    <w:tl2br w:val="nil"/>
                    <w:tr2bl w:val="nil"/>
                  </w:tcBorders>
                  <w:vAlign w:val="center"/>
                </w:tcPr>
                <w:p w14:paraId="1761444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t>臭气</w:t>
                  </w:r>
                </w:p>
              </w:tc>
              <w:tc>
                <w:tcPr>
                  <w:tcW w:w="1497" w:type="pct"/>
                  <w:vMerge w:val="restart"/>
                  <w:tcBorders>
                    <w:tl2br w:val="nil"/>
                    <w:tr2bl w:val="nil"/>
                  </w:tcBorders>
                  <w:vAlign w:val="center"/>
                </w:tcPr>
                <w:p w14:paraId="1A906CE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t>通过空调系统通风换气，定期使用84消毒液等对医院进行消毒，加强通风</w:t>
                  </w: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换风</w:t>
                  </w:r>
                </w:p>
              </w:tc>
            </w:tr>
            <w:tr w14:paraId="4ABB8F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0" w:type="pct"/>
                  <w:vMerge w:val="continue"/>
                  <w:tcBorders>
                    <w:tl2br w:val="nil"/>
                    <w:tr2bl w:val="nil"/>
                  </w:tcBorders>
                  <w:vAlign w:val="center"/>
                </w:tcPr>
                <w:p w14:paraId="35235DD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p>
              </w:tc>
              <w:tc>
                <w:tcPr>
                  <w:tcW w:w="527" w:type="pct"/>
                  <w:tcBorders>
                    <w:tl2br w:val="nil"/>
                    <w:tr2bl w:val="nil"/>
                  </w:tcBorders>
                  <w:vAlign w:val="center"/>
                </w:tcPr>
                <w:p w14:paraId="75821FB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color w:val="000000" w:themeColor="text1"/>
                      <w:sz w:val="21"/>
                      <w:szCs w:val="21"/>
                      <w:highlight w:val="none"/>
                      <w:vertAlign w:val="baseline"/>
                      <w:lang w:val="en-US" w:eastAsia="zh-CN"/>
                      <w14:textFill>
                        <w14:solidFill>
                          <w14:schemeClr w14:val="tx1"/>
                        </w14:solidFill>
                      </w14:textFill>
                    </w:rPr>
                    <w:t>酒精消毒</w:t>
                  </w:r>
                </w:p>
              </w:tc>
              <w:tc>
                <w:tcPr>
                  <w:tcW w:w="940" w:type="pct"/>
                  <w:tcBorders>
                    <w:tl2br w:val="nil"/>
                    <w:tr2bl w:val="nil"/>
                  </w:tcBorders>
                  <w:vAlign w:val="center"/>
                </w:tcPr>
                <w:p w14:paraId="6BDD904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color w:val="000000" w:themeColor="text1"/>
                      <w:sz w:val="21"/>
                      <w:szCs w:val="21"/>
                      <w:highlight w:val="none"/>
                      <w:vertAlign w:val="baseline"/>
                      <w:lang w:val="en-US" w:eastAsia="zh-CN"/>
                      <w14:textFill>
                        <w14:solidFill>
                          <w14:schemeClr w14:val="tx1"/>
                        </w14:solidFill>
                      </w14:textFill>
                    </w:rPr>
                    <w:t>诊疗</w:t>
                  </w:r>
                </w:p>
              </w:tc>
              <w:tc>
                <w:tcPr>
                  <w:tcW w:w="1744" w:type="pct"/>
                  <w:gridSpan w:val="2"/>
                  <w:tcBorders>
                    <w:tl2br w:val="nil"/>
                    <w:tr2bl w:val="nil"/>
                  </w:tcBorders>
                  <w:vAlign w:val="center"/>
                </w:tcPr>
                <w:p w14:paraId="367A288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pPr>
                  <w:r>
                    <w:rPr>
                      <w:rFonts w:hint="eastAsia" w:cs="Times New Roman"/>
                      <w:b w:val="0"/>
                      <w:bCs/>
                      <w:color w:val="000000" w:themeColor="text1"/>
                      <w:sz w:val="21"/>
                      <w:szCs w:val="21"/>
                      <w:highlight w:val="none"/>
                      <w:vertAlign w:val="baseline"/>
                      <w:lang w:val="en-US" w:eastAsia="zh-CN"/>
                      <w14:textFill>
                        <w14:solidFill>
                          <w14:schemeClr w14:val="tx1"/>
                        </w14:solidFill>
                      </w14:textFill>
                    </w:rPr>
                    <w:t>非甲烷总烃</w:t>
                  </w:r>
                </w:p>
              </w:tc>
              <w:tc>
                <w:tcPr>
                  <w:tcW w:w="1497" w:type="pct"/>
                  <w:vMerge w:val="continue"/>
                  <w:tcBorders>
                    <w:tl2br w:val="nil"/>
                    <w:tr2bl w:val="nil"/>
                  </w:tcBorders>
                  <w:vAlign w:val="center"/>
                </w:tcPr>
                <w:p w14:paraId="120B5FB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pPr>
                </w:p>
              </w:tc>
            </w:tr>
            <w:tr w14:paraId="5DEC94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290" w:type="pct"/>
                  <w:vMerge w:val="restart"/>
                  <w:tcBorders>
                    <w:tl2br w:val="nil"/>
                    <w:tr2bl w:val="nil"/>
                  </w:tcBorders>
                  <w:vAlign w:val="center"/>
                </w:tcPr>
                <w:p w14:paraId="7B13463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废水</w:t>
                  </w:r>
                </w:p>
              </w:tc>
              <w:tc>
                <w:tcPr>
                  <w:tcW w:w="527" w:type="pct"/>
                  <w:tcBorders>
                    <w:tl2br w:val="nil"/>
                    <w:tr2bl w:val="nil"/>
                  </w:tcBorders>
                  <w:vAlign w:val="center"/>
                </w:tcPr>
                <w:p w14:paraId="5778493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生活污水</w:t>
                  </w:r>
                </w:p>
              </w:tc>
              <w:tc>
                <w:tcPr>
                  <w:tcW w:w="940" w:type="pct"/>
                  <w:tcBorders>
                    <w:tl2br w:val="nil"/>
                    <w:tr2bl w:val="nil"/>
                  </w:tcBorders>
                  <w:vAlign w:val="center"/>
                </w:tcPr>
                <w:p w14:paraId="47F2ADF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t>员工</w:t>
                  </w:r>
                  <w:r>
                    <w:rPr>
                      <w:rFonts w:hint="eastAsia"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生活办公</w:t>
                  </w:r>
                  <w:r>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t>、</w:t>
                  </w:r>
                  <w:r>
                    <w:rPr>
                      <w:rFonts w:hint="eastAsia"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顾客</w:t>
                  </w:r>
                  <w:r>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t>等</w:t>
                  </w:r>
                </w:p>
              </w:tc>
              <w:tc>
                <w:tcPr>
                  <w:tcW w:w="1744" w:type="pct"/>
                  <w:gridSpan w:val="2"/>
                  <w:tcBorders>
                    <w:tl2br w:val="nil"/>
                    <w:tr2bl w:val="nil"/>
                  </w:tcBorders>
                  <w:vAlign w:val="center"/>
                </w:tcPr>
                <w:p w14:paraId="4D6277B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t>pH、COD、BOD</w:t>
                  </w:r>
                  <w:r>
                    <w:rPr>
                      <w:rFonts w:hint="default" w:ascii="Times New Roman" w:hAnsi="Times New Roman" w:cs="Times New Roman"/>
                      <w:b w:val="0"/>
                      <w:bCs/>
                      <w:color w:val="000000" w:themeColor="text1"/>
                      <w:sz w:val="21"/>
                      <w:szCs w:val="21"/>
                      <w:highlight w:val="none"/>
                      <w:vertAlign w:val="subscript"/>
                      <w:lang w:val="en-US" w:eastAsia="zh-CN"/>
                      <w14:textFill>
                        <w14:solidFill>
                          <w14:schemeClr w14:val="tx1"/>
                        </w14:solidFill>
                      </w14:textFill>
                    </w:rPr>
                    <w:t>5</w:t>
                  </w:r>
                  <w:r>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t>、SS、氨氮、总磷</w:t>
                  </w:r>
                </w:p>
              </w:tc>
              <w:tc>
                <w:tcPr>
                  <w:tcW w:w="1497" w:type="pct"/>
                  <w:vMerge w:val="restart"/>
                  <w:tcBorders>
                    <w:tl2br w:val="nil"/>
                    <w:tr2bl w:val="nil"/>
                  </w:tcBorders>
                  <w:vAlign w:val="center"/>
                </w:tcPr>
                <w:p w14:paraId="324D633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医疗废水经</w:t>
                  </w:r>
                  <w:r>
                    <w:rPr>
                      <w:rFonts w:hint="eastAsia" w:cs="Times New Roman"/>
                      <w:b w:val="0"/>
                      <w:bCs/>
                      <w:color w:val="000000" w:themeColor="text1"/>
                      <w:sz w:val="21"/>
                      <w:szCs w:val="21"/>
                      <w:highlight w:val="none"/>
                      <w:vertAlign w:val="baseline"/>
                      <w:lang w:val="en-US" w:eastAsia="zh-CN"/>
                      <w14:textFill>
                        <w14:solidFill>
                          <w14:schemeClr w14:val="tx1"/>
                        </w14:solidFill>
                      </w14:textFill>
                    </w:rPr>
                    <w:t>消毒设施消毒</w:t>
                  </w: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，美容洗浴废水经滤网过滤后再与生活污水</w:t>
                  </w: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及</w:t>
                  </w:r>
                  <w:r>
                    <w:rPr>
                      <w:rFonts w:hint="eastAsia"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其它废水</w:t>
                  </w: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一并进入</w:t>
                  </w:r>
                  <w:r>
                    <w:rPr>
                      <w:rFonts w:hint="eastAsia" w:cs="Times New Roman"/>
                      <w:b w:val="0"/>
                      <w:bCs/>
                      <w:color w:val="000000" w:themeColor="text1"/>
                      <w:sz w:val="21"/>
                      <w:szCs w:val="21"/>
                      <w:highlight w:val="none"/>
                      <w:vertAlign w:val="baseline"/>
                      <w:lang w:val="en-US" w:eastAsia="zh-CN"/>
                      <w14:textFill>
                        <w14:solidFill>
                          <w14:schemeClr w14:val="tx1"/>
                        </w14:solidFill>
                      </w14:textFill>
                    </w:rPr>
                    <w:t>弘悦101已建</w:t>
                  </w:r>
                  <w:r>
                    <w:rPr>
                      <w:rFonts w:hint="eastAsia"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生化池</w:t>
                  </w: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处理达《污水综合排放标准》（GB8978-1996）三级标准后排入市政污水管网，经市政污水管</w:t>
                  </w:r>
                  <w:r>
                    <w:rPr>
                      <w:rFonts w:hint="default" w:ascii="Times New Roman" w:hAnsi="Times New Roman" w:cs="Times New Roman"/>
                      <w:b w:val="0"/>
                      <w:bCs/>
                      <w:color w:val="auto"/>
                      <w:sz w:val="21"/>
                      <w:szCs w:val="21"/>
                      <w:highlight w:val="none"/>
                      <w:vertAlign w:val="baseline"/>
                      <w:lang w:val="en-US" w:eastAsia="zh-CN"/>
                    </w:rPr>
                    <w:t>网进入</w:t>
                  </w:r>
                  <w:r>
                    <w:rPr>
                      <w:rFonts w:hint="eastAsia" w:cs="Times New Roman"/>
                      <w:b w:val="0"/>
                      <w:bCs/>
                      <w:color w:val="auto"/>
                      <w:sz w:val="21"/>
                      <w:szCs w:val="21"/>
                      <w:highlight w:val="none"/>
                      <w:vertAlign w:val="baseline"/>
                      <w:lang w:val="en-US" w:eastAsia="zh-CN"/>
                    </w:rPr>
                    <w:t>彩云湖污水处理厂</w:t>
                  </w:r>
                  <w:r>
                    <w:rPr>
                      <w:rFonts w:hint="default" w:ascii="Times New Roman" w:hAnsi="Times New Roman" w:cs="Times New Roman"/>
                      <w:b w:val="0"/>
                      <w:bCs/>
                      <w:color w:val="auto"/>
                      <w:sz w:val="21"/>
                      <w:szCs w:val="21"/>
                      <w:highlight w:val="none"/>
                      <w:vertAlign w:val="baseline"/>
                      <w:lang w:val="en-US" w:eastAsia="zh-CN"/>
                    </w:rPr>
                    <w:t>深度处理达</w:t>
                  </w:r>
                  <w:r>
                    <w:rPr>
                      <w:rFonts w:hint="eastAsia" w:cs="Times New Roman"/>
                      <w:b w:val="0"/>
                      <w:bCs/>
                      <w:color w:val="auto"/>
                      <w:sz w:val="21"/>
                      <w:szCs w:val="21"/>
                      <w:highlight w:val="none"/>
                      <w:vertAlign w:val="baseline"/>
                      <w:lang w:val="en-US" w:eastAsia="zh-CN"/>
                    </w:rPr>
                    <w:t>彩云湖污水处理厂出水水质标准后</w:t>
                  </w:r>
                  <w:r>
                    <w:rPr>
                      <w:rFonts w:hint="default" w:ascii="Times New Roman" w:hAnsi="Times New Roman" w:eastAsia="宋体" w:cs="Times New Roman"/>
                      <w:b w:val="0"/>
                      <w:bCs/>
                      <w:color w:val="auto"/>
                      <w:sz w:val="21"/>
                      <w:szCs w:val="21"/>
                      <w:highlight w:val="none"/>
                      <w:vertAlign w:val="baseline"/>
                      <w:lang w:val="en-US" w:eastAsia="zh-CN"/>
                    </w:rPr>
                    <w:t>作为彩云湖湿地公园和桃花溪景观补水</w:t>
                  </w:r>
                  <w:r>
                    <w:rPr>
                      <w:rFonts w:hint="eastAsia" w:cs="Times New Roman"/>
                      <w:b w:val="0"/>
                      <w:bCs/>
                      <w:color w:val="auto"/>
                      <w:sz w:val="21"/>
                      <w:szCs w:val="21"/>
                      <w:highlight w:val="none"/>
                      <w:vertAlign w:val="baseline"/>
                      <w:lang w:val="en-US" w:eastAsia="zh-CN"/>
                    </w:rPr>
                    <w:t>，最终</w:t>
                  </w:r>
                  <w:r>
                    <w:rPr>
                      <w:rFonts w:hint="default" w:ascii="Times New Roman" w:hAnsi="Times New Roman" w:cs="Times New Roman"/>
                      <w:b w:val="0"/>
                      <w:bCs/>
                      <w:color w:val="auto"/>
                      <w:sz w:val="21"/>
                      <w:szCs w:val="21"/>
                      <w:highlight w:val="none"/>
                      <w:vertAlign w:val="baseline"/>
                      <w:lang w:val="en-US" w:eastAsia="zh-CN"/>
                    </w:rPr>
                    <w:t>排入</w:t>
                  </w:r>
                  <w:r>
                    <w:rPr>
                      <w:rFonts w:hint="eastAsia" w:cs="Times New Roman"/>
                      <w:b w:val="0"/>
                      <w:bCs/>
                      <w:color w:val="auto"/>
                      <w:sz w:val="21"/>
                      <w:szCs w:val="21"/>
                      <w:highlight w:val="none"/>
                      <w:vertAlign w:val="baseline"/>
                      <w:lang w:val="en-US" w:eastAsia="zh-CN"/>
                    </w:rPr>
                    <w:t>长江</w:t>
                  </w: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w:t>
                  </w:r>
                </w:p>
              </w:tc>
            </w:tr>
            <w:tr w14:paraId="60BEF3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0" w:type="pct"/>
                  <w:vMerge w:val="continue"/>
                  <w:tcBorders>
                    <w:tl2br w:val="nil"/>
                    <w:tr2bl w:val="nil"/>
                  </w:tcBorders>
                  <w:vAlign w:val="center"/>
                </w:tcPr>
                <w:p w14:paraId="78D678C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pPr>
                </w:p>
              </w:tc>
              <w:tc>
                <w:tcPr>
                  <w:tcW w:w="527" w:type="pct"/>
                  <w:tcBorders>
                    <w:tl2br w:val="nil"/>
                    <w:tr2bl w:val="nil"/>
                  </w:tcBorders>
                  <w:vAlign w:val="center"/>
                </w:tcPr>
                <w:p w14:paraId="28599D9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医疗废水</w:t>
                  </w:r>
                </w:p>
              </w:tc>
              <w:tc>
                <w:tcPr>
                  <w:tcW w:w="940" w:type="pct"/>
                  <w:tcBorders>
                    <w:tl2br w:val="nil"/>
                    <w:tr2bl w:val="nil"/>
                  </w:tcBorders>
                  <w:vAlign w:val="center"/>
                </w:tcPr>
                <w:p w14:paraId="12E7E46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pPr>
                  <w:r>
                    <w:rPr>
                      <w:rFonts w:hint="eastAsia" w:cs="Times New Roman"/>
                      <w:b w:val="0"/>
                      <w:bCs/>
                      <w:color w:val="000000" w:themeColor="text1"/>
                      <w:sz w:val="21"/>
                      <w:szCs w:val="21"/>
                      <w:highlight w:val="none"/>
                      <w:vertAlign w:val="baseline"/>
                      <w:lang w:val="en-US" w:eastAsia="zh-CN"/>
                      <w14:textFill>
                        <w14:solidFill>
                          <w14:schemeClr w14:val="tx1"/>
                        </w14:solidFill>
                      </w14:textFill>
                    </w:rPr>
                    <w:t>化验</w:t>
                  </w:r>
                  <w:r>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t>、宠物笼清洗、器械清洗</w:t>
                  </w:r>
                </w:p>
              </w:tc>
              <w:tc>
                <w:tcPr>
                  <w:tcW w:w="1744" w:type="pct"/>
                  <w:gridSpan w:val="2"/>
                  <w:tcBorders>
                    <w:tl2br w:val="nil"/>
                    <w:tr2bl w:val="nil"/>
                  </w:tcBorders>
                  <w:vAlign w:val="center"/>
                </w:tcPr>
                <w:p w14:paraId="492029D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t>pH、COD、BOD</w:t>
                  </w:r>
                  <w:r>
                    <w:rPr>
                      <w:rFonts w:hint="default" w:ascii="Times New Roman" w:hAnsi="Times New Roman" w:cs="Times New Roman"/>
                      <w:b w:val="0"/>
                      <w:bCs/>
                      <w:color w:val="000000" w:themeColor="text1"/>
                      <w:sz w:val="21"/>
                      <w:szCs w:val="21"/>
                      <w:highlight w:val="none"/>
                      <w:vertAlign w:val="subscript"/>
                      <w:lang w:val="en-US" w:eastAsia="zh-CN"/>
                      <w14:textFill>
                        <w14:solidFill>
                          <w14:schemeClr w14:val="tx1"/>
                        </w14:solidFill>
                      </w14:textFill>
                    </w:rPr>
                    <w:t>5</w:t>
                  </w:r>
                  <w:r>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t>、SS、氨氮、</w:t>
                  </w: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粪大肠菌群</w:t>
                  </w:r>
                </w:p>
              </w:tc>
              <w:tc>
                <w:tcPr>
                  <w:tcW w:w="1497" w:type="pct"/>
                  <w:vMerge w:val="continue"/>
                  <w:tcBorders>
                    <w:tl2br w:val="nil"/>
                    <w:tr2bl w:val="nil"/>
                  </w:tcBorders>
                  <w:vAlign w:val="center"/>
                </w:tcPr>
                <w:p w14:paraId="4711FFF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FF0000"/>
                      <w:sz w:val="21"/>
                      <w:szCs w:val="21"/>
                      <w:highlight w:val="none"/>
                      <w:vertAlign w:val="baseline"/>
                      <w:lang w:eastAsia="zh-CN"/>
                    </w:rPr>
                  </w:pPr>
                </w:p>
              </w:tc>
            </w:tr>
            <w:tr w14:paraId="5F40BA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0" w:type="pct"/>
                  <w:vMerge w:val="continue"/>
                  <w:tcBorders>
                    <w:tl2br w:val="nil"/>
                    <w:tr2bl w:val="nil"/>
                  </w:tcBorders>
                  <w:vAlign w:val="center"/>
                </w:tcPr>
                <w:p w14:paraId="5CA4C12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pPr>
                </w:p>
              </w:tc>
              <w:tc>
                <w:tcPr>
                  <w:tcW w:w="527" w:type="pct"/>
                  <w:tcBorders>
                    <w:tl2br w:val="nil"/>
                    <w:tr2bl w:val="nil"/>
                  </w:tcBorders>
                  <w:vAlign w:val="center"/>
                </w:tcPr>
                <w:p w14:paraId="09C85EA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美容洗护</w:t>
                  </w:r>
                </w:p>
              </w:tc>
              <w:tc>
                <w:tcPr>
                  <w:tcW w:w="940" w:type="pct"/>
                  <w:tcBorders>
                    <w:tl2br w:val="nil"/>
                    <w:tr2bl w:val="nil"/>
                  </w:tcBorders>
                  <w:vAlign w:val="center"/>
                </w:tcPr>
                <w:p w14:paraId="7E3E5EA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动物洗浴</w:t>
                  </w:r>
                </w:p>
              </w:tc>
              <w:tc>
                <w:tcPr>
                  <w:tcW w:w="1744" w:type="pct"/>
                  <w:gridSpan w:val="2"/>
                  <w:tcBorders>
                    <w:tl2br w:val="nil"/>
                    <w:tr2bl w:val="nil"/>
                  </w:tcBorders>
                  <w:vAlign w:val="center"/>
                </w:tcPr>
                <w:p w14:paraId="144A2F3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t>pH、COD、BOD</w:t>
                  </w:r>
                  <w:r>
                    <w:rPr>
                      <w:rFonts w:hint="default" w:ascii="Times New Roman" w:hAnsi="Times New Roman" w:cs="Times New Roman"/>
                      <w:b w:val="0"/>
                      <w:bCs/>
                      <w:color w:val="000000" w:themeColor="text1"/>
                      <w:sz w:val="21"/>
                      <w:szCs w:val="21"/>
                      <w:highlight w:val="none"/>
                      <w:vertAlign w:val="subscript"/>
                      <w:lang w:val="en-US" w:eastAsia="zh-CN"/>
                      <w14:textFill>
                        <w14:solidFill>
                          <w14:schemeClr w14:val="tx1"/>
                        </w14:solidFill>
                      </w14:textFill>
                    </w:rPr>
                    <w:t>5</w:t>
                  </w:r>
                  <w:r>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t>、SS、氨氮、</w:t>
                  </w:r>
                  <w:r>
                    <w:rPr>
                      <w:rFonts w:hint="eastAsia"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LAS、</w:t>
                  </w:r>
                  <w:r>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t>总磷</w:t>
                  </w:r>
                </w:p>
              </w:tc>
              <w:tc>
                <w:tcPr>
                  <w:tcW w:w="1497" w:type="pct"/>
                  <w:vMerge w:val="continue"/>
                  <w:tcBorders>
                    <w:tl2br w:val="nil"/>
                    <w:tr2bl w:val="nil"/>
                  </w:tcBorders>
                  <w:vAlign w:val="center"/>
                </w:tcPr>
                <w:p w14:paraId="64025C1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FF0000"/>
                      <w:sz w:val="21"/>
                      <w:szCs w:val="21"/>
                      <w:highlight w:val="none"/>
                      <w:vertAlign w:val="baseline"/>
                      <w:lang w:eastAsia="zh-CN"/>
                    </w:rPr>
                  </w:pPr>
                </w:p>
              </w:tc>
            </w:tr>
            <w:tr w14:paraId="0E7325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0" w:type="pct"/>
                  <w:vMerge w:val="continue"/>
                  <w:tcBorders>
                    <w:tl2br w:val="nil"/>
                    <w:tr2bl w:val="nil"/>
                  </w:tcBorders>
                  <w:vAlign w:val="center"/>
                </w:tcPr>
                <w:p w14:paraId="41BFB00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pPr>
                </w:p>
              </w:tc>
              <w:tc>
                <w:tcPr>
                  <w:tcW w:w="527" w:type="pct"/>
                  <w:tcBorders>
                    <w:tl2br w:val="nil"/>
                    <w:tr2bl w:val="nil"/>
                  </w:tcBorders>
                  <w:vAlign w:val="center"/>
                </w:tcPr>
                <w:p w14:paraId="6981BD1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其他清洗废水</w:t>
                  </w:r>
                </w:p>
              </w:tc>
              <w:tc>
                <w:tcPr>
                  <w:tcW w:w="940" w:type="pct"/>
                  <w:tcBorders>
                    <w:tl2br w:val="nil"/>
                    <w:tr2bl w:val="nil"/>
                  </w:tcBorders>
                  <w:vAlign w:val="center"/>
                </w:tcPr>
                <w:p w14:paraId="3962401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工服清洗</w:t>
                  </w:r>
                  <w:r>
                    <w:rPr>
                      <w:rFonts w:hint="eastAsia"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、宠物毛毯清洗</w:t>
                  </w:r>
                  <w:r>
                    <w:rPr>
                      <w:rFonts w:hint="eastAsia" w:cs="Times New Roman"/>
                      <w:b w:val="0"/>
                      <w:bCs/>
                      <w:color w:val="000000" w:themeColor="text1"/>
                      <w:sz w:val="21"/>
                      <w:szCs w:val="21"/>
                      <w:highlight w:val="none"/>
                      <w:vertAlign w:val="baseline"/>
                      <w:lang w:val="en-US" w:eastAsia="zh-CN"/>
                      <w14:textFill>
                        <w14:solidFill>
                          <w14:schemeClr w14:val="tx1"/>
                        </w14:solidFill>
                      </w14:textFill>
                    </w:rPr>
                    <w:t>、地面清洁废水</w:t>
                  </w:r>
                </w:p>
              </w:tc>
              <w:tc>
                <w:tcPr>
                  <w:tcW w:w="1744" w:type="pct"/>
                  <w:gridSpan w:val="2"/>
                  <w:tcBorders>
                    <w:tl2br w:val="nil"/>
                    <w:tr2bl w:val="nil"/>
                  </w:tcBorders>
                  <w:vAlign w:val="center"/>
                </w:tcPr>
                <w:p w14:paraId="4DF9F93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t>pH、COD、SS、总磷、LAS</w:t>
                  </w:r>
                </w:p>
              </w:tc>
              <w:tc>
                <w:tcPr>
                  <w:tcW w:w="1497" w:type="pct"/>
                  <w:vMerge w:val="continue"/>
                  <w:tcBorders>
                    <w:tl2br w:val="nil"/>
                    <w:tr2bl w:val="nil"/>
                  </w:tcBorders>
                  <w:vAlign w:val="center"/>
                </w:tcPr>
                <w:p w14:paraId="417DD7D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FF0000"/>
                      <w:sz w:val="21"/>
                      <w:szCs w:val="21"/>
                      <w:highlight w:val="none"/>
                      <w:vertAlign w:val="baseline"/>
                      <w:lang w:eastAsia="zh-CN"/>
                    </w:rPr>
                  </w:pPr>
                </w:p>
              </w:tc>
            </w:tr>
            <w:tr w14:paraId="3AC85E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0" w:type="pct"/>
                  <w:tcBorders>
                    <w:tl2br w:val="nil"/>
                    <w:tr2bl w:val="nil"/>
                  </w:tcBorders>
                  <w:vAlign w:val="center"/>
                </w:tcPr>
                <w:p w14:paraId="15295CA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噪声</w:t>
                  </w:r>
                </w:p>
              </w:tc>
              <w:tc>
                <w:tcPr>
                  <w:tcW w:w="527" w:type="pct"/>
                  <w:tcBorders>
                    <w:tl2br w:val="nil"/>
                    <w:tr2bl w:val="nil"/>
                  </w:tcBorders>
                  <w:vAlign w:val="center"/>
                </w:tcPr>
                <w:p w14:paraId="3AAD737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噪声</w:t>
                  </w:r>
                </w:p>
              </w:tc>
              <w:tc>
                <w:tcPr>
                  <w:tcW w:w="940" w:type="pct"/>
                  <w:tcBorders>
                    <w:tl2br w:val="nil"/>
                    <w:tr2bl w:val="nil"/>
                  </w:tcBorders>
                  <w:vAlign w:val="center"/>
                </w:tcPr>
                <w:p w14:paraId="1494717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动物叫声</w:t>
                  </w:r>
                </w:p>
              </w:tc>
              <w:tc>
                <w:tcPr>
                  <w:tcW w:w="1744" w:type="pct"/>
                  <w:gridSpan w:val="2"/>
                  <w:tcBorders>
                    <w:tl2br w:val="nil"/>
                    <w:tr2bl w:val="nil"/>
                  </w:tcBorders>
                  <w:vAlign w:val="center"/>
                </w:tcPr>
                <w:p w14:paraId="633293D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噪声</w:t>
                  </w:r>
                </w:p>
              </w:tc>
              <w:tc>
                <w:tcPr>
                  <w:tcW w:w="1497" w:type="pct"/>
                  <w:tcBorders>
                    <w:tl2br w:val="nil"/>
                    <w:tr2bl w:val="nil"/>
                  </w:tcBorders>
                  <w:vAlign w:val="center"/>
                </w:tcPr>
                <w:p w14:paraId="4214982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利用建筑隔声。医院室内各科室皆相互独立。加强管理，门窗常闭状态，同时按时投喂避免宠物处于饥饿状态</w:t>
                  </w:r>
                </w:p>
              </w:tc>
            </w:tr>
            <w:tr w14:paraId="0A2698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90" w:type="pct"/>
                  <w:vMerge w:val="restart"/>
                  <w:tcBorders>
                    <w:tl2br w:val="nil"/>
                    <w:tr2bl w:val="nil"/>
                  </w:tcBorders>
                  <w:vAlign w:val="center"/>
                </w:tcPr>
                <w:p w14:paraId="2BB8F03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固废</w:t>
                  </w:r>
                </w:p>
              </w:tc>
              <w:tc>
                <w:tcPr>
                  <w:tcW w:w="527" w:type="pct"/>
                  <w:vMerge w:val="restart"/>
                  <w:tcBorders>
                    <w:tl2br w:val="nil"/>
                    <w:tr2bl w:val="nil"/>
                  </w:tcBorders>
                  <w:vAlign w:val="center"/>
                </w:tcPr>
                <w:p w14:paraId="43D00E9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医疗废物</w:t>
                  </w:r>
                </w:p>
              </w:tc>
              <w:tc>
                <w:tcPr>
                  <w:tcW w:w="940" w:type="pct"/>
                  <w:vMerge w:val="restart"/>
                  <w:tcBorders>
                    <w:tl2br w:val="nil"/>
                    <w:tr2bl w:val="nil"/>
                  </w:tcBorders>
                  <w:vAlign w:val="center"/>
                </w:tcPr>
                <w:p w14:paraId="4291FDC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t>动物住院、诊疗、手术</w:t>
                  </w:r>
                </w:p>
              </w:tc>
              <w:tc>
                <w:tcPr>
                  <w:tcW w:w="363" w:type="pct"/>
                  <w:tcBorders>
                    <w:tl2br w:val="nil"/>
                    <w:tr2bl w:val="nil"/>
                  </w:tcBorders>
                  <w:vAlign w:val="center"/>
                </w:tcPr>
                <w:p w14:paraId="7D35758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感染性废物</w:t>
                  </w:r>
                </w:p>
              </w:tc>
              <w:tc>
                <w:tcPr>
                  <w:tcW w:w="1381" w:type="pct"/>
                  <w:tcBorders>
                    <w:tl2br w:val="nil"/>
                    <w:tr2bl w:val="nil"/>
                  </w:tcBorders>
                  <w:vAlign w:val="center"/>
                </w:tcPr>
                <w:p w14:paraId="590DD07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t>①被患病宠物血液、体液、排泄物等污染的除锐器以外的废物</w:t>
                  </w:r>
                  <w:r>
                    <w:rPr>
                      <w:rFonts w:hint="eastAsia" w:cs="Times New Roman"/>
                      <w:b w:val="0"/>
                      <w:bCs/>
                      <w:color w:val="000000" w:themeColor="text1"/>
                      <w:sz w:val="21"/>
                      <w:szCs w:val="21"/>
                      <w:highlight w:val="none"/>
                      <w:vertAlign w:val="baseline"/>
                      <w:lang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t>②使用后废弃的一次性注射器、输液器等</w:t>
                  </w:r>
                  <w:r>
                    <w:rPr>
                      <w:rFonts w:hint="eastAsia" w:cs="Times New Roman"/>
                      <w:b w:val="0"/>
                      <w:bCs/>
                      <w:color w:val="000000" w:themeColor="text1"/>
                      <w:sz w:val="21"/>
                      <w:szCs w:val="21"/>
                      <w:highlight w:val="none"/>
                      <w:vertAlign w:val="baseline"/>
                      <w:lang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t>③化验室产生的废弃血液、血清、分泌物等标本和容器</w:t>
                  </w:r>
                  <w:r>
                    <w:rPr>
                      <w:rFonts w:hint="eastAsia" w:cs="Times New Roman"/>
                      <w:b w:val="0"/>
                      <w:bCs/>
                      <w:color w:val="000000" w:themeColor="text1"/>
                      <w:sz w:val="21"/>
                      <w:szCs w:val="21"/>
                      <w:highlight w:val="none"/>
                      <w:vertAlign w:val="baseline"/>
                      <w:lang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t>④隔离的传染病宠物或疑似传染病宠物产生的废弃物。</w:t>
                  </w:r>
                </w:p>
              </w:tc>
              <w:tc>
                <w:tcPr>
                  <w:tcW w:w="1497" w:type="pct"/>
                  <w:tcBorders>
                    <w:tl2br w:val="nil"/>
                    <w:tr2bl w:val="nil"/>
                  </w:tcBorders>
                  <w:vAlign w:val="center"/>
                </w:tcPr>
                <w:p w14:paraId="144C06A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t>交</w:t>
                  </w: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有</w:t>
                  </w:r>
                  <w:r>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t>资质单位进行处置</w:t>
                  </w:r>
                </w:p>
              </w:tc>
            </w:tr>
            <w:tr w14:paraId="542311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0" w:type="pct"/>
                  <w:vMerge w:val="continue"/>
                  <w:tcBorders>
                    <w:tl2br w:val="nil"/>
                    <w:tr2bl w:val="nil"/>
                  </w:tcBorders>
                  <w:vAlign w:val="center"/>
                </w:tcPr>
                <w:p w14:paraId="54D0B8B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p>
              </w:tc>
              <w:tc>
                <w:tcPr>
                  <w:tcW w:w="527" w:type="pct"/>
                  <w:vMerge w:val="continue"/>
                  <w:tcBorders>
                    <w:tl2br w:val="nil"/>
                    <w:tr2bl w:val="nil"/>
                  </w:tcBorders>
                  <w:vAlign w:val="center"/>
                </w:tcPr>
                <w:p w14:paraId="072C685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p>
              </w:tc>
              <w:tc>
                <w:tcPr>
                  <w:tcW w:w="940" w:type="pct"/>
                  <w:vMerge w:val="continue"/>
                  <w:tcBorders>
                    <w:tl2br w:val="nil"/>
                    <w:tr2bl w:val="nil"/>
                  </w:tcBorders>
                  <w:vAlign w:val="center"/>
                </w:tcPr>
                <w:p w14:paraId="48433BE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pPr>
                </w:p>
              </w:tc>
              <w:tc>
                <w:tcPr>
                  <w:tcW w:w="363" w:type="pct"/>
                  <w:tcBorders>
                    <w:tl2br w:val="nil"/>
                    <w:tr2bl w:val="nil"/>
                  </w:tcBorders>
                  <w:vAlign w:val="center"/>
                </w:tcPr>
                <w:p w14:paraId="1728431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损伤性废物</w:t>
                  </w:r>
                </w:p>
              </w:tc>
              <w:tc>
                <w:tcPr>
                  <w:tcW w:w="1381" w:type="pct"/>
                  <w:tcBorders>
                    <w:tl2br w:val="nil"/>
                    <w:tr2bl w:val="nil"/>
                  </w:tcBorders>
                  <w:vAlign w:val="center"/>
                </w:tcPr>
                <w:p w14:paraId="4C5993F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t>①废弃的针头、缝合针、探针、穿刺针、解剖刀、手术刀等废弃的金属类锐器</w:t>
                  </w:r>
                  <w:r>
                    <w:rPr>
                      <w:rFonts w:hint="eastAsia" w:cs="Times New Roman"/>
                      <w:b w:val="0"/>
                      <w:bCs/>
                      <w:color w:val="000000" w:themeColor="text1"/>
                      <w:sz w:val="21"/>
                      <w:szCs w:val="21"/>
                      <w:highlight w:val="none"/>
                      <w:vertAlign w:val="baseline"/>
                      <w:lang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t>②废弃的载玻片等玻璃类锐器。</w:t>
                  </w:r>
                </w:p>
              </w:tc>
              <w:tc>
                <w:tcPr>
                  <w:tcW w:w="1497" w:type="pct"/>
                  <w:tcBorders>
                    <w:tl2br w:val="nil"/>
                    <w:tr2bl w:val="nil"/>
                  </w:tcBorders>
                  <w:vAlign w:val="center"/>
                </w:tcPr>
                <w:p w14:paraId="161889E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t>交</w:t>
                  </w: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有</w:t>
                  </w:r>
                  <w:r>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t>资质单位进行处置</w:t>
                  </w:r>
                </w:p>
              </w:tc>
            </w:tr>
            <w:tr w14:paraId="7C8524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0" w:type="pct"/>
                  <w:vMerge w:val="continue"/>
                  <w:tcBorders>
                    <w:tl2br w:val="nil"/>
                    <w:tr2bl w:val="nil"/>
                  </w:tcBorders>
                  <w:vAlign w:val="center"/>
                </w:tcPr>
                <w:p w14:paraId="2D3C4D8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p>
              </w:tc>
              <w:tc>
                <w:tcPr>
                  <w:tcW w:w="527" w:type="pct"/>
                  <w:vMerge w:val="continue"/>
                  <w:tcBorders>
                    <w:tl2br w:val="nil"/>
                    <w:tr2bl w:val="nil"/>
                  </w:tcBorders>
                  <w:vAlign w:val="center"/>
                </w:tcPr>
                <w:p w14:paraId="61DA602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p>
              </w:tc>
              <w:tc>
                <w:tcPr>
                  <w:tcW w:w="940" w:type="pct"/>
                  <w:vMerge w:val="continue"/>
                  <w:tcBorders>
                    <w:tl2br w:val="nil"/>
                    <w:tr2bl w:val="nil"/>
                  </w:tcBorders>
                  <w:vAlign w:val="center"/>
                </w:tcPr>
                <w:p w14:paraId="418CD25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pPr>
                </w:p>
              </w:tc>
              <w:tc>
                <w:tcPr>
                  <w:tcW w:w="363" w:type="pct"/>
                  <w:tcBorders>
                    <w:tl2br w:val="nil"/>
                    <w:tr2bl w:val="nil"/>
                  </w:tcBorders>
                  <w:vAlign w:val="center"/>
                </w:tcPr>
                <w:p w14:paraId="52408CB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病理性废物</w:t>
                  </w:r>
                </w:p>
              </w:tc>
              <w:tc>
                <w:tcPr>
                  <w:tcW w:w="1381" w:type="pct"/>
                  <w:tcBorders>
                    <w:tl2br w:val="nil"/>
                    <w:tr2bl w:val="nil"/>
                  </w:tcBorders>
                  <w:vAlign w:val="center"/>
                </w:tcPr>
                <w:p w14:paraId="6A91077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t>手术过程中产生的废弃动物组织、器官</w:t>
                  </w:r>
                </w:p>
              </w:tc>
              <w:tc>
                <w:tcPr>
                  <w:tcW w:w="1497" w:type="pct"/>
                  <w:tcBorders>
                    <w:tl2br w:val="nil"/>
                    <w:tr2bl w:val="nil"/>
                  </w:tcBorders>
                  <w:vAlign w:val="center"/>
                </w:tcPr>
                <w:p w14:paraId="5B184C9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t>交</w:t>
                  </w: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有</w:t>
                  </w:r>
                  <w:r>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t>资质单位进行处置</w:t>
                  </w:r>
                </w:p>
              </w:tc>
            </w:tr>
            <w:tr w14:paraId="038006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0" w:type="pct"/>
                  <w:vMerge w:val="continue"/>
                  <w:tcBorders>
                    <w:tl2br w:val="nil"/>
                    <w:tr2bl w:val="nil"/>
                  </w:tcBorders>
                  <w:vAlign w:val="center"/>
                </w:tcPr>
                <w:p w14:paraId="5604B28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p>
              </w:tc>
              <w:tc>
                <w:tcPr>
                  <w:tcW w:w="527" w:type="pct"/>
                  <w:vMerge w:val="continue"/>
                  <w:tcBorders>
                    <w:tl2br w:val="nil"/>
                    <w:tr2bl w:val="nil"/>
                  </w:tcBorders>
                  <w:vAlign w:val="center"/>
                </w:tcPr>
                <w:p w14:paraId="00F40F2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p>
              </w:tc>
              <w:tc>
                <w:tcPr>
                  <w:tcW w:w="940" w:type="pct"/>
                  <w:vMerge w:val="continue"/>
                  <w:tcBorders>
                    <w:tl2br w:val="nil"/>
                    <w:tr2bl w:val="nil"/>
                  </w:tcBorders>
                  <w:vAlign w:val="center"/>
                </w:tcPr>
                <w:p w14:paraId="287356E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pPr>
                </w:p>
              </w:tc>
              <w:tc>
                <w:tcPr>
                  <w:tcW w:w="363" w:type="pct"/>
                  <w:tcBorders>
                    <w:tl2br w:val="nil"/>
                    <w:tr2bl w:val="nil"/>
                  </w:tcBorders>
                  <w:vAlign w:val="center"/>
                </w:tcPr>
                <w:p w14:paraId="28E42C0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药物性废物</w:t>
                  </w:r>
                </w:p>
              </w:tc>
              <w:tc>
                <w:tcPr>
                  <w:tcW w:w="1381" w:type="pct"/>
                  <w:tcBorders>
                    <w:tl2br w:val="nil"/>
                    <w:tr2bl w:val="nil"/>
                  </w:tcBorders>
                  <w:vAlign w:val="center"/>
                </w:tcPr>
                <w:p w14:paraId="08E81EF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t>过期、淘汰、变质或者被污染的废弃的药物。</w:t>
                  </w:r>
                </w:p>
              </w:tc>
              <w:tc>
                <w:tcPr>
                  <w:tcW w:w="1497" w:type="pct"/>
                  <w:tcBorders>
                    <w:tl2br w:val="nil"/>
                    <w:tr2bl w:val="nil"/>
                  </w:tcBorders>
                  <w:vAlign w:val="center"/>
                </w:tcPr>
                <w:p w14:paraId="7407CC1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t>交</w:t>
                  </w: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有</w:t>
                  </w:r>
                  <w:r>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t>资质单位进行处置</w:t>
                  </w:r>
                </w:p>
              </w:tc>
            </w:tr>
            <w:tr w14:paraId="2509B0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0" w:type="pct"/>
                  <w:vMerge w:val="continue"/>
                  <w:tcBorders>
                    <w:tl2br w:val="nil"/>
                    <w:tr2bl w:val="nil"/>
                  </w:tcBorders>
                  <w:vAlign w:val="center"/>
                </w:tcPr>
                <w:p w14:paraId="4CF59B9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p>
              </w:tc>
              <w:tc>
                <w:tcPr>
                  <w:tcW w:w="527" w:type="pct"/>
                  <w:vMerge w:val="continue"/>
                  <w:tcBorders>
                    <w:tl2br w:val="nil"/>
                    <w:tr2bl w:val="nil"/>
                  </w:tcBorders>
                  <w:vAlign w:val="center"/>
                </w:tcPr>
                <w:p w14:paraId="6649E24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p>
              </w:tc>
              <w:tc>
                <w:tcPr>
                  <w:tcW w:w="940" w:type="pct"/>
                  <w:vMerge w:val="continue"/>
                  <w:tcBorders>
                    <w:tl2br w:val="nil"/>
                    <w:tr2bl w:val="nil"/>
                  </w:tcBorders>
                  <w:vAlign w:val="center"/>
                </w:tcPr>
                <w:p w14:paraId="3E0781C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pPr>
                </w:p>
              </w:tc>
              <w:tc>
                <w:tcPr>
                  <w:tcW w:w="363" w:type="pct"/>
                  <w:tcBorders>
                    <w:tl2br w:val="nil"/>
                    <w:tr2bl w:val="nil"/>
                  </w:tcBorders>
                  <w:vAlign w:val="center"/>
                </w:tcPr>
                <w:p w14:paraId="6B3FB95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化学性药物</w:t>
                  </w:r>
                </w:p>
              </w:tc>
              <w:tc>
                <w:tcPr>
                  <w:tcW w:w="1381" w:type="pct"/>
                  <w:tcBorders>
                    <w:tl2br w:val="nil"/>
                    <w:tr2bl w:val="nil"/>
                  </w:tcBorders>
                  <w:vAlign w:val="center"/>
                </w:tcPr>
                <w:p w14:paraId="42F4849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t>含汞血压计、含汞体温计等列入《国家危险废物名录》中的废弃危险化学品。</w:t>
                  </w:r>
                </w:p>
              </w:tc>
              <w:tc>
                <w:tcPr>
                  <w:tcW w:w="1497" w:type="pct"/>
                  <w:tcBorders>
                    <w:tl2br w:val="nil"/>
                    <w:tr2bl w:val="nil"/>
                  </w:tcBorders>
                  <w:vAlign w:val="center"/>
                </w:tcPr>
                <w:p w14:paraId="673B3E4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t>交</w:t>
                  </w: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有</w:t>
                  </w:r>
                  <w:r>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t>资质单位进行处置</w:t>
                  </w:r>
                </w:p>
              </w:tc>
            </w:tr>
            <w:tr w14:paraId="6DCC53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0" w:type="pct"/>
                  <w:vMerge w:val="continue"/>
                  <w:tcBorders>
                    <w:tl2br w:val="nil"/>
                    <w:tr2bl w:val="nil"/>
                  </w:tcBorders>
                  <w:vAlign w:val="center"/>
                </w:tcPr>
                <w:p w14:paraId="1E45E77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p>
              </w:tc>
              <w:tc>
                <w:tcPr>
                  <w:tcW w:w="527" w:type="pct"/>
                  <w:tcBorders>
                    <w:tl2br w:val="nil"/>
                    <w:tr2bl w:val="nil"/>
                  </w:tcBorders>
                  <w:vAlign w:val="center"/>
                </w:tcPr>
                <w:p w14:paraId="64FE21B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w:t>
                  </w:r>
                </w:p>
              </w:tc>
              <w:tc>
                <w:tcPr>
                  <w:tcW w:w="940" w:type="pct"/>
                  <w:tcBorders>
                    <w:tl2br w:val="nil"/>
                    <w:tr2bl w:val="nil"/>
                  </w:tcBorders>
                  <w:vAlign w:val="center"/>
                </w:tcPr>
                <w:p w14:paraId="68BA268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t>动物住院、诊疗</w:t>
                  </w:r>
                </w:p>
              </w:tc>
              <w:tc>
                <w:tcPr>
                  <w:tcW w:w="1744" w:type="pct"/>
                  <w:gridSpan w:val="2"/>
                  <w:tcBorders>
                    <w:tl2br w:val="nil"/>
                    <w:tr2bl w:val="nil"/>
                  </w:tcBorders>
                  <w:vAlign w:val="center"/>
                </w:tcPr>
                <w:p w14:paraId="5757FE2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动物尸体</w:t>
                  </w:r>
                </w:p>
              </w:tc>
              <w:tc>
                <w:tcPr>
                  <w:tcW w:w="1497" w:type="pct"/>
                  <w:tcBorders>
                    <w:tl2br w:val="nil"/>
                    <w:tr2bl w:val="nil"/>
                  </w:tcBorders>
                  <w:vAlign w:val="center"/>
                </w:tcPr>
                <w:p w14:paraId="2C906D4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t>交</w:t>
                  </w: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有</w:t>
                  </w:r>
                  <w:r>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t>资质单位无害化处置</w:t>
                  </w:r>
                </w:p>
              </w:tc>
            </w:tr>
            <w:tr w14:paraId="0A1B60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0" w:type="pct"/>
                  <w:vMerge w:val="continue"/>
                  <w:tcBorders>
                    <w:tl2br w:val="nil"/>
                    <w:tr2bl w:val="nil"/>
                  </w:tcBorders>
                  <w:vAlign w:val="center"/>
                </w:tcPr>
                <w:p w14:paraId="256E686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p>
              </w:tc>
              <w:tc>
                <w:tcPr>
                  <w:tcW w:w="527" w:type="pct"/>
                  <w:tcBorders>
                    <w:tl2br w:val="nil"/>
                    <w:tr2bl w:val="nil"/>
                  </w:tcBorders>
                  <w:vAlign w:val="center"/>
                </w:tcPr>
                <w:p w14:paraId="2A03D4B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危险废物</w:t>
                  </w:r>
                </w:p>
              </w:tc>
              <w:tc>
                <w:tcPr>
                  <w:tcW w:w="940" w:type="pct"/>
                  <w:tcBorders>
                    <w:tl2br w:val="nil"/>
                    <w:tr2bl w:val="nil"/>
                  </w:tcBorders>
                  <w:vAlign w:val="center"/>
                </w:tcPr>
                <w:p w14:paraId="600DCF2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废紫外灯管</w:t>
                  </w:r>
                </w:p>
              </w:tc>
              <w:tc>
                <w:tcPr>
                  <w:tcW w:w="1744" w:type="pct"/>
                  <w:gridSpan w:val="2"/>
                  <w:tcBorders>
                    <w:tl2br w:val="nil"/>
                    <w:tr2bl w:val="nil"/>
                  </w:tcBorders>
                  <w:vAlign w:val="center"/>
                </w:tcPr>
                <w:p w14:paraId="52889F5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t>废紫外灯管</w:t>
                  </w:r>
                </w:p>
              </w:tc>
              <w:tc>
                <w:tcPr>
                  <w:tcW w:w="1497" w:type="pct"/>
                  <w:tcBorders>
                    <w:tl2br w:val="nil"/>
                    <w:tr2bl w:val="nil"/>
                  </w:tcBorders>
                  <w:vAlign w:val="center"/>
                </w:tcPr>
                <w:p w14:paraId="32D826A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t>交</w:t>
                  </w: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有</w:t>
                  </w:r>
                  <w:r>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t>资质单位进行处置</w:t>
                  </w:r>
                </w:p>
              </w:tc>
            </w:tr>
            <w:tr w14:paraId="3FAF19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0" w:type="pct"/>
                  <w:vMerge w:val="continue"/>
                  <w:tcBorders>
                    <w:tl2br w:val="nil"/>
                    <w:tr2bl w:val="nil"/>
                  </w:tcBorders>
                  <w:vAlign w:val="center"/>
                </w:tcPr>
                <w:p w14:paraId="052B623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p>
              </w:tc>
              <w:tc>
                <w:tcPr>
                  <w:tcW w:w="527" w:type="pct"/>
                  <w:tcBorders>
                    <w:tl2br w:val="nil"/>
                    <w:tr2bl w:val="nil"/>
                  </w:tcBorders>
                  <w:vAlign w:val="center"/>
                </w:tcPr>
                <w:p w14:paraId="2F44BB2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一般固废</w:t>
                  </w:r>
                </w:p>
              </w:tc>
              <w:tc>
                <w:tcPr>
                  <w:tcW w:w="940" w:type="pct"/>
                  <w:tcBorders>
                    <w:tl2br w:val="nil"/>
                    <w:tr2bl w:val="nil"/>
                  </w:tcBorders>
                  <w:vAlign w:val="center"/>
                </w:tcPr>
                <w:p w14:paraId="02421AC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t>动物住院、诊疗</w:t>
                  </w:r>
                </w:p>
              </w:tc>
              <w:tc>
                <w:tcPr>
                  <w:tcW w:w="1744" w:type="pct"/>
                  <w:gridSpan w:val="2"/>
                  <w:tcBorders>
                    <w:tl2br w:val="nil"/>
                    <w:tr2bl w:val="nil"/>
                  </w:tcBorders>
                  <w:vAlign w:val="center"/>
                </w:tcPr>
                <w:p w14:paraId="4944E6B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动物粪污</w:t>
                  </w:r>
                </w:p>
              </w:tc>
              <w:tc>
                <w:tcPr>
                  <w:tcW w:w="1497" w:type="pct"/>
                  <w:tcBorders>
                    <w:tl2br w:val="nil"/>
                    <w:tr2bl w:val="nil"/>
                  </w:tcBorders>
                  <w:vAlign w:val="center"/>
                </w:tcPr>
                <w:p w14:paraId="4C68E34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t>消毒后交环卫部门处置</w:t>
                  </w:r>
                </w:p>
              </w:tc>
            </w:tr>
            <w:tr w14:paraId="61635E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0" w:type="pct"/>
                  <w:vMerge w:val="continue"/>
                  <w:tcBorders>
                    <w:tl2br w:val="nil"/>
                    <w:tr2bl w:val="nil"/>
                  </w:tcBorders>
                  <w:vAlign w:val="center"/>
                </w:tcPr>
                <w:p w14:paraId="4255788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p>
              </w:tc>
              <w:tc>
                <w:tcPr>
                  <w:tcW w:w="527" w:type="pct"/>
                  <w:tcBorders>
                    <w:tl2br w:val="nil"/>
                    <w:tr2bl w:val="nil"/>
                  </w:tcBorders>
                  <w:vAlign w:val="center"/>
                </w:tcPr>
                <w:p w14:paraId="3772A07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一般固废</w:t>
                  </w:r>
                </w:p>
              </w:tc>
              <w:tc>
                <w:tcPr>
                  <w:tcW w:w="940" w:type="pct"/>
                  <w:tcBorders>
                    <w:tl2br w:val="nil"/>
                    <w:tr2bl w:val="nil"/>
                  </w:tcBorders>
                  <w:vAlign w:val="center"/>
                </w:tcPr>
                <w:p w14:paraId="1619D9B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美容洗护</w:t>
                  </w:r>
                </w:p>
              </w:tc>
              <w:tc>
                <w:tcPr>
                  <w:tcW w:w="1744" w:type="pct"/>
                  <w:gridSpan w:val="2"/>
                  <w:tcBorders>
                    <w:tl2br w:val="nil"/>
                    <w:tr2bl w:val="nil"/>
                  </w:tcBorders>
                  <w:vAlign w:val="center"/>
                </w:tcPr>
                <w:p w14:paraId="583CC2A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动物毛发</w:t>
                  </w:r>
                </w:p>
              </w:tc>
              <w:tc>
                <w:tcPr>
                  <w:tcW w:w="1497" w:type="pct"/>
                  <w:tcBorders>
                    <w:tl2br w:val="nil"/>
                    <w:tr2bl w:val="nil"/>
                  </w:tcBorders>
                  <w:vAlign w:val="center"/>
                </w:tcPr>
                <w:p w14:paraId="554FE0F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t>交市政环卫部门处置</w:t>
                  </w:r>
                </w:p>
              </w:tc>
            </w:tr>
            <w:tr w14:paraId="4A0207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0" w:type="pct"/>
                  <w:vMerge w:val="continue"/>
                  <w:tcBorders>
                    <w:tl2br w:val="nil"/>
                    <w:tr2bl w:val="nil"/>
                  </w:tcBorders>
                  <w:vAlign w:val="center"/>
                </w:tcPr>
                <w:p w14:paraId="6162541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p>
              </w:tc>
              <w:tc>
                <w:tcPr>
                  <w:tcW w:w="527" w:type="pct"/>
                  <w:tcBorders>
                    <w:tl2br w:val="nil"/>
                    <w:tr2bl w:val="nil"/>
                  </w:tcBorders>
                  <w:vAlign w:val="center"/>
                </w:tcPr>
                <w:p w14:paraId="3926372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生活垃圾</w:t>
                  </w:r>
                </w:p>
              </w:tc>
              <w:tc>
                <w:tcPr>
                  <w:tcW w:w="940" w:type="pct"/>
                  <w:tcBorders>
                    <w:tl2br w:val="nil"/>
                    <w:tr2bl w:val="nil"/>
                  </w:tcBorders>
                  <w:vAlign w:val="center"/>
                </w:tcPr>
                <w:p w14:paraId="3D57208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员工办公、顾客</w:t>
                  </w:r>
                </w:p>
              </w:tc>
              <w:tc>
                <w:tcPr>
                  <w:tcW w:w="1744" w:type="pct"/>
                  <w:gridSpan w:val="2"/>
                  <w:tcBorders>
                    <w:tl2br w:val="nil"/>
                    <w:tr2bl w:val="nil"/>
                  </w:tcBorders>
                  <w:vAlign w:val="center"/>
                </w:tcPr>
                <w:p w14:paraId="7F0F2B3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t>生活垃圾</w:t>
                  </w:r>
                </w:p>
              </w:tc>
              <w:tc>
                <w:tcPr>
                  <w:tcW w:w="1497" w:type="pct"/>
                  <w:tcBorders>
                    <w:tl2br w:val="nil"/>
                    <w:tr2bl w:val="nil"/>
                  </w:tcBorders>
                  <w:vAlign w:val="center"/>
                </w:tcPr>
                <w:p w14:paraId="2B0C71C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t>交市政环卫部门处置</w:t>
                  </w:r>
                </w:p>
              </w:tc>
            </w:tr>
          </w:tbl>
          <w:p w14:paraId="384C3A6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b w:val="0"/>
                <w:bCs/>
                <w:color w:val="FF0000"/>
                <w:sz w:val="24"/>
                <w:szCs w:val="24"/>
                <w:highlight w:val="none"/>
                <w:lang w:eastAsia="zh-CN"/>
              </w:rPr>
            </w:pPr>
          </w:p>
        </w:tc>
      </w:tr>
      <w:tr w14:paraId="52F726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485" w:type="dxa"/>
            <w:noWrap w:val="0"/>
            <w:vAlign w:val="center"/>
          </w:tcPr>
          <w:p w14:paraId="256605E3">
            <w:pPr>
              <w:pStyle w:val="16"/>
              <w:adjustRightInd w:val="0"/>
              <w:snapToGrid w:val="0"/>
              <w:spacing w:before="0" w:beforeAutospacing="0" w:after="0" w:afterAutospacing="0"/>
              <w:jc w:val="center"/>
              <w:rPr>
                <w:rFonts w:hint="default" w:ascii="Times New Roman" w:hAnsi="Times New Roman" w:cs="Times New Roman"/>
                <w:color w:val="FF0000"/>
                <w:sz w:val="21"/>
                <w:szCs w:val="21"/>
                <w:highlight w:val="none"/>
              </w:rPr>
            </w:pPr>
            <w:r>
              <w:rPr>
                <w:rFonts w:hint="default" w:ascii="Times New Roman" w:hAnsi="Times New Roman" w:cs="Times New Roman"/>
                <w:bCs/>
                <w:color w:val="000000" w:themeColor="text1"/>
                <w:kern w:val="2"/>
                <w:sz w:val="21"/>
                <w:szCs w:val="21"/>
                <w:highlight w:val="none"/>
                <w14:textFill>
                  <w14:solidFill>
                    <w14:schemeClr w14:val="tx1"/>
                  </w14:solidFill>
                </w14:textFill>
              </w:rPr>
              <w:t>与项目有关的原有环境污染问题</w:t>
            </w:r>
          </w:p>
        </w:tc>
        <w:tc>
          <w:tcPr>
            <w:tcW w:w="8499" w:type="dxa"/>
            <w:noWrap w:val="0"/>
            <w:vAlign w:val="top"/>
          </w:tcPr>
          <w:p w14:paraId="438EFE27">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14:textFill>
                  <w14:solidFill>
                    <w14:schemeClr w14:val="tx1"/>
                  </w14:solidFill>
                </w14:textFill>
              </w:rPr>
              <w:t>2.11与项目有关的原有环境污染问题</w:t>
            </w:r>
          </w:p>
          <w:p w14:paraId="3D61E3F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Cs/>
                <w:color w:val="000000" w:themeColor="text1"/>
                <w:sz w:val="24"/>
                <w:szCs w:val="24"/>
                <w:highlight w:val="none"/>
                <w14:textFill>
                  <w14:solidFill>
                    <w14:schemeClr w14:val="tx1"/>
                  </w14:solidFill>
                </w14:textFill>
              </w:rPr>
            </w:pPr>
            <w:r>
              <w:rPr>
                <w:rFonts w:hint="eastAsia" w:cs="Times New Roman"/>
                <w:b w:val="0"/>
                <w:bCs/>
                <w:color w:val="000000" w:themeColor="text1"/>
                <w:sz w:val="24"/>
                <w:szCs w:val="24"/>
                <w:highlight w:val="none"/>
                <w:lang w:val="en-US" w:eastAsia="zh-CN"/>
                <w14:textFill>
                  <w14:solidFill>
                    <w14:schemeClr w14:val="tx1"/>
                  </w14:solidFill>
                </w14:textFill>
              </w:rPr>
              <w:t>九龙坡区渝爱动物医院店</w:t>
            </w:r>
            <w:r>
              <w:rPr>
                <w:rFonts w:hint="eastAsia" w:cs="Times New Roman"/>
                <w:b w:val="0"/>
                <w:bCs/>
                <w:color w:val="auto"/>
                <w:sz w:val="24"/>
                <w:szCs w:val="24"/>
                <w:highlight w:val="none"/>
                <w:lang w:val="en-US" w:eastAsia="zh-CN"/>
              </w:rPr>
              <w:t>（个体工商户）</w:t>
            </w:r>
            <w:r>
              <w:rPr>
                <w:rFonts w:hint="default" w:ascii="Times New Roman" w:hAnsi="Times New Roman" w:cs="Times New Roman"/>
                <w:bCs/>
                <w:color w:val="000000" w:themeColor="text1"/>
                <w:sz w:val="24"/>
                <w:szCs w:val="24"/>
                <w:highlight w:val="none"/>
                <w14:textFill>
                  <w14:solidFill>
                    <w14:schemeClr w14:val="tx1"/>
                  </w14:solidFill>
                </w14:textFill>
              </w:rPr>
              <w:t>建设于202</w:t>
            </w:r>
            <w:r>
              <w:rPr>
                <w:rFonts w:hint="eastAsia" w:cs="Times New Roman"/>
                <w:bCs/>
                <w:color w:val="000000" w:themeColor="text1"/>
                <w:sz w:val="24"/>
                <w:szCs w:val="24"/>
                <w:highlight w:val="none"/>
                <w:lang w:val="en-US" w:eastAsia="zh-CN"/>
                <w14:textFill>
                  <w14:solidFill>
                    <w14:schemeClr w14:val="tx1"/>
                  </w14:solidFill>
                </w14:textFill>
              </w:rPr>
              <w:t>5</w:t>
            </w:r>
            <w:r>
              <w:rPr>
                <w:rFonts w:hint="default" w:ascii="Times New Roman" w:hAnsi="Times New Roman" w:cs="Times New Roman"/>
                <w:bCs/>
                <w:color w:val="000000" w:themeColor="text1"/>
                <w:sz w:val="24"/>
                <w:szCs w:val="24"/>
                <w:highlight w:val="none"/>
                <w14:textFill>
                  <w14:solidFill>
                    <w14:schemeClr w14:val="tx1"/>
                  </w14:solidFill>
                </w14:textFill>
              </w:rPr>
              <w:t>年</w:t>
            </w:r>
            <w:r>
              <w:rPr>
                <w:rFonts w:hint="eastAsia" w:cs="Times New Roman"/>
                <w:bCs/>
                <w:color w:val="000000" w:themeColor="text1"/>
                <w:sz w:val="24"/>
                <w:szCs w:val="24"/>
                <w:highlight w:val="none"/>
                <w:lang w:val="en-US" w:eastAsia="zh-CN"/>
                <w14:textFill>
                  <w14:solidFill>
                    <w14:schemeClr w14:val="tx1"/>
                  </w14:solidFill>
                </w14:textFill>
              </w:rPr>
              <w:t>3</w:t>
            </w:r>
            <w:r>
              <w:rPr>
                <w:rFonts w:hint="default" w:ascii="Times New Roman" w:hAnsi="Times New Roman" w:cs="Times New Roman"/>
                <w:bCs/>
                <w:color w:val="000000" w:themeColor="text1"/>
                <w:sz w:val="24"/>
                <w:szCs w:val="24"/>
                <w:highlight w:val="none"/>
                <w14:textFill>
                  <w14:solidFill>
                    <w14:schemeClr w14:val="tx1"/>
                  </w14:solidFill>
                </w14:textFill>
              </w:rPr>
              <w:t>月，于202</w:t>
            </w:r>
            <w:r>
              <w:rPr>
                <w:rFonts w:hint="eastAsia" w:cs="Times New Roman"/>
                <w:bCs/>
                <w:color w:val="000000" w:themeColor="text1"/>
                <w:sz w:val="24"/>
                <w:szCs w:val="24"/>
                <w:highlight w:val="none"/>
                <w:lang w:val="en-US" w:eastAsia="zh-CN"/>
                <w14:textFill>
                  <w14:solidFill>
                    <w14:schemeClr w14:val="tx1"/>
                  </w14:solidFill>
                </w14:textFill>
              </w:rPr>
              <w:t>5</w:t>
            </w:r>
            <w:r>
              <w:rPr>
                <w:rFonts w:hint="default" w:ascii="Times New Roman" w:hAnsi="Times New Roman" w:cs="Times New Roman"/>
                <w:bCs/>
                <w:color w:val="000000" w:themeColor="text1"/>
                <w:sz w:val="24"/>
                <w:szCs w:val="24"/>
                <w:highlight w:val="none"/>
                <w14:textFill>
                  <w14:solidFill>
                    <w14:schemeClr w14:val="tx1"/>
                  </w14:solidFill>
                </w14:textFill>
              </w:rPr>
              <w:t>年</w:t>
            </w:r>
            <w:r>
              <w:rPr>
                <w:rFonts w:hint="eastAsia" w:cs="Times New Roman"/>
                <w:bCs/>
                <w:color w:val="000000" w:themeColor="text1"/>
                <w:sz w:val="24"/>
                <w:szCs w:val="24"/>
                <w:highlight w:val="none"/>
                <w:lang w:val="en-US" w:eastAsia="zh-CN"/>
                <w14:textFill>
                  <w14:solidFill>
                    <w14:schemeClr w14:val="tx1"/>
                  </w14:solidFill>
                </w14:textFill>
              </w:rPr>
              <w:t>5</w:t>
            </w:r>
            <w:r>
              <w:rPr>
                <w:rFonts w:hint="default" w:ascii="Times New Roman" w:hAnsi="Times New Roman" w:cs="Times New Roman"/>
                <w:bCs/>
                <w:color w:val="000000" w:themeColor="text1"/>
                <w:sz w:val="24"/>
                <w:szCs w:val="24"/>
                <w:highlight w:val="none"/>
                <w14:textFill>
                  <w14:solidFill>
                    <w14:schemeClr w14:val="tx1"/>
                  </w14:solidFill>
                </w14:textFill>
              </w:rPr>
              <w:t>月开门营业</w:t>
            </w:r>
            <w:r>
              <w:rPr>
                <w:rFonts w:hint="eastAsia" w:cs="Times New Roman"/>
                <w:bCs/>
                <w:color w:val="000000" w:themeColor="text1"/>
                <w:sz w:val="24"/>
                <w:szCs w:val="24"/>
                <w:highlight w:val="none"/>
                <w:lang w:eastAsia="zh-CN"/>
                <w14:textFill>
                  <w14:solidFill>
                    <w14:schemeClr w14:val="tx1"/>
                  </w14:solidFill>
                </w14:textFill>
              </w:rPr>
              <w:t>，</w:t>
            </w:r>
            <w:r>
              <w:rPr>
                <w:rFonts w:hint="default" w:ascii="Times New Roman" w:hAnsi="Times New Roman" w:cs="Times New Roman"/>
                <w:bCs/>
                <w:color w:val="000000" w:themeColor="text1"/>
                <w:sz w:val="24"/>
                <w:szCs w:val="24"/>
                <w:highlight w:val="none"/>
                <w14:textFill>
                  <w14:solidFill>
                    <w14:schemeClr w14:val="tx1"/>
                  </w14:solidFill>
                </w14:textFill>
              </w:rPr>
              <w:t>经营范围为</w:t>
            </w:r>
            <w:r>
              <w:rPr>
                <w:rFonts w:hint="eastAsia" w:cs="Times New Roman"/>
                <w:bCs/>
                <w:color w:val="000000" w:themeColor="text1"/>
                <w:sz w:val="24"/>
                <w:szCs w:val="24"/>
                <w:highlight w:val="none"/>
                <w:lang w:eastAsia="zh-CN"/>
                <w14:textFill>
                  <w14:solidFill>
                    <w14:schemeClr w14:val="tx1"/>
                  </w14:solidFill>
                </w14:textFill>
              </w:rPr>
              <w:t>“</w:t>
            </w:r>
            <w:r>
              <w:rPr>
                <w:rFonts w:hint="default" w:ascii="Times New Roman" w:hAnsi="Times New Roman" w:cs="Times New Roman"/>
                <w:bCs/>
                <w:color w:val="000000" w:themeColor="text1"/>
                <w:sz w:val="24"/>
                <w:szCs w:val="24"/>
                <w:highlight w:val="none"/>
                <w14:textFill>
                  <w14:solidFill>
                    <w14:schemeClr w14:val="tx1"/>
                  </w14:solidFill>
                </w14:textFill>
              </w:rPr>
              <w:t>动物诊疗、饲料及宠物用品销售</w:t>
            </w:r>
            <w:r>
              <w:rPr>
                <w:rFonts w:hint="eastAsia" w:cs="Times New Roman"/>
                <w:bCs/>
                <w:color w:val="000000" w:themeColor="text1"/>
                <w:sz w:val="24"/>
                <w:szCs w:val="24"/>
                <w:highlight w:val="none"/>
                <w:lang w:eastAsia="zh-CN"/>
                <w14:textFill>
                  <w14:solidFill>
                    <w14:schemeClr w14:val="tx1"/>
                  </w14:solidFill>
                </w14:textFill>
              </w:rPr>
              <w:t>”</w:t>
            </w:r>
            <w:r>
              <w:rPr>
                <w:rFonts w:hint="default" w:ascii="Times New Roman" w:hAnsi="Times New Roman" w:cs="Times New Roman"/>
                <w:bCs/>
                <w:color w:val="000000" w:themeColor="text1"/>
                <w:sz w:val="24"/>
                <w:szCs w:val="24"/>
                <w:highlight w:val="none"/>
                <w14:textFill>
                  <w14:solidFill>
                    <w14:schemeClr w14:val="tx1"/>
                  </w14:solidFill>
                </w14:textFill>
              </w:rPr>
              <w:t>，无动物颅腔、胸腔和腹腔手术功能。根据《建设项目环境影响评价分类管理名录》</w:t>
            </w:r>
            <w:r>
              <w:rPr>
                <w:rFonts w:hint="default" w:ascii="Times New Roman" w:hAnsi="Times New Roman" w:cs="Times New Roman"/>
                <w:bCs/>
                <w:color w:val="000000" w:themeColor="text1"/>
                <w:sz w:val="24"/>
                <w:szCs w:val="24"/>
                <w:highlight w:val="none"/>
                <w:lang w:eastAsia="zh-CN"/>
                <w14:textFill>
                  <w14:solidFill>
                    <w14:schemeClr w14:val="tx1"/>
                  </w14:solidFill>
                </w14:textFill>
              </w:rPr>
              <w:t>（</w:t>
            </w:r>
            <w:r>
              <w:rPr>
                <w:rFonts w:hint="default" w:ascii="Times New Roman" w:hAnsi="Times New Roman" w:cs="Times New Roman"/>
                <w:bCs/>
                <w:color w:val="000000" w:themeColor="text1"/>
                <w:sz w:val="24"/>
                <w:szCs w:val="24"/>
                <w:highlight w:val="none"/>
                <w14:textFill>
                  <w14:solidFill>
                    <w14:schemeClr w14:val="tx1"/>
                  </w14:solidFill>
                </w14:textFill>
              </w:rPr>
              <w:t>2021年版</w:t>
            </w:r>
            <w:r>
              <w:rPr>
                <w:rFonts w:hint="default" w:ascii="Times New Roman" w:hAnsi="Times New Roman" w:cs="Times New Roman"/>
                <w:bCs/>
                <w:color w:val="000000" w:themeColor="text1"/>
                <w:sz w:val="24"/>
                <w:szCs w:val="24"/>
                <w:highlight w:val="none"/>
                <w:lang w:eastAsia="zh-CN"/>
                <w14:textFill>
                  <w14:solidFill>
                    <w14:schemeClr w14:val="tx1"/>
                  </w14:solidFill>
                </w14:textFill>
              </w:rPr>
              <w:t>）</w:t>
            </w:r>
            <w:r>
              <w:rPr>
                <w:rFonts w:hint="default" w:ascii="Times New Roman" w:hAnsi="Times New Roman" w:cs="Times New Roman"/>
                <w:bCs/>
                <w:color w:val="000000" w:themeColor="text1"/>
                <w:sz w:val="24"/>
                <w:szCs w:val="24"/>
                <w:highlight w:val="none"/>
                <w14:textFill>
                  <w14:solidFill>
                    <w14:schemeClr w14:val="tx1"/>
                  </w14:solidFill>
                </w14:textFill>
              </w:rPr>
              <w:t>，该医院不设动物颅腔、胸腔或腹腔手术等，不纳入建设项目环境影响评价管理。因此，现有医院无需办理环评手续。</w:t>
            </w:r>
          </w:p>
          <w:p w14:paraId="3013AC4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Cs/>
                <w:color w:val="000000" w:themeColor="text1"/>
                <w:sz w:val="24"/>
                <w:szCs w:val="24"/>
                <w:highlight w:val="none"/>
                <w14:textFill>
                  <w14:solidFill>
                    <w14:schemeClr w14:val="tx1"/>
                  </w14:solidFill>
                </w14:textFill>
              </w:rPr>
            </w:pPr>
            <w:r>
              <w:rPr>
                <w:rFonts w:hint="default" w:ascii="Times New Roman" w:hAnsi="Times New Roman" w:cs="Times New Roman"/>
                <w:bCs/>
                <w:color w:val="000000" w:themeColor="text1"/>
                <w:sz w:val="24"/>
                <w:szCs w:val="24"/>
                <w:highlight w:val="none"/>
                <w14:textFill>
                  <w14:solidFill>
                    <w14:schemeClr w14:val="tx1"/>
                  </w14:solidFill>
                </w14:textFill>
              </w:rPr>
              <w:t>根据《固定污染源排污许可分类管理名录</w:t>
            </w:r>
            <w:r>
              <w:rPr>
                <w:rFonts w:hint="default" w:ascii="Times New Roman" w:hAnsi="Times New Roman" w:cs="Times New Roman"/>
                <w:bCs/>
                <w:color w:val="000000" w:themeColor="text1"/>
                <w:sz w:val="24"/>
                <w:szCs w:val="24"/>
                <w:highlight w:val="none"/>
                <w:lang w:eastAsia="zh-CN"/>
                <w14:textFill>
                  <w14:solidFill>
                    <w14:schemeClr w14:val="tx1"/>
                  </w14:solidFill>
                </w14:textFill>
              </w:rPr>
              <w:t>（</w:t>
            </w:r>
            <w:r>
              <w:rPr>
                <w:rFonts w:hint="default" w:ascii="Times New Roman" w:hAnsi="Times New Roman" w:cs="Times New Roman"/>
                <w:bCs/>
                <w:color w:val="000000" w:themeColor="text1"/>
                <w:sz w:val="24"/>
                <w:szCs w:val="24"/>
                <w:highlight w:val="none"/>
                <w14:textFill>
                  <w14:solidFill>
                    <w14:schemeClr w14:val="tx1"/>
                  </w14:solidFill>
                </w14:textFill>
              </w:rPr>
              <w:t>2019年版</w:t>
            </w:r>
            <w:r>
              <w:rPr>
                <w:rFonts w:hint="default" w:ascii="Times New Roman" w:hAnsi="Times New Roman" w:cs="Times New Roman"/>
                <w:bCs/>
                <w:color w:val="000000" w:themeColor="text1"/>
                <w:sz w:val="24"/>
                <w:szCs w:val="24"/>
                <w:highlight w:val="none"/>
                <w:lang w:eastAsia="zh-CN"/>
                <w14:textFill>
                  <w14:solidFill>
                    <w14:schemeClr w14:val="tx1"/>
                  </w14:solidFill>
                </w14:textFill>
              </w:rPr>
              <w:t>）</w:t>
            </w:r>
            <w:r>
              <w:rPr>
                <w:rFonts w:hint="default" w:ascii="Times New Roman" w:hAnsi="Times New Roman" w:cs="Times New Roman"/>
                <w:bCs/>
                <w:color w:val="000000" w:themeColor="text1"/>
                <w:sz w:val="24"/>
                <w:szCs w:val="24"/>
                <w:highlight w:val="none"/>
                <w14:textFill>
                  <w14:solidFill>
                    <w14:schemeClr w14:val="tx1"/>
                  </w14:solidFill>
                </w14:textFill>
              </w:rPr>
              <w:t>》，项目不属于该名录规定的排污单位，无需纳入排污许可管理。</w:t>
            </w:r>
          </w:p>
          <w:p w14:paraId="1EDD597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000000" w:themeColor="text1"/>
                <w:sz w:val="24"/>
                <w:szCs w:val="24"/>
                <w:highlight w:val="none"/>
                <w:lang w:eastAsia="zh-CN"/>
                <w14:textFill>
                  <w14:solidFill>
                    <w14:schemeClr w14:val="tx1"/>
                  </w14:solidFill>
                </w14:textFill>
              </w:rPr>
            </w:pPr>
            <w:r>
              <w:rPr>
                <w:rFonts w:hint="default" w:ascii="Times New Roman" w:hAnsi="Times New Roman" w:cs="Times New Roman"/>
                <w:bCs/>
                <w:color w:val="000000" w:themeColor="text1"/>
                <w:sz w:val="24"/>
                <w:szCs w:val="24"/>
                <w:highlight w:val="none"/>
                <w14:textFill>
                  <w14:solidFill>
                    <w14:schemeClr w14:val="tx1"/>
                  </w14:solidFill>
                </w14:textFill>
              </w:rPr>
              <w:t>项目</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已设置有</w:t>
            </w:r>
            <w:r>
              <w:rPr>
                <w:rFonts w:hint="eastAsia" w:cs="Times New Roman"/>
                <w:b w:val="0"/>
                <w:bCs/>
                <w:color w:val="000000" w:themeColor="text1"/>
                <w:sz w:val="24"/>
                <w:szCs w:val="24"/>
                <w:highlight w:val="none"/>
                <w:lang w:val="en-US" w:eastAsia="zh-CN"/>
                <w14:textFill>
                  <w14:solidFill>
                    <w14:schemeClr w14:val="tx1"/>
                  </w14:solidFill>
                </w14:textFill>
              </w:rPr>
              <w:t>诊室、免疫室、寄养室、犬住院室、美容室、化验室、药房、猫住院室、DR室、手术室、隔离室</w:t>
            </w:r>
            <w:r>
              <w:rPr>
                <w:rFonts w:hint="default" w:ascii="Times New Roman" w:hAnsi="Times New Roman" w:cs="Times New Roman"/>
                <w:bCs/>
                <w:color w:val="000000" w:themeColor="text1"/>
                <w:sz w:val="24"/>
                <w:szCs w:val="24"/>
                <w:highlight w:val="none"/>
                <w14:textFill>
                  <w14:solidFill>
                    <w14:schemeClr w14:val="tx1"/>
                  </w14:solidFill>
                </w14:textFill>
              </w:rPr>
              <w:t>。</w:t>
            </w:r>
            <w:r>
              <w:rPr>
                <w:rFonts w:hint="eastAsia" w:cs="Times New Roman"/>
                <w:b w:val="0"/>
                <w:bCs/>
                <w:color w:val="000000" w:themeColor="text1"/>
                <w:sz w:val="24"/>
                <w:szCs w:val="24"/>
                <w:highlight w:val="none"/>
                <w:lang w:val="en-US" w:eastAsia="zh-CN"/>
                <w14:textFill>
                  <w14:solidFill>
                    <w14:schemeClr w14:val="tx1"/>
                  </w14:solidFill>
                </w14:textFill>
              </w:rPr>
              <w:t>本次扩建</w:t>
            </w: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是在宠物医院现有手术基础上增设动物颅腔、胸腔、腹腔手术服务，仅新增部分设备</w:t>
            </w:r>
            <w:r>
              <w:rPr>
                <w:rFonts w:hint="eastAsia" w:cs="Times New Roman"/>
                <w:b w:val="0"/>
                <w:bCs/>
                <w:color w:val="000000" w:themeColor="text1"/>
                <w:sz w:val="24"/>
                <w:szCs w:val="24"/>
                <w:highlight w:val="none"/>
                <w:lang w:val="en-US" w:eastAsia="zh-CN"/>
                <w14:textFill>
                  <w14:solidFill>
                    <w14:schemeClr w14:val="tx1"/>
                  </w14:solidFill>
                </w14:textFill>
              </w:rPr>
              <w:t>。</w:t>
            </w:r>
          </w:p>
          <w:p w14:paraId="48899259">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14:textFill>
                  <w14:solidFill>
                    <w14:schemeClr w14:val="tx1"/>
                  </w14:solidFill>
                </w14:textFill>
              </w:rPr>
              <w:t>2.12 现有工程排污情况分析</w:t>
            </w:r>
          </w:p>
          <w:p w14:paraId="1C36312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Cs/>
                <w:color w:val="000000" w:themeColor="text1"/>
                <w:sz w:val="24"/>
                <w:szCs w:val="24"/>
                <w:highlight w:val="none"/>
                <w14:textFill>
                  <w14:solidFill>
                    <w14:schemeClr w14:val="tx1"/>
                  </w14:solidFill>
                </w14:textFill>
              </w:rPr>
            </w:pPr>
            <w:r>
              <w:rPr>
                <w:rFonts w:hint="default" w:ascii="Times New Roman" w:hAnsi="Times New Roman" w:cs="Times New Roman"/>
                <w:bCs/>
                <w:color w:val="000000" w:themeColor="text1"/>
                <w:sz w:val="24"/>
                <w:szCs w:val="24"/>
                <w:highlight w:val="none"/>
                <w14:textFill>
                  <w14:solidFill>
                    <w14:schemeClr w14:val="tx1"/>
                  </w14:solidFill>
                </w14:textFill>
              </w:rPr>
              <w:t>①废水</w:t>
            </w:r>
          </w:p>
          <w:p w14:paraId="569EC8C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z w:val="24"/>
                <w:szCs w:val="24"/>
                <w:highlight w:val="none"/>
                <w14:textFill>
                  <w14:solidFill>
                    <w14:schemeClr w14:val="tx1"/>
                  </w14:solidFill>
                </w14:textFill>
              </w:rPr>
              <w:t>经调查，现有项目产生的废水主要为宠物诊断治疗过程中产生的医疗废水、生活污水</w:t>
            </w:r>
            <w:r>
              <w:rPr>
                <w:rFonts w:hint="eastAsia" w:ascii="Times New Roman" w:hAnsi="Times New Roman" w:cs="Times New Roman"/>
                <w:bCs/>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bCs/>
                <w:color w:val="000000" w:themeColor="text1"/>
                <w:sz w:val="24"/>
                <w:szCs w:val="24"/>
                <w:highlight w:val="none"/>
                <w:lang w:val="en-US" w:eastAsia="zh-CN"/>
                <w14:textFill>
                  <w14:solidFill>
                    <w14:schemeClr w14:val="tx1"/>
                  </w14:solidFill>
                </w14:textFill>
              </w:rPr>
              <w:t>美容洗护废水</w:t>
            </w:r>
            <w:r>
              <w:rPr>
                <w:rFonts w:hint="default" w:ascii="Times New Roman" w:hAnsi="Times New Roman" w:cs="Times New Roman"/>
                <w:bCs/>
                <w:color w:val="000000" w:themeColor="text1"/>
                <w:sz w:val="24"/>
                <w:szCs w:val="24"/>
                <w:highlight w:val="none"/>
                <w14:textFill>
                  <w14:solidFill>
                    <w14:schemeClr w14:val="tx1"/>
                  </w14:solidFill>
                </w14:textFill>
              </w:rPr>
              <w:t>以及</w:t>
            </w:r>
            <w:r>
              <w:rPr>
                <w:rFonts w:hint="eastAsia" w:ascii="Times New Roman" w:hAnsi="Times New Roman" w:cs="Times New Roman"/>
                <w:bCs/>
                <w:color w:val="000000" w:themeColor="text1"/>
                <w:sz w:val="24"/>
                <w:szCs w:val="24"/>
                <w:highlight w:val="none"/>
                <w:lang w:val="en-US" w:eastAsia="zh-CN"/>
                <w14:textFill>
                  <w14:solidFill>
                    <w14:schemeClr w14:val="tx1"/>
                  </w14:solidFill>
                </w14:textFill>
              </w:rPr>
              <w:t>其他废水（工服清洗废水、宠物毛毯清洗废水）</w:t>
            </w:r>
            <w:r>
              <w:rPr>
                <w:rFonts w:hint="default" w:ascii="Times New Roman" w:hAnsi="Times New Roman" w:cs="Times New Roman"/>
                <w:bCs/>
                <w:color w:val="000000" w:themeColor="text1"/>
                <w:sz w:val="24"/>
                <w:szCs w:val="24"/>
                <w:highlight w:val="none"/>
                <w14:textFill>
                  <w14:solidFill>
                    <w14:schemeClr w14:val="tx1"/>
                  </w14:solidFill>
                </w14:textFill>
              </w:rPr>
              <w:t>。</w:t>
            </w:r>
            <w:r>
              <w:rPr>
                <w:rFonts w:hint="eastAsia" w:cs="Times New Roman"/>
                <w:bCs/>
                <w:color w:val="000000" w:themeColor="text1"/>
                <w:sz w:val="24"/>
                <w:szCs w:val="24"/>
                <w:highlight w:val="none"/>
                <w:lang w:val="en-US" w:eastAsia="zh-CN"/>
                <w14:textFill>
                  <w14:solidFill>
                    <w14:schemeClr w14:val="tx1"/>
                  </w14:solidFill>
                </w14:textFill>
              </w:rPr>
              <w:t>医疗废水经消毒后，</w:t>
            </w: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美容洗浴废水经滤网过滤后再与</w:t>
            </w:r>
            <w:r>
              <w:rPr>
                <w:rFonts w:hint="eastAsia" w:cs="Times New Roman"/>
                <w:bCs/>
                <w:color w:val="000000" w:themeColor="text1"/>
                <w:sz w:val="24"/>
                <w:szCs w:val="24"/>
                <w:highlight w:val="none"/>
                <w:lang w:val="en-US" w:eastAsia="zh-CN"/>
                <w14:textFill>
                  <w14:solidFill>
                    <w14:schemeClr w14:val="tx1"/>
                  </w14:solidFill>
                </w14:textFill>
              </w:rPr>
              <w:t>医疗废水、</w:t>
            </w: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生活污水及</w:t>
            </w:r>
            <w:r>
              <w:rPr>
                <w:rFonts w:hint="eastAsia" w:ascii="Times New Roman" w:hAnsi="Times New Roman" w:cs="Times New Roman"/>
                <w:bCs/>
                <w:color w:val="000000" w:themeColor="text1"/>
                <w:sz w:val="24"/>
                <w:szCs w:val="24"/>
                <w:highlight w:val="none"/>
                <w:lang w:val="en-US" w:eastAsia="zh-CN"/>
                <w14:textFill>
                  <w14:solidFill>
                    <w14:schemeClr w14:val="tx1"/>
                  </w14:solidFill>
                </w14:textFill>
              </w:rPr>
              <w:t>其它废水</w:t>
            </w: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一并进入</w:t>
            </w:r>
            <w:r>
              <w:rPr>
                <w:rFonts w:hint="eastAsia" w:cs="Times New Roman"/>
                <w:bCs/>
                <w:color w:val="000000" w:themeColor="text1"/>
                <w:sz w:val="24"/>
                <w:szCs w:val="24"/>
                <w:highlight w:val="none"/>
                <w:lang w:val="en-US" w:eastAsia="zh-CN"/>
                <w14:textFill>
                  <w14:solidFill>
                    <w14:schemeClr w14:val="tx1"/>
                  </w14:solidFill>
                </w14:textFill>
              </w:rPr>
              <w:t>弘悦101已建</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生化池</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处理</w:t>
            </w: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达《污水综合排放标准》（GB8978-1996）三级标准后排入市政污水管网，经市政污水管</w:t>
            </w:r>
            <w:r>
              <w:rPr>
                <w:rFonts w:hint="default" w:ascii="Times New Roman" w:hAnsi="Times New Roman" w:cs="Times New Roman"/>
                <w:bCs/>
                <w:color w:val="auto"/>
                <w:sz w:val="24"/>
                <w:szCs w:val="24"/>
                <w:highlight w:val="none"/>
                <w:lang w:val="en-US" w:eastAsia="zh-CN"/>
              </w:rPr>
              <w:t>网进入</w:t>
            </w:r>
            <w:r>
              <w:rPr>
                <w:rFonts w:hint="eastAsia" w:cs="Times New Roman"/>
                <w:bCs/>
                <w:color w:val="auto"/>
                <w:sz w:val="24"/>
                <w:szCs w:val="24"/>
                <w:highlight w:val="none"/>
                <w:lang w:val="en-US" w:eastAsia="zh-CN"/>
              </w:rPr>
              <w:t>彩云湖污水处理厂</w:t>
            </w:r>
            <w:r>
              <w:rPr>
                <w:rFonts w:hint="default" w:ascii="Times New Roman" w:hAnsi="Times New Roman" w:cs="Times New Roman"/>
                <w:bCs/>
                <w:color w:val="auto"/>
                <w:sz w:val="24"/>
                <w:szCs w:val="24"/>
                <w:highlight w:val="none"/>
                <w:lang w:val="en-US" w:eastAsia="zh-CN"/>
              </w:rPr>
              <w:t>深度处理达彩云湖污水处理厂出水水质标准后作为彩云湖湿地公园和桃花溪景观补水，最终排入长江</w:t>
            </w: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w:t>
            </w:r>
          </w:p>
          <w:p w14:paraId="3C9BF61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②异味</w:t>
            </w:r>
          </w:p>
          <w:p w14:paraId="0B5CAFF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项目采用自然通风和空调系统结合的形式进行通风</w:t>
            </w:r>
            <w:r>
              <w:rPr>
                <w:rFonts w:hint="eastAsia" w:cs="Times New Roman"/>
                <w:bCs/>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病房设有紫外线灯管消毒杀菌</w:t>
            </w:r>
            <w:r>
              <w:rPr>
                <w:rFonts w:hint="eastAsia" w:cs="Times New Roman"/>
                <w:bCs/>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每天使用84消毒液对医院进行消毒，</w:t>
            </w:r>
            <w:r>
              <w:rPr>
                <w:rFonts w:hint="eastAsia" w:cs="Times New Roman"/>
                <w:bCs/>
                <w:color w:val="000000" w:themeColor="text1"/>
                <w:sz w:val="24"/>
                <w:szCs w:val="24"/>
                <w:highlight w:val="none"/>
                <w:lang w:val="en-US" w:eastAsia="zh-CN"/>
                <w14:textFill>
                  <w14:solidFill>
                    <w14:schemeClr w14:val="tx1"/>
                  </w14:solidFill>
                </w14:textFill>
              </w:rPr>
              <w:t>消毒设施</w:t>
            </w: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密闭处理。经调查医院运行至今未发生环境污染和环保投诉问题。</w:t>
            </w:r>
          </w:p>
          <w:p w14:paraId="505D556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③噪声</w:t>
            </w:r>
          </w:p>
          <w:p w14:paraId="12CF2EA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Cs/>
                <w:color w:val="auto"/>
                <w:sz w:val="24"/>
                <w:szCs w:val="24"/>
                <w:highlight w:val="none"/>
                <w:lang w:val="en-US" w:eastAsia="zh-CN"/>
              </w:rPr>
            </w:pP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现有项目无高噪声设备，主要为动物日常偶发噪</w:t>
            </w:r>
            <w:r>
              <w:rPr>
                <w:rFonts w:hint="default" w:ascii="Times New Roman" w:hAnsi="Times New Roman" w:cs="Times New Roman"/>
                <w:bCs/>
                <w:color w:val="auto"/>
                <w:sz w:val="24"/>
                <w:szCs w:val="24"/>
                <w:highlight w:val="none"/>
                <w:lang w:val="en-US" w:eastAsia="zh-CN"/>
              </w:rPr>
              <w:t>声。根据</w:t>
            </w:r>
            <w:r>
              <w:rPr>
                <w:rFonts w:hint="eastAsia" w:cs="Times New Roman"/>
                <w:bCs/>
                <w:color w:val="auto"/>
                <w:sz w:val="24"/>
                <w:szCs w:val="24"/>
                <w:highlight w:val="none"/>
                <w:lang w:val="en-US" w:eastAsia="zh-CN"/>
              </w:rPr>
              <w:t>重庆国环环境监测有限公司</w:t>
            </w:r>
            <w:r>
              <w:rPr>
                <w:rFonts w:hint="default" w:ascii="Times New Roman" w:hAnsi="Times New Roman" w:cs="Times New Roman"/>
                <w:bCs/>
                <w:color w:val="auto"/>
                <w:sz w:val="24"/>
                <w:szCs w:val="24"/>
                <w:highlight w:val="none"/>
                <w:lang w:val="en-US" w:eastAsia="zh-CN"/>
              </w:rPr>
              <w:t>202</w:t>
            </w:r>
            <w:r>
              <w:rPr>
                <w:rFonts w:hint="eastAsia" w:cs="Times New Roman"/>
                <w:bCs/>
                <w:color w:val="auto"/>
                <w:sz w:val="24"/>
                <w:szCs w:val="24"/>
                <w:highlight w:val="none"/>
                <w:lang w:val="en-US" w:eastAsia="zh-CN"/>
              </w:rPr>
              <w:t>5</w:t>
            </w:r>
            <w:r>
              <w:rPr>
                <w:rFonts w:hint="default" w:ascii="Times New Roman" w:hAnsi="Times New Roman" w:cs="Times New Roman"/>
                <w:bCs/>
                <w:color w:val="auto"/>
                <w:sz w:val="24"/>
                <w:szCs w:val="24"/>
                <w:highlight w:val="none"/>
                <w:lang w:val="en-US" w:eastAsia="zh-CN"/>
              </w:rPr>
              <w:t>年</w:t>
            </w:r>
            <w:r>
              <w:rPr>
                <w:rFonts w:hint="eastAsia" w:cs="Times New Roman"/>
                <w:bCs/>
                <w:color w:val="auto"/>
                <w:sz w:val="24"/>
                <w:szCs w:val="24"/>
                <w:highlight w:val="none"/>
                <w:lang w:val="en-US" w:eastAsia="zh-CN"/>
              </w:rPr>
              <w:t>7</w:t>
            </w:r>
            <w:r>
              <w:rPr>
                <w:rFonts w:hint="default" w:ascii="Times New Roman" w:hAnsi="Times New Roman" w:cs="Times New Roman"/>
                <w:bCs/>
                <w:color w:val="auto"/>
                <w:sz w:val="24"/>
                <w:szCs w:val="24"/>
                <w:highlight w:val="none"/>
                <w:lang w:val="en-US" w:eastAsia="zh-CN"/>
              </w:rPr>
              <w:t>月</w:t>
            </w:r>
            <w:r>
              <w:rPr>
                <w:rFonts w:hint="eastAsia" w:cs="Times New Roman"/>
                <w:bCs/>
                <w:color w:val="auto"/>
                <w:sz w:val="24"/>
                <w:szCs w:val="24"/>
                <w:highlight w:val="none"/>
                <w:lang w:val="en-US" w:eastAsia="zh-CN"/>
              </w:rPr>
              <w:t>16</w:t>
            </w:r>
            <w:r>
              <w:rPr>
                <w:rFonts w:hint="default" w:ascii="Times New Roman" w:hAnsi="Times New Roman" w:cs="Times New Roman"/>
                <w:bCs/>
                <w:color w:val="auto"/>
                <w:sz w:val="24"/>
                <w:szCs w:val="24"/>
                <w:highlight w:val="none"/>
                <w:lang w:val="en-US" w:eastAsia="zh-CN"/>
              </w:rPr>
              <w:t>日的噪声监测结果，</w:t>
            </w:r>
            <w:r>
              <w:rPr>
                <w:rFonts w:hint="eastAsia" w:cs="Times New Roman"/>
                <w:b w:val="0"/>
                <w:bCs/>
                <w:color w:val="auto"/>
                <w:sz w:val="24"/>
                <w:szCs w:val="24"/>
                <w:highlight w:val="none"/>
                <w:lang w:val="en-US" w:eastAsia="zh-CN"/>
              </w:rPr>
              <w:t>项目南侧居民楼</w:t>
            </w:r>
            <w:r>
              <w:rPr>
                <w:rFonts w:hint="default" w:ascii="Times New Roman" w:hAnsi="Times New Roman" w:eastAsia="宋体" w:cs="Times New Roman"/>
                <w:bCs/>
                <w:color w:val="auto"/>
                <w:sz w:val="24"/>
                <w:szCs w:val="24"/>
                <w:highlight w:val="none"/>
                <w:lang w:val="en-US" w:eastAsia="zh-CN"/>
              </w:rPr>
              <w:t>昼间</w:t>
            </w:r>
            <w:r>
              <w:rPr>
                <w:rFonts w:hint="eastAsia" w:ascii="Times New Roman" w:hAnsi="Times New Roman" w:eastAsia="宋体" w:cs="Times New Roman"/>
                <w:bCs/>
                <w:color w:val="auto"/>
                <w:sz w:val="24"/>
                <w:szCs w:val="24"/>
                <w:highlight w:val="none"/>
                <w:lang w:val="en-US" w:eastAsia="zh-CN"/>
              </w:rPr>
              <w:t>、夜间</w:t>
            </w:r>
            <w:r>
              <w:rPr>
                <w:rFonts w:hint="default" w:ascii="Times New Roman" w:hAnsi="Times New Roman" w:eastAsia="宋体" w:cs="Times New Roman"/>
                <w:bCs/>
                <w:color w:val="auto"/>
                <w:sz w:val="24"/>
                <w:szCs w:val="24"/>
                <w:highlight w:val="none"/>
                <w:lang w:val="en-US" w:eastAsia="zh-CN"/>
              </w:rPr>
              <w:t>噪声</w:t>
            </w:r>
            <w:r>
              <w:rPr>
                <w:rFonts w:hint="eastAsia" w:ascii="Times New Roman" w:hAnsi="Times New Roman" w:eastAsia="宋体" w:cs="Times New Roman"/>
                <w:bCs/>
                <w:color w:val="auto"/>
                <w:sz w:val="24"/>
                <w:szCs w:val="24"/>
                <w:highlight w:val="none"/>
                <w:lang w:val="en-US" w:eastAsia="zh-CN"/>
              </w:rPr>
              <w:t>均</w:t>
            </w:r>
            <w:r>
              <w:rPr>
                <w:rFonts w:hint="default" w:ascii="Times New Roman" w:hAnsi="Times New Roman" w:eastAsia="宋体" w:cs="Times New Roman"/>
                <w:bCs/>
                <w:color w:val="auto"/>
                <w:sz w:val="24"/>
                <w:szCs w:val="24"/>
                <w:highlight w:val="none"/>
                <w:lang w:val="en-US" w:eastAsia="zh-CN"/>
              </w:rPr>
              <w:t xml:space="preserve">满足《声环境质量标准》（GB </w:t>
            </w:r>
            <w:r>
              <w:rPr>
                <w:rFonts w:hint="default" w:ascii="Times New Roman" w:hAnsi="Times New Roman" w:cs="Times New Roman"/>
                <w:bCs/>
                <w:color w:val="auto"/>
                <w:sz w:val="24"/>
                <w:szCs w:val="24"/>
                <w:highlight w:val="none"/>
                <w:lang w:val="en-US" w:eastAsia="zh-CN"/>
              </w:rPr>
              <w:t>3096-2008）中</w:t>
            </w:r>
            <w:r>
              <w:rPr>
                <w:rFonts w:hint="eastAsia" w:cs="Times New Roman"/>
                <w:bCs/>
                <w:color w:val="auto"/>
                <w:sz w:val="24"/>
                <w:szCs w:val="24"/>
                <w:highlight w:val="none"/>
                <w:lang w:val="en-US" w:eastAsia="zh-CN"/>
              </w:rPr>
              <w:t>2</w:t>
            </w:r>
            <w:r>
              <w:rPr>
                <w:rFonts w:hint="default" w:ascii="Times New Roman" w:hAnsi="Times New Roman" w:cs="Times New Roman"/>
                <w:bCs/>
                <w:color w:val="auto"/>
                <w:sz w:val="24"/>
                <w:szCs w:val="24"/>
                <w:highlight w:val="none"/>
                <w:lang w:val="en-US" w:eastAsia="zh-CN"/>
              </w:rPr>
              <w:t>类标准要求</w:t>
            </w:r>
            <w:r>
              <w:rPr>
                <w:rFonts w:hint="eastAsia" w:cs="Times New Roman"/>
                <w:bCs/>
                <w:color w:val="auto"/>
                <w:sz w:val="24"/>
                <w:szCs w:val="24"/>
                <w:highlight w:val="none"/>
                <w:lang w:val="en-US" w:eastAsia="zh-CN"/>
              </w:rPr>
              <w:t>，项目西南侧学校</w:t>
            </w:r>
            <w:r>
              <w:rPr>
                <w:rFonts w:hint="default" w:ascii="Times New Roman" w:hAnsi="Times New Roman" w:eastAsia="宋体" w:cs="Times New Roman"/>
                <w:bCs/>
                <w:color w:val="auto"/>
                <w:sz w:val="24"/>
                <w:szCs w:val="24"/>
                <w:highlight w:val="none"/>
                <w:lang w:val="en-US" w:eastAsia="zh-CN"/>
              </w:rPr>
              <w:t>昼间</w:t>
            </w:r>
            <w:r>
              <w:rPr>
                <w:rFonts w:hint="eastAsia" w:ascii="Times New Roman" w:hAnsi="Times New Roman" w:eastAsia="宋体" w:cs="Times New Roman"/>
                <w:bCs/>
                <w:color w:val="auto"/>
                <w:sz w:val="24"/>
                <w:szCs w:val="24"/>
                <w:highlight w:val="none"/>
                <w:lang w:val="en-US" w:eastAsia="zh-CN"/>
              </w:rPr>
              <w:t>、夜间</w:t>
            </w:r>
            <w:r>
              <w:rPr>
                <w:rFonts w:hint="default" w:ascii="Times New Roman" w:hAnsi="Times New Roman" w:eastAsia="宋体" w:cs="Times New Roman"/>
                <w:bCs/>
                <w:color w:val="auto"/>
                <w:sz w:val="24"/>
                <w:szCs w:val="24"/>
                <w:highlight w:val="none"/>
                <w:lang w:val="en-US" w:eastAsia="zh-CN"/>
              </w:rPr>
              <w:t>噪声</w:t>
            </w:r>
            <w:r>
              <w:rPr>
                <w:rFonts w:hint="eastAsia" w:ascii="Times New Roman" w:hAnsi="Times New Roman" w:eastAsia="宋体" w:cs="Times New Roman"/>
                <w:bCs/>
                <w:color w:val="auto"/>
                <w:sz w:val="24"/>
                <w:szCs w:val="24"/>
                <w:highlight w:val="none"/>
                <w:lang w:val="en-US" w:eastAsia="zh-CN"/>
              </w:rPr>
              <w:t>均</w:t>
            </w:r>
            <w:r>
              <w:rPr>
                <w:rFonts w:hint="default" w:ascii="Times New Roman" w:hAnsi="Times New Roman" w:eastAsia="宋体" w:cs="Times New Roman"/>
                <w:bCs/>
                <w:color w:val="auto"/>
                <w:sz w:val="24"/>
                <w:szCs w:val="24"/>
                <w:highlight w:val="none"/>
                <w:lang w:val="en-US" w:eastAsia="zh-CN"/>
              </w:rPr>
              <w:t xml:space="preserve">满足《声环境质量标准》（GB </w:t>
            </w:r>
            <w:r>
              <w:rPr>
                <w:rFonts w:hint="default" w:ascii="Times New Roman" w:hAnsi="Times New Roman" w:cs="Times New Roman"/>
                <w:bCs/>
                <w:color w:val="auto"/>
                <w:sz w:val="24"/>
                <w:szCs w:val="24"/>
                <w:highlight w:val="none"/>
                <w:lang w:val="en-US" w:eastAsia="zh-CN"/>
              </w:rPr>
              <w:t>3096-2008）中</w:t>
            </w:r>
            <w:r>
              <w:rPr>
                <w:rFonts w:hint="eastAsia" w:cs="Times New Roman"/>
                <w:bCs/>
                <w:color w:val="auto"/>
                <w:sz w:val="24"/>
                <w:szCs w:val="24"/>
                <w:highlight w:val="none"/>
                <w:lang w:val="en-US" w:eastAsia="zh-CN"/>
              </w:rPr>
              <w:t>1</w:t>
            </w:r>
            <w:r>
              <w:rPr>
                <w:rFonts w:hint="default" w:ascii="Times New Roman" w:hAnsi="Times New Roman" w:cs="Times New Roman"/>
                <w:bCs/>
                <w:color w:val="auto"/>
                <w:sz w:val="24"/>
                <w:szCs w:val="24"/>
                <w:highlight w:val="none"/>
                <w:lang w:val="en-US" w:eastAsia="zh-CN"/>
              </w:rPr>
              <w:t>类标准要求。</w:t>
            </w:r>
          </w:p>
          <w:p w14:paraId="0122AA7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④固体废物</w:t>
            </w:r>
          </w:p>
          <w:p w14:paraId="1A9E55C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bCs w:val="0"/>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现有项目产生的固体废物主要包括动物粪污（猫砂和其他动物粪污）、生活垃圾、医疗废物、废紫外线灯管。</w:t>
            </w:r>
            <w:r>
              <w:rPr>
                <w:rFonts w:hint="eastAsia" w:ascii="Times New Roman" w:hAnsi="Times New Roman" w:cs="Times New Roman"/>
                <w:bCs/>
                <w:color w:val="000000" w:themeColor="text1"/>
                <w:sz w:val="24"/>
                <w:szCs w:val="24"/>
                <w:highlight w:val="none"/>
                <w:lang w:val="en-US" w:eastAsia="zh-CN"/>
                <w14:textFill>
                  <w14:solidFill>
                    <w14:schemeClr w14:val="tx1"/>
                  </w14:solidFill>
                </w14:textFill>
              </w:rPr>
              <w:t>宠物毛发及</w:t>
            </w: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生活垃圾交环卫部门进行处置</w:t>
            </w:r>
            <w:r>
              <w:rPr>
                <w:rFonts w:hint="eastAsia" w:cs="Times New Roman"/>
                <w:bCs/>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猫砂及其他动物粪污（住院、门诊）经</w:t>
            </w:r>
            <w:r>
              <w:rPr>
                <w:rFonts w:hint="eastAsia" w:cs="Times New Roman"/>
                <w:bCs/>
                <w:color w:val="000000" w:themeColor="text1"/>
                <w:sz w:val="24"/>
                <w:szCs w:val="24"/>
                <w:highlight w:val="none"/>
                <w:lang w:val="en-US" w:eastAsia="zh-CN"/>
                <w14:textFill>
                  <w14:solidFill>
                    <w14:schemeClr w14:val="tx1"/>
                  </w14:solidFill>
                </w14:textFill>
              </w:rPr>
              <w:t>84消毒剂</w:t>
            </w: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消毒处理后交市政环卫部门处置</w:t>
            </w:r>
            <w:r>
              <w:rPr>
                <w:rFonts w:hint="eastAsia" w:cs="Times New Roman"/>
                <w:bCs/>
                <w:color w:val="000000" w:themeColor="text1"/>
                <w:sz w:val="24"/>
                <w:szCs w:val="24"/>
                <w:highlight w:val="none"/>
                <w:lang w:val="en-US" w:eastAsia="zh-CN"/>
                <w14:textFill>
                  <w14:solidFill>
                    <w14:schemeClr w14:val="tx1"/>
                  </w14:solidFill>
                </w14:textFill>
              </w:rPr>
              <w:t>；</w:t>
            </w:r>
            <w:r>
              <w:rPr>
                <w:rFonts w:hint="eastAsia" w:ascii="Times New Roman" w:hAnsi="Times New Roman" w:cs="Times New Roman"/>
                <w:bCs/>
                <w:color w:val="000000" w:themeColor="text1"/>
                <w:sz w:val="24"/>
                <w:szCs w:val="24"/>
                <w:highlight w:val="none"/>
                <w:lang w:val="en-US" w:eastAsia="zh-CN"/>
                <w14:textFill>
                  <w14:solidFill>
                    <w14:schemeClr w14:val="tx1"/>
                  </w14:solidFill>
                </w14:textFill>
              </w:rPr>
              <w:t>医疗废物</w:t>
            </w: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交</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重庆</w:t>
            </w:r>
            <w:r>
              <w:rPr>
                <w:rFonts w:hint="eastAsia" w:cs="Times New Roman"/>
                <w:bCs/>
                <w:color w:val="000000" w:themeColor="text1"/>
                <w:sz w:val="24"/>
                <w:szCs w:val="24"/>
                <w:highlight w:val="none"/>
                <w:lang w:val="en-US" w:eastAsia="zh-CN"/>
                <w14:textFill>
                  <w14:solidFill>
                    <w14:schemeClr w14:val="tx1"/>
                  </w14:solidFill>
                </w14:textFill>
              </w:rPr>
              <w:t>可厚德环保技术有限公司</w:t>
            </w:r>
            <w:r>
              <w:rPr>
                <w:rFonts w:hint="default" w:cs="Times New Roman"/>
                <w:bCs/>
                <w:color w:val="000000" w:themeColor="text1"/>
                <w:sz w:val="24"/>
                <w:szCs w:val="24"/>
                <w:highlight w:val="none"/>
                <w:lang w:val="en-US" w:eastAsia="zh-CN"/>
                <w14:textFill>
                  <w14:solidFill>
                    <w14:schemeClr w14:val="tx1"/>
                  </w14:solidFill>
                </w14:textFill>
              </w:rPr>
              <w:t>处置。动物尸体</w:t>
            </w:r>
            <w:r>
              <w:rPr>
                <w:rFonts w:hint="eastAsia" w:cs="Times New Roman"/>
                <w:bCs/>
                <w:color w:val="000000" w:themeColor="text1"/>
                <w:sz w:val="24"/>
                <w:szCs w:val="24"/>
                <w:highlight w:val="none"/>
                <w:lang w:val="en-US" w:eastAsia="zh-CN"/>
                <w14:textFill>
                  <w14:solidFill>
                    <w14:schemeClr w14:val="tx1"/>
                  </w14:solidFill>
                </w14:textFill>
              </w:rPr>
              <w:t>交重庆市永川区永春生物技术有限公司进行无害化处置</w:t>
            </w:r>
            <w:r>
              <w:rPr>
                <w:rFonts w:hint="default" w:cs="Times New Roman"/>
                <w:bCs/>
                <w:color w:val="000000" w:themeColor="text1"/>
                <w:sz w:val="24"/>
                <w:szCs w:val="24"/>
                <w:highlight w:val="none"/>
                <w:lang w:val="en-US" w:eastAsia="zh-CN"/>
                <w14:textFill>
                  <w14:solidFill>
                    <w14:schemeClr w14:val="tx1"/>
                  </w14:solidFill>
                </w14:textFill>
              </w:rPr>
              <w:t>。经调查医院运行至今未发生环境污染和环保投诉问题。</w:t>
            </w:r>
          </w:p>
          <w:p w14:paraId="16F65F5A">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cs="Times New Roman"/>
                <w:b/>
                <w:bCs w:val="0"/>
                <w:color w:val="auto"/>
                <w:sz w:val="24"/>
                <w:szCs w:val="24"/>
                <w:highlight w:val="none"/>
                <w:lang w:val="en-US" w:eastAsia="zh-CN"/>
              </w:rPr>
            </w:pPr>
            <w:r>
              <w:rPr>
                <w:rFonts w:hint="default" w:ascii="Times New Roman" w:hAnsi="Times New Roman" w:cs="Times New Roman"/>
                <w:b/>
                <w:bCs w:val="0"/>
                <w:color w:val="000000" w:themeColor="text1"/>
                <w:sz w:val="24"/>
                <w:szCs w:val="24"/>
                <w:highlight w:val="none"/>
                <w:lang w:val="en-US" w:eastAsia="zh-CN"/>
                <w14:textFill>
                  <w14:solidFill>
                    <w14:schemeClr w14:val="tx1"/>
                  </w14:solidFill>
                </w14:textFill>
              </w:rPr>
              <w:t>2.13 现</w:t>
            </w:r>
            <w:r>
              <w:rPr>
                <w:rFonts w:hint="default" w:ascii="Times New Roman" w:hAnsi="Times New Roman" w:cs="Times New Roman"/>
                <w:b/>
                <w:bCs w:val="0"/>
                <w:color w:val="auto"/>
                <w:sz w:val="24"/>
                <w:szCs w:val="24"/>
                <w:highlight w:val="none"/>
                <w:lang w:val="en-US" w:eastAsia="zh-CN"/>
              </w:rPr>
              <w:t>有环保投诉及主要环保问题</w:t>
            </w:r>
          </w:p>
          <w:p w14:paraId="22F73A2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color w:val="auto"/>
                <w:sz w:val="24"/>
                <w:szCs w:val="24"/>
                <w:highlight w:val="none"/>
                <w:lang w:val="en-US" w:eastAsia="zh-CN"/>
              </w:rPr>
            </w:pPr>
            <w:r>
              <w:rPr>
                <w:rFonts w:hint="default" w:ascii="Times New Roman" w:hAnsi="Times New Roman" w:cs="Times New Roman"/>
                <w:b w:val="0"/>
                <w:bCs/>
                <w:color w:val="auto"/>
                <w:sz w:val="24"/>
                <w:szCs w:val="24"/>
                <w:highlight w:val="none"/>
                <w:lang w:val="en-US" w:eastAsia="zh-CN"/>
              </w:rPr>
              <w:t>（1）环保投诉情况</w:t>
            </w:r>
          </w:p>
          <w:p w14:paraId="3AECA8D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color w:val="auto"/>
                <w:sz w:val="24"/>
                <w:szCs w:val="24"/>
                <w:highlight w:val="none"/>
                <w:lang w:val="en-US" w:eastAsia="zh-CN"/>
              </w:rPr>
            </w:pPr>
            <w:r>
              <w:rPr>
                <w:rFonts w:hint="default" w:ascii="Times New Roman" w:hAnsi="Times New Roman" w:cs="Times New Roman"/>
                <w:b w:val="0"/>
                <w:bCs/>
                <w:color w:val="auto"/>
                <w:sz w:val="24"/>
                <w:szCs w:val="24"/>
                <w:highlight w:val="none"/>
                <w:lang w:val="en-US" w:eastAsia="zh-CN"/>
              </w:rPr>
              <w:t>项目位于</w:t>
            </w:r>
            <w:r>
              <w:rPr>
                <w:rFonts w:hint="eastAsia" w:ascii="Times New Roman" w:hAnsi="Times New Roman" w:eastAsia="宋体" w:cs="Times New Roman"/>
                <w:b w:val="0"/>
                <w:bCs w:val="0"/>
                <w:color w:val="auto"/>
                <w:sz w:val="24"/>
                <w:szCs w:val="24"/>
                <w:highlight w:val="none"/>
                <w:vertAlign w:val="baseline"/>
                <w:lang w:val="en-US" w:eastAsia="zh-CN"/>
              </w:rPr>
              <w:t>重庆市九龙坡区二郎街道火炬大道100号附24号及附23-2号商铺1F</w:t>
            </w:r>
            <w:r>
              <w:rPr>
                <w:rFonts w:hint="eastAsia" w:cs="Times New Roman"/>
                <w:b w:val="0"/>
                <w:bCs/>
                <w:color w:val="auto"/>
                <w:sz w:val="24"/>
                <w:szCs w:val="24"/>
                <w:highlight w:val="none"/>
                <w:lang w:val="en-US" w:eastAsia="zh-CN"/>
              </w:rPr>
              <w:t>，</w:t>
            </w:r>
            <w:r>
              <w:rPr>
                <w:rFonts w:hint="default" w:ascii="Times New Roman" w:hAnsi="Times New Roman" w:cs="Times New Roman"/>
                <w:b w:val="0"/>
                <w:bCs/>
                <w:color w:val="auto"/>
                <w:sz w:val="24"/>
                <w:szCs w:val="24"/>
                <w:highlight w:val="none"/>
                <w:lang w:val="en-US" w:eastAsia="zh-CN"/>
              </w:rPr>
              <w:t>经调查，企业运行至今未发生环境污染和环保投诉问题。</w:t>
            </w:r>
          </w:p>
          <w:p w14:paraId="0FF39766">
            <w:pPr>
              <w:keepNext w:val="0"/>
              <w:keepLines w:val="0"/>
              <w:pageBreakBefore w:val="0"/>
              <w:widowControl w:val="0"/>
              <w:numPr>
                <w:ilvl w:val="0"/>
                <w:numId w:val="5"/>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color w:val="auto"/>
                <w:sz w:val="24"/>
                <w:szCs w:val="24"/>
                <w:highlight w:val="none"/>
                <w:lang w:val="en-US" w:eastAsia="zh-CN"/>
              </w:rPr>
            </w:pPr>
            <w:r>
              <w:rPr>
                <w:rFonts w:hint="default" w:ascii="Times New Roman" w:hAnsi="Times New Roman" w:cs="Times New Roman"/>
                <w:b w:val="0"/>
                <w:bCs/>
                <w:color w:val="auto"/>
                <w:sz w:val="24"/>
                <w:szCs w:val="24"/>
                <w:highlight w:val="none"/>
                <w:lang w:val="en-US" w:eastAsia="zh-CN"/>
              </w:rPr>
              <w:t>与项目有关的主要环境问题</w:t>
            </w:r>
          </w:p>
          <w:p w14:paraId="1FEB7B5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color w:val="auto"/>
                <w:sz w:val="24"/>
                <w:szCs w:val="24"/>
                <w:highlight w:val="none"/>
                <w:lang w:val="en-US" w:eastAsia="zh-CN"/>
              </w:rPr>
            </w:pPr>
            <w:r>
              <w:rPr>
                <w:rFonts w:hint="default" w:ascii="Times New Roman" w:hAnsi="Times New Roman" w:cs="Times New Roman"/>
                <w:b w:val="0"/>
                <w:bCs/>
                <w:color w:val="auto"/>
                <w:sz w:val="24"/>
                <w:szCs w:val="24"/>
                <w:highlight w:val="none"/>
                <w:lang w:val="en-US" w:eastAsia="zh-CN"/>
              </w:rPr>
              <w:t>根据现场调查，医院严格按照环境保护管理“三同时”制度要求，对废水、废气、噪声进行了有效地治理，污染防治措施切实有效</w:t>
            </w:r>
            <w:r>
              <w:rPr>
                <w:rFonts w:hint="eastAsia" w:cs="Times New Roman"/>
                <w:b w:val="0"/>
                <w:bCs/>
                <w:color w:val="auto"/>
                <w:sz w:val="24"/>
                <w:szCs w:val="24"/>
                <w:highlight w:val="none"/>
                <w:lang w:val="en-US" w:eastAsia="zh-CN"/>
              </w:rPr>
              <w:t>。</w:t>
            </w:r>
          </w:p>
          <w:p w14:paraId="2195B80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color w:val="auto"/>
                <w:sz w:val="24"/>
                <w:szCs w:val="24"/>
                <w:highlight w:val="none"/>
                <w:lang w:val="en-US" w:eastAsia="zh-CN"/>
              </w:rPr>
            </w:pPr>
          </w:p>
          <w:p w14:paraId="3BDD951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color w:val="auto"/>
                <w:sz w:val="24"/>
                <w:szCs w:val="24"/>
                <w:highlight w:val="none"/>
                <w:lang w:val="en-US" w:eastAsia="zh-CN"/>
              </w:rPr>
            </w:pPr>
          </w:p>
          <w:p w14:paraId="500693A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color w:val="auto"/>
                <w:sz w:val="24"/>
                <w:szCs w:val="24"/>
                <w:highlight w:val="none"/>
                <w:lang w:val="en-US" w:eastAsia="zh-CN"/>
              </w:rPr>
            </w:pPr>
          </w:p>
          <w:p w14:paraId="74DB33F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color w:val="auto"/>
                <w:sz w:val="24"/>
                <w:szCs w:val="24"/>
                <w:highlight w:val="none"/>
                <w:lang w:val="en-US" w:eastAsia="zh-CN"/>
              </w:rPr>
            </w:pPr>
          </w:p>
          <w:p w14:paraId="3797DEE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color w:val="auto"/>
                <w:sz w:val="24"/>
                <w:szCs w:val="24"/>
                <w:highlight w:val="none"/>
                <w:lang w:val="en-US" w:eastAsia="zh-CN"/>
              </w:rPr>
            </w:pPr>
          </w:p>
          <w:p w14:paraId="41B00CF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color w:val="auto"/>
                <w:sz w:val="24"/>
                <w:szCs w:val="24"/>
                <w:highlight w:val="none"/>
                <w:lang w:val="en-US" w:eastAsia="zh-CN"/>
              </w:rPr>
            </w:pPr>
          </w:p>
          <w:p w14:paraId="158F7F9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color w:val="auto"/>
                <w:sz w:val="24"/>
                <w:szCs w:val="24"/>
                <w:highlight w:val="none"/>
                <w:lang w:val="en-US" w:eastAsia="zh-CN"/>
              </w:rPr>
            </w:pPr>
          </w:p>
          <w:p w14:paraId="0B6EF85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color w:val="auto"/>
                <w:sz w:val="24"/>
                <w:szCs w:val="24"/>
                <w:highlight w:val="none"/>
                <w:lang w:val="en-US" w:eastAsia="zh-CN"/>
              </w:rPr>
            </w:pPr>
          </w:p>
          <w:p w14:paraId="50209AB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color w:val="auto"/>
                <w:sz w:val="24"/>
                <w:szCs w:val="24"/>
                <w:highlight w:val="none"/>
                <w:lang w:val="en-US" w:eastAsia="zh-CN"/>
              </w:rPr>
            </w:pPr>
          </w:p>
          <w:p w14:paraId="774A58D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color w:val="auto"/>
                <w:sz w:val="24"/>
                <w:szCs w:val="24"/>
                <w:highlight w:val="none"/>
                <w:lang w:val="en-US" w:eastAsia="zh-CN"/>
              </w:rPr>
            </w:pPr>
          </w:p>
          <w:p w14:paraId="7C577DD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color w:val="auto"/>
                <w:sz w:val="24"/>
                <w:szCs w:val="24"/>
                <w:highlight w:val="none"/>
                <w:lang w:val="en-US" w:eastAsia="zh-CN"/>
              </w:rPr>
            </w:pPr>
          </w:p>
          <w:p w14:paraId="29013C3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color w:val="auto"/>
                <w:sz w:val="24"/>
                <w:szCs w:val="24"/>
                <w:highlight w:val="none"/>
                <w:lang w:val="en-US" w:eastAsia="zh-CN"/>
              </w:rPr>
            </w:pPr>
          </w:p>
          <w:p w14:paraId="60F6F06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color w:val="auto"/>
                <w:sz w:val="24"/>
                <w:szCs w:val="24"/>
                <w:highlight w:val="none"/>
                <w:lang w:val="en-US" w:eastAsia="zh-CN"/>
              </w:rPr>
            </w:pPr>
          </w:p>
          <w:p w14:paraId="35088B9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color w:val="auto"/>
                <w:sz w:val="24"/>
                <w:szCs w:val="24"/>
                <w:highlight w:val="none"/>
                <w:lang w:val="en-US" w:eastAsia="zh-CN"/>
              </w:rPr>
            </w:pPr>
          </w:p>
          <w:p w14:paraId="50D77A6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color w:val="auto"/>
                <w:sz w:val="24"/>
                <w:szCs w:val="24"/>
                <w:highlight w:val="none"/>
                <w:lang w:val="en-US" w:eastAsia="zh-CN"/>
              </w:rPr>
            </w:pPr>
          </w:p>
          <w:p w14:paraId="3A12056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color w:val="auto"/>
                <w:sz w:val="24"/>
                <w:szCs w:val="24"/>
                <w:highlight w:val="none"/>
                <w:lang w:val="en-US" w:eastAsia="zh-CN"/>
              </w:rPr>
            </w:pPr>
          </w:p>
          <w:p w14:paraId="12F5D66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color w:val="auto"/>
                <w:sz w:val="24"/>
                <w:szCs w:val="24"/>
                <w:highlight w:val="none"/>
                <w:lang w:val="en-US" w:eastAsia="zh-CN"/>
              </w:rPr>
            </w:pPr>
          </w:p>
          <w:p w14:paraId="76D9998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color w:val="auto"/>
                <w:sz w:val="24"/>
                <w:szCs w:val="24"/>
                <w:highlight w:val="none"/>
                <w:lang w:val="en-US" w:eastAsia="zh-CN"/>
              </w:rPr>
            </w:pPr>
          </w:p>
          <w:p w14:paraId="696108B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color w:val="auto"/>
                <w:sz w:val="24"/>
                <w:szCs w:val="24"/>
                <w:highlight w:val="none"/>
                <w:lang w:val="en-US" w:eastAsia="zh-CN"/>
              </w:rPr>
            </w:pPr>
          </w:p>
          <w:p w14:paraId="12478C0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color w:val="auto"/>
                <w:sz w:val="24"/>
                <w:szCs w:val="24"/>
                <w:highlight w:val="none"/>
                <w:lang w:val="en-US" w:eastAsia="zh-CN"/>
              </w:rPr>
            </w:pPr>
          </w:p>
          <w:p w14:paraId="5466D3E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color w:val="auto"/>
                <w:sz w:val="24"/>
                <w:szCs w:val="24"/>
                <w:highlight w:val="none"/>
                <w:lang w:val="en-US" w:eastAsia="zh-CN"/>
              </w:rPr>
            </w:pPr>
          </w:p>
          <w:p w14:paraId="0D2DED1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color w:val="auto"/>
                <w:sz w:val="24"/>
                <w:szCs w:val="24"/>
                <w:highlight w:val="none"/>
                <w:lang w:val="en-US" w:eastAsia="zh-CN"/>
              </w:rPr>
            </w:pPr>
          </w:p>
          <w:p w14:paraId="7FBB6B2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color w:val="auto"/>
                <w:sz w:val="24"/>
                <w:szCs w:val="24"/>
                <w:highlight w:val="none"/>
                <w:lang w:val="en-US" w:eastAsia="zh-CN"/>
              </w:rPr>
            </w:pPr>
          </w:p>
          <w:p w14:paraId="02F380B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color w:val="auto"/>
                <w:sz w:val="24"/>
                <w:szCs w:val="24"/>
                <w:highlight w:val="none"/>
                <w:lang w:val="en-US" w:eastAsia="zh-CN"/>
              </w:rPr>
            </w:pPr>
          </w:p>
          <w:p w14:paraId="7DC0694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color w:val="auto"/>
                <w:sz w:val="24"/>
                <w:szCs w:val="24"/>
                <w:highlight w:val="none"/>
                <w:lang w:val="en-US" w:eastAsia="zh-CN"/>
              </w:rPr>
            </w:pPr>
          </w:p>
          <w:p w14:paraId="349B91C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color w:val="auto"/>
                <w:sz w:val="24"/>
                <w:szCs w:val="24"/>
                <w:highlight w:val="none"/>
                <w:lang w:val="en-US" w:eastAsia="zh-CN"/>
              </w:rPr>
            </w:pPr>
          </w:p>
          <w:p w14:paraId="03B9CBC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color w:val="FF0000"/>
                <w:sz w:val="24"/>
                <w:szCs w:val="24"/>
                <w:highlight w:val="none"/>
                <w:lang w:val="en-US" w:eastAsia="zh-CN"/>
              </w:rPr>
            </w:pPr>
          </w:p>
        </w:tc>
      </w:tr>
    </w:tbl>
    <w:p w14:paraId="0A21D8C2">
      <w:pPr>
        <w:pStyle w:val="16"/>
        <w:jc w:val="center"/>
        <w:rPr>
          <w:rFonts w:hint="default" w:ascii="Times New Roman" w:hAnsi="Times New Roman" w:eastAsia="黑体" w:cs="Times New Roman"/>
          <w:snapToGrid w:val="0"/>
          <w:color w:val="FF0000"/>
          <w:sz w:val="36"/>
          <w:szCs w:val="36"/>
          <w:highlight w:val="none"/>
        </w:rPr>
        <w:sectPr>
          <w:footerReference r:id="rId7" w:type="default"/>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65D09AD1">
      <w:pPr>
        <w:pStyle w:val="16"/>
        <w:jc w:val="center"/>
        <w:outlineLvl w:val="0"/>
        <w:rPr>
          <w:rFonts w:hint="default" w:ascii="Times New Roman" w:hAnsi="Times New Roman" w:eastAsia="黑体" w:cs="Times New Roman"/>
          <w:snapToGrid w:val="0"/>
          <w:color w:val="000000" w:themeColor="text1"/>
          <w:sz w:val="30"/>
          <w:szCs w:val="30"/>
          <w:highlight w:val="none"/>
          <w14:textFill>
            <w14:solidFill>
              <w14:schemeClr w14:val="tx1"/>
            </w14:solidFill>
          </w14:textFill>
        </w:rPr>
      </w:pPr>
      <w:r>
        <w:rPr>
          <w:rFonts w:hint="default" w:ascii="Times New Roman" w:hAnsi="Times New Roman" w:eastAsia="黑体" w:cs="Times New Roman"/>
          <w:snapToGrid w:val="0"/>
          <w:color w:val="000000" w:themeColor="text1"/>
          <w:sz w:val="30"/>
          <w:szCs w:val="30"/>
          <w:highlight w:val="none"/>
          <w14:textFill>
            <w14:solidFill>
              <w14:schemeClr w14:val="tx1"/>
            </w14:solidFill>
          </w14:textFill>
        </w:rPr>
        <w:t>三、区域环境质量现状、环境保护目标及评价标准</w:t>
      </w:r>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600"/>
      </w:tblGrid>
      <w:tr w14:paraId="3624D2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84" w:hRule="atLeast"/>
          <w:jc w:val="center"/>
        </w:trPr>
        <w:tc>
          <w:tcPr>
            <w:tcW w:w="426" w:type="dxa"/>
            <w:noWrap w:val="0"/>
            <w:vAlign w:val="center"/>
          </w:tcPr>
          <w:p w14:paraId="6F001D25">
            <w:pPr>
              <w:adjustRightInd w:val="0"/>
              <w:snapToGrid w:val="0"/>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区域</w:t>
            </w:r>
          </w:p>
          <w:p w14:paraId="2EE6B3B7">
            <w:pPr>
              <w:adjustRightInd w:val="0"/>
              <w:snapToGrid w:val="0"/>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环境</w:t>
            </w:r>
          </w:p>
          <w:p w14:paraId="4433F6F3">
            <w:pPr>
              <w:adjustRightInd w:val="0"/>
              <w:snapToGrid w:val="0"/>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质量</w:t>
            </w:r>
          </w:p>
          <w:p w14:paraId="0525C968">
            <w:pPr>
              <w:adjustRightInd w:val="0"/>
              <w:snapToGrid w:val="0"/>
              <w:jc w:val="center"/>
              <w:rPr>
                <w:rFonts w:hint="default" w:ascii="Times New Roman" w:hAnsi="Times New Roman" w:cs="Times New Roman"/>
                <w:color w:val="FF0000"/>
                <w:kern w:val="0"/>
                <w:szCs w:val="21"/>
                <w:highlight w:val="none"/>
              </w:rPr>
            </w:pPr>
            <w:r>
              <w:rPr>
                <w:rFonts w:hint="default" w:ascii="Times New Roman" w:hAnsi="Times New Roman" w:cs="Times New Roman"/>
                <w:color w:val="000000" w:themeColor="text1"/>
                <w:kern w:val="0"/>
                <w:szCs w:val="21"/>
                <w:highlight w:val="none"/>
                <w14:textFill>
                  <w14:solidFill>
                    <w14:schemeClr w14:val="tx1"/>
                  </w14:solidFill>
                </w14:textFill>
              </w:rPr>
              <w:t>现状</w:t>
            </w:r>
          </w:p>
        </w:tc>
        <w:tc>
          <w:tcPr>
            <w:tcW w:w="8600" w:type="dxa"/>
            <w:noWrap w:val="0"/>
            <w:vAlign w:val="center"/>
          </w:tcPr>
          <w:p w14:paraId="42A05643">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cs="Times New Roman"/>
                <w:b/>
                <w:bCs/>
                <w:color w:val="000000" w:themeColor="text1"/>
                <w:kern w:val="0"/>
                <w:sz w:val="24"/>
                <w:szCs w:val="24"/>
                <w:highlight w:val="none"/>
                <w14:textFill>
                  <w14:solidFill>
                    <w14:schemeClr w14:val="tx1"/>
                  </w14:solidFill>
                </w14:textFill>
              </w:rPr>
            </w:pPr>
            <w:r>
              <w:rPr>
                <w:rFonts w:hint="default" w:ascii="Times New Roman" w:hAnsi="Times New Roman" w:cs="Times New Roman"/>
                <w:b/>
                <w:bCs/>
                <w:color w:val="000000" w:themeColor="text1"/>
                <w:kern w:val="0"/>
                <w:sz w:val="24"/>
                <w:szCs w:val="24"/>
                <w:highlight w:val="none"/>
                <w14:textFill>
                  <w14:solidFill>
                    <w14:schemeClr w14:val="tx1"/>
                  </w14:solidFill>
                </w14:textFill>
              </w:rPr>
              <w:t>3.1 区域环境质量现状</w:t>
            </w:r>
          </w:p>
          <w:p w14:paraId="23E902A4">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cs="Times New Roman"/>
                <w:b/>
                <w:bCs/>
                <w:color w:val="000000" w:themeColor="text1"/>
                <w:kern w:val="0"/>
                <w:sz w:val="24"/>
                <w:szCs w:val="24"/>
                <w:highlight w:val="none"/>
                <w14:textFill>
                  <w14:solidFill>
                    <w14:schemeClr w14:val="tx1"/>
                  </w14:solidFill>
                </w14:textFill>
              </w:rPr>
            </w:pPr>
            <w:r>
              <w:rPr>
                <w:rFonts w:hint="default" w:ascii="Times New Roman" w:hAnsi="Times New Roman" w:cs="Times New Roman"/>
                <w:b/>
                <w:bCs/>
                <w:color w:val="000000" w:themeColor="text1"/>
                <w:kern w:val="0"/>
                <w:sz w:val="24"/>
                <w:szCs w:val="24"/>
                <w:highlight w:val="none"/>
                <w14:textFill>
                  <w14:solidFill>
                    <w14:schemeClr w14:val="tx1"/>
                  </w14:solidFill>
                </w14:textFill>
              </w:rPr>
              <w:t>3.1.1 大气环境质量现状</w:t>
            </w:r>
          </w:p>
          <w:p w14:paraId="07D23C1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000000" w:themeColor="text1"/>
                <w:kern w:val="0"/>
                <w:sz w:val="24"/>
                <w:szCs w:val="24"/>
                <w:highlight w:val="none"/>
                <w14:textFill>
                  <w14:solidFill>
                    <w14:schemeClr w14:val="tx1"/>
                  </w14:solidFill>
                </w14:textFill>
              </w:rPr>
            </w:pPr>
            <w:r>
              <w:rPr>
                <w:rFonts w:hint="default" w:ascii="Times New Roman" w:hAnsi="Times New Roman" w:cs="Times New Roman"/>
                <w:b w:val="0"/>
                <w:bCs w:val="0"/>
                <w:color w:val="000000" w:themeColor="text1"/>
                <w:kern w:val="0"/>
                <w:sz w:val="24"/>
                <w:szCs w:val="24"/>
                <w:highlight w:val="none"/>
                <w14:textFill>
                  <w14:solidFill>
                    <w14:schemeClr w14:val="tx1"/>
                  </w14:solidFill>
                </w14:textFill>
              </w:rPr>
              <w:t>根据《重庆市环境空气质量功能区划分规定》</w:t>
            </w:r>
            <w:r>
              <w:rPr>
                <w:rFonts w:hint="default" w:ascii="Times New Roman" w:hAnsi="Times New Roman" w:cs="Times New Roman"/>
                <w:b w:val="0"/>
                <w:bCs w:val="0"/>
                <w:color w:val="000000" w:themeColor="text1"/>
                <w:kern w:val="0"/>
                <w:sz w:val="24"/>
                <w:szCs w:val="24"/>
                <w:highlight w:val="none"/>
                <w:lang w:eastAsia="zh-CN"/>
                <w14:textFill>
                  <w14:solidFill>
                    <w14:schemeClr w14:val="tx1"/>
                  </w14:solidFill>
                </w14:textFill>
              </w:rPr>
              <w:t>（</w:t>
            </w:r>
            <w:r>
              <w:rPr>
                <w:rFonts w:hint="default" w:ascii="Times New Roman" w:hAnsi="Times New Roman" w:cs="Times New Roman"/>
                <w:b w:val="0"/>
                <w:bCs w:val="0"/>
                <w:color w:val="000000" w:themeColor="text1"/>
                <w:kern w:val="0"/>
                <w:sz w:val="24"/>
                <w:szCs w:val="24"/>
                <w:highlight w:val="none"/>
                <w14:textFill>
                  <w14:solidFill>
                    <w14:schemeClr w14:val="tx1"/>
                  </w14:solidFill>
                </w14:textFill>
              </w:rPr>
              <w:t>渝府发</w:t>
            </w:r>
            <w:r>
              <w:rPr>
                <w:rFonts w:hint="eastAsia" w:cs="Times New Roman"/>
                <w:b w:val="0"/>
                <w:bCs w:val="0"/>
                <w:color w:val="000000" w:themeColor="text1"/>
                <w:kern w:val="0"/>
                <w:sz w:val="24"/>
                <w:szCs w:val="24"/>
                <w:highlight w:val="none"/>
                <w:lang w:eastAsia="zh-CN"/>
                <w14:textFill>
                  <w14:solidFill>
                    <w14:schemeClr w14:val="tx1"/>
                  </w14:solidFill>
                </w14:textFill>
              </w:rPr>
              <w:t>〔2016〕19号</w:t>
            </w:r>
            <w:r>
              <w:rPr>
                <w:rFonts w:hint="default" w:ascii="Times New Roman" w:hAnsi="Times New Roman" w:cs="Times New Roman"/>
                <w:b w:val="0"/>
                <w:bCs w:val="0"/>
                <w:color w:val="000000" w:themeColor="text1"/>
                <w:kern w:val="0"/>
                <w:sz w:val="24"/>
                <w:szCs w:val="24"/>
                <w:highlight w:val="none"/>
                <w:lang w:eastAsia="zh-CN"/>
                <w14:textFill>
                  <w14:solidFill>
                    <w14:schemeClr w14:val="tx1"/>
                  </w14:solidFill>
                </w14:textFill>
              </w:rPr>
              <w:t>）</w:t>
            </w:r>
            <w:r>
              <w:rPr>
                <w:rFonts w:hint="default" w:ascii="Times New Roman" w:hAnsi="Times New Roman" w:cs="Times New Roman"/>
                <w:b w:val="0"/>
                <w:bCs w:val="0"/>
                <w:color w:val="000000" w:themeColor="text1"/>
                <w:kern w:val="0"/>
                <w:sz w:val="24"/>
                <w:szCs w:val="24"/>
                <w:highlight w:val="none"/>
                <w14:textFill>
                  <w14:solidFill>
                    <w14:schemeClr w14:val="tx1"/>
                  </w14:solidFill>
                </w14:textFill>
              </w:rPr>
              <w:t>等相关文件规定，拟建项目</w:t>
            </w:r>
            <w:r>
              <w:rPr>
                <w:rFonts w:hint="eastAsia" w:cs="Times New Roman"/>
                <w:b w:val="0"/>
                <w:bCs w:val="0"/>
                <w:color w:val="000000" w:themeColor="text1"/>
                <w:kern w:val="0"/>
                <w:sz w:val="24"/>
                <w:szCs w:val="24"/>
                <w:highlight w:val="none"/>
                <w:lang w:val="en-US" w:eastAsia="zh-CN"/>
                <w14:textFill>
                  <w14:solidFill>
                    <w14:schemeClr w14:val="tx1"/>
                  </w14:solidFill>
                </w14:textFill>
              </w:rPr>
              <w:t>位</w:t>
            </w:r>
            <w:r>
              <w:rPr>
                <w:rFonts w:hint="eastAsia"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于</w:t>
            </w:r>
            <w:r>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重庆市</w:t>
            </w:r>
            <w:r>
              <w:rPr>
                <w:rFonts w:hint="eastAsia" w:cs="Times New Roman"/>
                <w:b w:val="0"/>
                <w:bCs w:val="0"/>
                <w:color w:val="000000" w:themeColor="text1"/>
                <w:kern w:val="0"/>
                <w:sz w:val="24"/>
                <w:szCs w:val="24"/>
                <w:highlight w:val="none"/>
                <w:lang w:val="en-US" w:eastAsia="zh-CN"/>
                <w14:textFill>
                  <w14:solidFill>
                    <w14:schemeClr w14:val="tx1"/>
                  </w14:solidFill>
                </w14:textFill>
              </w:rPr>
              <w:t>九龙坡区</w:t>
            </w:r>
            <w:r>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w:t>
            </w:r>
            <w:r>
              <w:rPr>
                <w:rFonts w:hint="default" w:ascii="Times New Roman" w:hAnsi="Times New Roman" w:cs="Times New Roman"/>
                <w:b w:val="0"/>
                <w:bCs w:val="0"/>
                <w:color w:val="000000" w:themeColor="text1"/>
                <w:kern w:val="0"/>
                <w:sz w:val="24"/>
                <w:szCs w:val="24"/>
                <w:highlight w:val="none"/>
                <w14:textFill>
                  <w14:solidFill>
                    <w14:schemeClr w14:val="tx1"/>
                  </w14:solidFill>
                </w14:textFill>
              </w:rPr>
              <w:t>所在区域环境空气功能区划为二类区，环境空气质量常规因子</w:t>
            </w:r>
            <w:r>
              <w:rPr>
                <w:rFonts w:hint="default" w:ascii="Times New Roman" w:hAnsi="Times New Roman" w:eastAsia="宋体" w:cs="Times New Roman"/>
                <w:b w:val="0"/>
                <w:bCs w:val="0"/>
                <w:color w:val="000000" w:themeColor="text1"/>
                <w:kern w:val="0"/>
                <w:sz w:val="24"/>
                <w:szCs w:val="24"/>
                <w:highlight w:val="none"/>
                <w14:textFill>
                  <w14:solidFill>
                    <w14:schemeClr w14:val="tx1"/>
                  </w14:solidFill>
                </w14:textFill>
              </w:rPr>
              <w:t>SO</w:t>
            </w:r>
            <w:r>
              <w:rPr>
                <w:rFonts w:hint="default" w:ascii="Times New Roman" w:hAnsi="Times New Roman" w:eastAsia="宋体" w:cs="Times New Roman"/>
                <w:b w:val="0"/>
                <w:bCs w:val="0"/>
                <w:color w:val="000000" w:themeColor="text1"/>
                <w:kern w:val="0"/>
                <w:sz w:val="24"/>
                <w:szCs w:val="24"/>
                <w:highlight w:val="none"/>
                <w:vertAlign w:val="subscript"/>
                <w14:textFill>
                  <w14:solidFill>
                    <w14:schemeClr w14:val="tx1"/>
                  </w14:solidFill>
                </w14:textFill>
              </w:rPr>
              <w:t>2</w:t>
            </w:r>
            <w:r>
              <w:rPr>
                <w:rFonts w:hint="default" w:ascii="Times New Roman" w:hAnsi="Times New Roman" w:eastAsia="宋体" w:cs="Times New Roman"/>
                <w:b w:val="0"/>
                <w:bCs w:val="0"/>
                <w:color w:val="000000" w:themeColor="text1"/>
                <w:kern w:val="0"/>
                <w:sz w:val="24"/>
                <w:szCs w:val="24"/>
                <w:highlight w:val="none"/>
                <w14:textFill>
                  <w14:solidFill>
                    <w14:schemeClr w14:val="tx1"/>
                  </w14:solidFill>
                </w14:textFill>
              </w:rPr>
              <w:t>、NO</w:t>
            </w:r>
            <w:r>
              <w:rPr>
                <w:rFonts w:hint="default" w:ascii="Times New Roman" w:hAnsi="Times New Roman" w:eastAsia="宋体" w:cs="Times New Roman"/>
                <w:b w:val="0"/>
                <w:bCs w:val="0"/>
                <w:color w:val="000000" w:themeColor="text1"/>
                <w:kern w:val="0"/>
                <w:sz w:val="24"/>
                <w:szCs w:val="24"/>
                <w:highlight w:val="none"/>
                <w:vertAlign w:val="subscript"/>
                <w14:textFill>
                  <w14:solidFill>
                    <w14:schemeClr w14:val="tx1"/>
                  </w14:solidFill>
                </w14:textFill>
              </w:rPr>
              <w:t>2</w:t>
            </w:r>
            <w:r>
              <w:rPr>
                <w:rFonts w:hint="default" w:ascii="Times New Roman" w:hAnsi="Times New Roman" w:eastAsia="宋体" w:cs="Times New Roman"/>
                <w:b w:val="0"/>
                <w:bCs w:val="0"/>
                <w:color w:val="000000" w:themeColor="text1"/>
                <w:kern w:val="0"/>
                <w:sz w:val="24"/>
                <w:szCs w:val="24"/>
                <w:highlight w:val="none"/>
                <w14:textFill>
                  <w14:solidFill>
                    <w14:schemeClr w14:val="tx1"/>
                  </w14:solidFill>
                </w14:textFill>
              </w:rPr>
              <w:t>、PM</w:t>
            </w:r>
            <w:r>
              <w:rPr>
                <w:rFonts w:hint="default" w:ascii="Times New Roman" w:hAnsi="Times New Roman" w:eastAsia="宋体" w:cs="Times New Roman"/>
                <w:b w:val="0"/>
                <w:bCs w:val="0"/>
                <w:color w:val="000000" w:themeColor="text1"/>
                <w:kern w:val="0"/>
                <w:sz w:val="24"/>
                <w:szCs w:val="24"/>
                <w:highlight w:val="none"/>
                <w:vertAlign w:val="subscript"/>
                <w:lang w:val="en-US" w:eastAsia="zh-CN"/>
                <w14:textFill>
                  <w14:solidFill>
                    <w14:schemeClr w14:val="tx1"/>
                  </w14:solidFill>
                </w14:textFill>
              </w:rPr>
              <w:t>10</w:t>
            </w:r>
            <w:r>
              <w:rPr>
                <w:rFonts w:hint="default" w:ascii="Times New Roman" w:hAnsi="Times New Roman" w:eastAsia="宋体" w:cs="Times New Roman"/>
                <w:b w:val="0"/>
                <w:bCs w:val="0"/>
                <w:color w:val="000000" w:themeColor="text1"/>
                <w:kern w:val="0"/>
                <w:sz w:val="24"/>
                <w:szCs w:val="24"/>
                <w:highlight w:val="none"/>
                <w14:textFill>
                  <w14:solidFill>
                    <w14:schemeClr w14:val="tx1"/>
                  </w14:solidFill>
                </w14:textFill>
              </w:rPr>
              <w:t>、PM</w:t>
            </w:r>
            <w:r>
              <w:rPr>
                <w:rFonts w:hint="default" w:ascii="Times New Roman" w:hAnsi="Times New Roman" w:eastAsia="宋体" w:cs="Times New Roman"/>
                <w:b w:val="0"/>
                <w:bCs w:val="0"/>
                <w:color w:val="000000" w:themeColor="text1"/>
                <w:kern w:val="0"/>
                <w:sz w:val="24"/>
                <w:szCs w:val="24"/>
                <w:highlight w:val="none"/>
                <w:vertAlign w:val="subscript"/>
                <w:lang w:val="en-US" w:eastAsia="zh-CN"/>
                <w14:textFill>
                  <w14:solidFill>
                    <w14:schemeClr w14:val="tx1"/>
                  </w14:solidFill>
                </w14:textFill>
              </w:rPr>
              <w:t>2.5</w:t>
            </w:r>
            <w:r>
              <w:rPr>
                <w:rFonts w:hint="default" w:ascii="Times New Roman" w:hAnsi="Times New Roman" w:eastAsia="宋体" w:cs="Times New Roman"/>
                <w:b w:val="0"/>
                <w:bCs w:val="0"/>
                <w:color w:val="000000" w:themeColor="text1"/>
                <w:kern w:val="0"/>
                <w:sz w:val="24"/>
                <w:szCs w:val="24"/>
                <w:highlight w:val="none"/>
                <w14:textFill>
                  <w14:solidFill>
                    <w14:schemeClr w14:val="tx1"/>
                  </w14:solidFill>
                </w14:textFill>
              </w:rPr>
              <w:t>、CO、</w:t>
            </w:r>
            <w:r>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O</w:t>
            </w:r>
            <w:r>
              <w:rPr>
                <w:rFonts w:hint="default" w:ascii="Times New Roman" w:hAnsi="Times New Roman" w:eastAsia="宋体" w:cs="Times New Roman"/>
                <w:b w:val="0"/>
                <w:bCs w:val="0"/>
                <w:color w:val="000000" w:themeColor="text1"/>
                <w:kern w:val="0"/>
                <w:sz w:val="24"/>
                <w:szCs w:val="24"/>
                <w:highlight w:val="none"/>
                <w:vertAlign w:val="subscript"/>
                <w:lang w:val="en-US" w:eastAsia="zh-CN"/>
                <w14:textFill>
                  <w14:solidFill>
                    <w14:schemeClr w14:val="tx1"/>
                  </w14:solidFill>
                </w14:textFill>
              </w:rPr>
              <w:t>3</w:t>
            </w:r>
            <w:r>
              <w:rPr>
                <w:rFonts w:hint="default" w:ascii="Times New Roman" w:hAnsi="Times New Roman" w:cs="Times New Roman"/>
                <w:b w:val="0"/>
                <w:bCs w:val="0"/>
                <w:color w:val="000000" w:themeColor="text1"/>
                <w:kern w:val="0"/>
                <w:sz w:val="24"/>
                <w:szCs w:val="24"/>
                <w:highlight w:val="none"/>
                <w14:textFill>
                  <w14:solidFill>
                    <w14:schemeClr w14:val="tx1"/>
                  </w14:solidFill>
                </w14:textFill>
              </w:rPr>
              <w:t>执行《环境空气质量标准》</w:t>
            </w:r>
            <w:r>
              <w:rPr>
                <w:rFonts w:hint="default" w:ascii="Times New Roman" w:hAnsi="Times New Roman" w:cs="Times New Roman"/>
                <w:b w:val="0"/>
                <w:bCs w:val="0"/>
                <w:color w:val="000000" w:themeColor="text1"/>
                <w:kern w:val="0"/>
                <w:sz w:val="24"/>
                <w:szCs w:val="24"/>
                <w:highlight w:val="none"/>
                <w:lang w:eastAsia="zh-CN"/>
                <w14:textFill>
                  <w14:solidFill>
                    <w14:schemeClr w14:val="tx1"/>
                  </w14:solidFill>
                </w14:textFill>
              </w:rPr>
              <w:t>（</w:t>
            </w:r>
            <w:r>
              <w:rPr>
                <w:rFonts w:hint="default" w:ascii="Times New Roman" w:hAnsi="Times New Roman" w:cs="Times New Roman"/>
                <w:b w:val="0"/>
                <w:bCs w:val="0"/>
                <w:color w:val="000000" w:themeColor="text1"/>
                <w:kern w:val="0"/>
                <w:sz w:val="24"/>
                <w:szCs w:val="24"/>
                <w:highlight w:val="none"/>
                <w14:textFill>
                  <w14:solidFill>
                    <w14:schemeClr w14:val="tx1"/>
                  </w14:solidFill>
                </w14:textFill>
              </w:rPr>
              <w:t>GB3095-2012</w:t>
            </w:r>
            <w:r>
              <w:rPr>
                <w:rFonts w:hint="default" w:ascii="Times New Roman" w:hAnsi="Times New Roman" w:cs="Times New Roman"/>
                <w:b w:val="0"/>
                <w:bCs w:val="0"/>
                <w:color w:val="000000" w:themeColor="text1"/>
                <w:kern w:val="0"/>
                <w:sz w:val="24"/>
                <w:szCs w:val="24"/>
                <w:highlight w:val="none"/>
                <w:lang w:eastAsia="zh-CN"/>
                <w14:textFill>
                  <w14:solidFill>
                    <w14:schemeClr w14:val="tx1"/>
                  </w14:solidFill>
                </w14:textFill>
              </w:rPr>
              <w:t>）</w:t>
            </w:r>
            <w:r>
              <w:rPr>
                <w:rFonts w:hint="default" w:ascii="Times New Roman" w:hAnsi="Times New Roman" w:cs="Times New Roman"/>
                <w:b w:val="0"/>
                <w:bCs w:val="0"/>
                <w:color w:val="000000" w:themeColor="text1"/>
                <w:kern w:val="0"/>
                <w:sz w:val="24"/>
                <w:szCs w:val="24"/>
                <w:highlight w:val="none"/>
                <w14:textFill>
                  <w14:solidFill>
                    <w14:schemeClr w14:val="tx1"/>
                  </w14:solidFill>
                </w14:textFill>
              </w:rPr>
              <w:t>二级标准。</w:t>
            </w:r>
          </w:p>
          <w:p w14:paraId="788E048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highlight w:val="none"/>
                <w14:textFill>
                  <w14:solidFill>
                    <w14:schemeClr w14:val="tx1"/>
                  </w14:solidFill>
                </w14:textFill>
              </w:rPr>
              <w:t>本次评价引用《202</w:t>
            </w:r>
            <w:r>
              <w:rPr>
                <w:rFonts w:hint="eastAsia" w:cs="Times New Roman"/>
                <w:b w:val="0"/>
                <w:bCs w:val="0"/>
                <w:color w:val="000000" w:themeColor="text1"/>
                <w:kern w:val="0"/>
                <w:sz w:val="24"/>
                <w:szCs w:val="24"/>
                <w:highlight w:val="none"/>
                <w:lang w:val="en-US" w:eastAsia="zh-CN"/>
                <w14:textFill>
                  <w14:solidFill>
                    <w14:schemeClr w14:val="tx1"/>
                  </w14:solidFill>
                </w14:textFill>
              </w:rPr>
              <w:t>4</w:t>
            </w:r>
            <w:r>
              <w:rPr>
                <w:rFonts w:hint="default" w:ascii="Times New Roman" w:hAnsi="Times New Roman" w:eastAsia="宋体" w:cs="Times New Roman"/>
                <w:b w:val="0"/>
                <w:bCs w:val="0"/>
                <w:color w:val="000000" w:themeColor="text1"/>
                <w:kern w:val="0"/>
                <w:sz w:val="24"/>
                <w:szCs w:val="24"/>
                <w:highlight w:val="none"/>
                <w14:textFill>
                  <w14:solidFill>
                    <w14:schemeClr w14:val="tx1"/>
                  </w14:solidFill>
                </w14:textFill>
              </w:rPr>
              <w:t>年重庆市生态环境状况公报》中</w:t>
            </w:r>
            <w:r>
              <w:rPr>
                <w:rFonts w:hint="eastAsia" w:cs="Times New Roman"/>
                <w:b w:val="0"/>
                <w:bCs w:val="0"/>
                <w:color w:val="000000" w:themeColor="text1"/>
                <w:kern w:val="0"/>
                <w:sz w:val="24"/>
                <w:szCs w:val="24"/>
                <w:highlight w:val="none"/>
                <w:lang w:val="en-US" w:eastAsia="zh-CN"/>
                <w14:textFill>
                  <w14:solidFill>
                    <w14:schemeClr w14:val="tx1"/>
                  </w14:solidFill>
                </w14:textFill>
              </w:rPr>
              <w:t>九龙坡区</w:t>
            </w:r>
            <w:r>
              <w:rPr>
                <w:rFonts w:hint="default" w:ascii="Times New Roman" w:hAnsi="Times New Roman" w:eastAsia="宋体" w:cs="Times New Roman"/>
                <w:b w:val="0"/>
                <w:bCs w:val="0"/>
                <w:color w:val="000000" w:themeColor="text1"/>
                <w:kern w:val="0"/>
                <w:sz w:val="24"/>
                <w:szCs w:val="24"/>
                <w:highlight w:val="none"/>
                <w14:textFill>
                  <w14:solidFill>
                    <w14:schemeClr w14:val="tx1"/>
                  </w14:solidFill>
                </w14:textFill>
              </w:rPr>
              <w:t>大气基本污染物</w:t>
            </w:r>
            <w:r>
              <w:rPr>
                <w:rFonts w:hint="default" w:ascii="Times New Roman" w:hAnsi="Times New Roman" w:eastAsia="宋体" w:cs="Times New Roman"/>
                <w:b w:val="0"/>
                <w:bCs w:val="0"/>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4"/>
                <w:szCs w:val="24"/>
                <w:highlight w:val="none"/>
                <w14:textFill>
                  <w14:solidFill>
                    <w14:schemeClr w14:val="tx1"/>
                  </w14:solidFill>
                </w14:textFill>
              </w:rPr>
              <w:t>SO</w:t>
            </w:r>
            <w:r>
              <w:rPr>
                <w:rFonts w:hint="default" w:ascii="Times New Roman" w:hAnsi="Times New Roman" w:eastAsia="宋体" w:cs="Times New Roman"/>
                <w:b w:val="0"/>
                <w:bCs w:val="0"/>
                <w:color w:val="000000" w:themeColor="text1"/>
                <w:kern w:val="0"/>
                <w:sz w:val="24"/>
                <w:szCs w:val="24"/>
                <w:highlight w:val="none"/>
                <w:vertAlign w:val="subscript"/>
                <w14:textFill>
                  <w14:solidFill>
                    <w14:schemeClr w14:val="tx1"/>
                  </w14:solidFill>
                </w14:textFill>
              </w:rPr>
              <w:t>2</w:t>
            </w:r>
            <w:r>
              <w:rPr>
                <w:rFonts w:hint="default" w:ascii="Times New Roman" w:hAnsi="Times New Roman" w:eastAsia="宋体" w:cs="Times New Roman"/>
                <w:b w:val="0"/>
                <w:bCs w:val="0"/>
                <w:color w:val="000000" w:themeColor="text1"/>
                <w:kern w:val="0"/>
                <w:sz w:val="24"/>
                <w:szCs w:val="24"/>
                <w:highlight w:val="none"/>
                <w14:textFill>
                  <w14:solidFill>
                    <w14:schemeClr w14:val="tx1"/>
                  </w14:solidFill>
                </w14:textFill>
              </w:rPr>
              <w:t>、NO</w:t>
            </w:r>
            <w:r>
              <w:rPr>
                <w:rFonts w:hint="default" w:ascii="Times New Roman" w:hAnsi="Times New Roman" w:eastAsia="宋体" w:cs="Times New Roman"/>
                <w:b w:val="0"/>
                <w:bCs w:val="0"/>
                <w:color w:val="000000" w:themeColor="text1"/>
                <w:kern w:val="0"/>
                <w:sz w:val="24"/>
                <w:szCs w:val="24"/>
                <w:highlight w:val="none"/>
                <w:vertAlign w:val="subscript"/>
                <w14:textFill>
                  <w14:solidFill>
                    <w14:schemeClr w14:val="tx1"/>
                  </w14:solidFill>
                </w14:textFill>
              </w:rPr>
              <w:t>2</w:t>
            </w:r>
            <w:r>
              <w:rPr>
                <w:rFonts w:hint="default" w:ascii="Times New Roman" w:hAnsi="Times New Roman" w:eastAsia="宋体" w:cs="Times New Roman"/>
                <w:b w:val="0"/>
                <w:bCs w:val="0"/>
                <w:color w:val="000000" w:themeColor="text1"/>
                <w:kern w:val="0"/>
                <w:sz w:val="24"/>
                <w:szCs w:val="24"/>
                <w:highlight w:val="none"/>
                <w14:textFill>
                  <w14:solidFill>
                    <w14:schemeClr w14:val="tx1"/>
                  </w14:solidFill>
                </w14:textFill>
              </w:rPr>
              <w:t>、PM</w:t>
            </w:r>
            <w:r>
              <w:rPr>
                <w:rFonts w:hint="default" w:ascii="Times New Roman" w:hAnsi="Times New Roman" w:eastAsia="宋体" w:cs="Times New Roman"/>
                <w:b w:val="0"/>
                <w:bCs w:val="0"/>
                <w:color w:val="000000" w:themeColor="text1"/>
                <w:kern w:val="0"/>
                <w:sz w:val="24"/>
                <w:szCs w:val="24"/>
                <w:highlight w:val="none"/>
                <w:vertAlign w:val="subscript"/>
                <w:lang w:val="en-US" w:eastAsia="zh-CN"/>
                <w14:textFill>
                  <w14:solidFill>
                    <w14:schemeClr w14:val="tx1"/>
                  </w14:solidFill>
                </w14:textFill>
              </w:rPr>
              <w:t>10</w:t>
            </w:r>
            <w:r>
              <w:rPr>
                <w:rFonts w:hint="default" w:ascii="Times New Roman" w:hAnsi="Times New Roman" w:eastAsia="宋体" w:cs="Times New Roman"/>
                <w:b w:val="0"/>
                <w:bCs w:val="0"/>
                <w:color w:val="000000" w:themeColor="text1"/>
                <w:kern w:val="0"/>
                <w:sz w:val="24"/>
                <w:szCs w:val="24"/>
                <w:highlight w:val="none"/>
                <w14:textFill>
                  <w14:solidFill>
                    <w14:schemeClr w14:val="tx1"/>
                  </w14:solidFill>
                </w14:textFill>
              </w:rPr>
              <w:t>、PM</w:t>
            </w:r>
            <w:r>
              <w:rPr>
                <w:rFonts w:hint="default" w:ascii="Times New Roman" w:hAnsi="Times New Roman" w:eastAsia="宋体" w:cs="Times New Roman"/>
                <w:b w:val="0"/>
                <w:bCs w:val="0"/>
                <w:color w:val="000000" w:themeColor="text1"/>
                <w:kern w:val="0"/>
                <w:sz w:val="24"/>
                <w:szCs w:val="24"/>
                <w:highlight w:val="none"/>
                <w:vertAlign w:val="subscript"/>
                <w:lang w:val="en-US" w:eastAsia="zh-CN"/>
                <w14:textFill>
                  <w14:solidFill>
                    <w14:schemeClr w14:val="tx1"/>
                  </w14:solidFill>
                </w14:textFill>
              </w:rPr>
              <w:t>2.5</w:t>
            </w:r>
            <w:r>
              <w:rPr>
                <w:rFonts w:hint="default" w:ascii="Times New Roman" w:hAnsi="Times New Roman" w:eastAsia="宋体" w:cs="Times New Roman"/>
                <w:b w:val="0"/>
                <w:bCs w:val="0"/>
                <w:color w:val="000000" w:themeColor="text1"/>
                <w:kern w:val="0"/>
                <w:sz w:val="24"/>
                <w:szCs w:val="24"/>
                <w:highlight w:val="none"/>
                <w14:textFill>
                  <w14:solidFill>
                    <w14:schemeClr w14:val="tx1"/>
                  </w14:solidFill>
                </w14:textFill>
              </w:rPr>
              <w:t>、CO、</w:t>
            </w:r>
            <w:r>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O</w:t>
            </w:r>
            <w:r>
              <w:rPr>
                <w:rFonts w:hint="default" w:ascii="Times New Roman" w:hAnsi="Times New Roman" w:eastAsia="宋体" w:cs="Times New Roman"/>
                <w:b w:val="0"/>
                <w:bCs w:val="0"/>
                <w:color w:val="000000" w:themeColor="text1"/>
                <w:kern w:val="0"/>
                <w:sz w:val="24"/>
                <w:szCs w:val="24"/>
                <w:highlight w:val="none"/>
                <w:vertAlign w:val="sub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kern w:val="0"/>
                <w:sz w:val="24"/>
                <w:szCs w:val="24"/>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4"/>
                <w:szCs w:val="24"/>
                <w:highlight w:val="none"/>
                <w14:textFill>
                  <w14:solidFill>
                    <w14:schemeClr w14:val="tx1"/>
                  </w14:solidFill>
                </w14:textFill>
              </w:rPr>
              <w:t>的数据作为达标区判定的主要依据</w:t>
            </w:r>
            <w:r>
              <w:rPr>
                <w:rFonts w:hint="default" w:ascii="Times New Roman" w:hAnsi="Times New Roman" w:eastAsia="宋体" w:cs="Times New Roman"/>
                <w:b w:val="0"/>
                <w:bCs w:val="0"/>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4"/>
                <w:szCs w:val="24"/>
                <w:highlight w:val="none"/>
                <w14:textFill>
                  <w14:solidFill>
                    <w14:schemeClr w14:val="tx1"/>
                  </w14:solidFill>
                </w14:textFill>
              </w:rPr>
              <w:t>见表 3.1-1。</w:t>
            </w:r>
          </w:p>
          <w:p w14:paraId="3FCA473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000000" w:themeColor="text1"/>
                <w:kern w:val="0"/>
                <w:sz w:val="24"/>
                <w:szCs w:val="24"/>
                <w:highlight w:val="none"/>
                <w14:textFill>
                  <w14:solidFill>
                    <w14:schemeClr w14:val="tx1"/>
                  </w14:solidFill>
                </w14:textFill>
              </w:rPr>
            </w:pPr>
            <w:r>
              <w:rPr>
                <w:rFonts w:hint="default" w:ascii="Times New Roman" w:hAnsi="Times New Roman" w:cs="Times New Roman"/>
                <w:b/>
                <w:bCs/>
                <w:color w:val="000000" w:themeColor="text1"/>
                <w:kern w:val="0"/>
                <w:sz w:val="24"/>
                <w:szCs w:val="24"/>
                <w:highlight w:val="none"/>
                <w14:textFill>
                  <w14:solidFill>
                    <w14:schemeClr w14:val="tx1"/>
                  </w14:solidFill>
                </w14:textFill>
              </w:rPr>
              <w:t>表3.1-1</w:t>
            </w:r>
            <w:r>
              <w:rPr>
                <w:rFonts w:hint="eastAsia" w:cs="Times New Roman"/>
                <w:b/>
                <w:bCs/>
                <w:color w:val="000000" w:themeColor="text1"/>
                <w:kern w:val="0"/>
                <w:sz w:val="24"/>
                <w:szCs w:val="24"/>
                <w:highlight w:val="none"/>
                <w:lang w:val="en-US" w:eastAsia="zh-CN"/>
                <w14:textFill>
                  <w14:solidFill>
                    <w14:schemeClr w14:val="tx1"/>
                  </w14:solidFill>
                </w14:textFill>
              </w:rPr>
              <w:t>九龙坡</w:t>
            </w:r>
            <w:r>
              <w:rPr>
                <w:rFonts w:hint="default" w:ascii="Times New Roman" w:hAnsi="Times New Roman" w:cs="Times New Roman"/>
                <w:b/>
                <w:bCs/>
                <w:color w:val="000000" w:themeColor="text1"/>
                <w:kern w:val="0"/>
                <w:sz w:val="24"/>
                <w:szCs w:val="24"/>
                <w:highlight w:val="none"/>
                <w:lang w:val="en-US" w:eastAsia="zh-CN"/>
                <w14:textFill>
                  <w14:solidFill>
                    <w14:schemeClr w14:val="tx1"/>
                  </w14:solidFill>
                </w14:textFill>
              </w:rPr>
              <w:t>区</w:t>
            </w:r>
            <w:r>
              <w:rPr>
                <w:rFonts w:hint="default" w:ascii="Times New Roman" w:hAnsi="Times New Roman" w:cs="Times New Roman"/>
                <w:b/>
                <w:bCs/>
                <w:color w:val="000000" w:themeColor="text1"/>
                <w:kern w:val="0"/>
                <w:sz w:val="24"/>
                <w:szCs w:val="24"/>
                <w:highlight w:val="none"/>
                <w14:textFill>
                  <w14:solidFill>
                    <w14:schemeClr w14:val="tx1"/>
                  </w14:solidFill>
                </w14:textFill>
              </w:rPr>
              <w:t>2023年环境质量状况</w:t>
            </w:r>
          </w:p>
          <w:tbl>
            <w:tblPr>
              <w:tblStyle w:val="47"/>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795"/>
              <w:gridCol w:w="2928"/>
              <w:gridCol w:w="1382"/>
              <w:gridCol w:w="1257"/>
              <w:gridCol w:w="993"/>
              <w:gridCol w:w="996"/>
            </w:tblGrid>
            <w:tr w14:paraId="5D7EC73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76" w:type="pct"/>
                  <w:tcBorders>
                    <w:tl2br w:val="nil"/>
                    <w:tr2bl w:val="nil"/>
                  </w:tcBorders>
                  <w:noWrap w:val="0"/>
                  <w:vAlign w:val="center"/>
                </w:tcPr>
                <w:p w14:paraId="2DC5AF4F">
                  <w:pPr>
                    <w:pStyle w:val="46"/>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14:textFill>
                        <w14:solidFill>
                          <w14:schemeClr w14:val="tx1"/>
                        </w14:solidFill>
                      </w14:textFill>
                    </w:rPr>
                    <w:t>污染</w:t>
                  </w:r>
                  <w:r>
                    <w:rPr>
                      <w:rFonts w:hint="default" w:ascii="Times New Roman" w:hAnsi="Times New Roman" w:eastAsia="宋体" w:cs="Times New Roman"/>
                      <w:color w:val="000000" w:themeColor="text1"/>
                      <w:sz w:val="21"/>
                      <w:szCs w:val="21"/>
                      <w:highlight w:val="none"/>
                      <w14:textFill>
                        <w14:solidFill>
                          <w14:schemeClr w14:val="tx1"/>
                        </w14:solidFill>
                      </w14:textFill>
                    </w:rPr>
                    <w:t>物</w:t>
                  </w:r>
                </w:p>
              </w:tc>
              <w:tc>
                <w:tcPr>
                  <w:tcW w:w="1752" w:type="pct"/>
                  <w:tcBorders>
                    <w:tl2br w:val="nil"/>
                    <w:tr2bl w:val="nil"/>
                  </w:tcBorders>
                  <w:noWrap w:val="0"/>
                  <w:vAlign w:val="center"/>
                </w:tcPr>
                <w:p w14:paraId="0BE7C486">
                  <w:pPr>
                    <w:pStyle w:val="46"/>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14:textFill>
                        <w14:solidFill>
                          <w14:schemeClr w14:val="tx1"/>
                        </w14:solidFill>
                      </w14:textFill>
                    </w:rPr>
                    <w:t>年评价指标</w:t>
                  </w:r>
                </w:p>
              </w:tc>
              <w:tc>
                <w:tcPr>
                  <w:tcW w:w="827" w:type="pct"/>
                  <w:tcBorders>
                    <w:tl2br w:val="nil"/>
                    <w:tr2bl w:val="nil"/>
                  </w:tcBorders>
                  <w:noWrap w:val="0"/>
                  <w:vAlign w:val="center"/>
                </w:tcPr>
                <w:p w14:paraId="2FA1180B">
                  <w:pPr>
                    <w:pStyle w:val="46"/>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14:textFill>
                        <w14:solidFill>
                          <w14:schemeClr w14:val="tx1"/>
                        </w14:solidFill>
                      </w14:textFill>
                    </w:rPr>
                    <w:t>现状浓度</w:t>
                  </w: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 xml:space="preserve">  </w:t>
                  </w:r>
                  <w:r>
                    <w:rPr>
                      <w:rFonts w:hint="default" w:ascii="Times New Roman" w:hAnsi="Times New Roman" w:eastAsia="宋体" w:cs="Times New Roman"/>
                      <w:color w:val="000000" w:themeColor="text1"/>
                      <w:spacing w:val="-11"/>
                      <w:sz w:val="21"/>
                      <w:szCs w:val="21"/>
                      <w:highlight w:val="none"/>
                      <w14:textFill>
                        <w14:solidFill>
                          <w14:schemeClr w14:val="tx1"/>
                        </w14:solidFill>
                      </w14:textFill>
                    </w:rPr>
                    <w:t>( μg/m</w:t>
                  </w:r>
                  <w:r>
                    <w:rPr>
                      <w:rFonts w:hint="default" w:ascii="Times New Roman" w:hAnsi="Times New Roman" w:eastAsia="宋体" w:cs="Times New Roman"/>
                      <w:color w:val="000000" w:themeColor="text1"/>
                      <w:spacing w:val="-11"/>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pacing w:val="-11"/>
                      <w:sz w:val="21"/>
                      <w:szCs w:val="21"/>
                      <w:highlight w:val="none"/>
                      <w14:textFill>
                        <w14:solidFill>
                          <w14:schemeClr w14:val="tx1"/>
                        </w14:solidFill>
                      </w14:textFill>
                    </w:rPr>
                    <w:t>）</w:t>
                  </w:r>
                </w:p>
              </w:tc>
              <w:tc>
                <w:tcPr>
                  <w:tcW w:w="752" w:type="pct"/>
                  <w:tcBorders>
                    <w:tl2br w:val="nil"/>
                    <w:tr2bl w:val="nil"/>
                  </w:tcBorders>
                  <w:noWrap w:val="0"/>
                  <w:vAlign w:val="center"/>
                </w:tcPr>
                <w:p w14:paraId="5619B8DA">
                  <w:pPr>
                    <w:pStyle w:val="46"/>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14:textFill>
                        <w14:solidFill>
                          <w14:schemeClr w14:val="tx1"/>
                        </w14:solidFill>
                      </w14:textFill>
                    </w:rPr>
                    <w:t>标准值</w:t>
                  </w:r>
                  <w:r>
                    <w:rPr>
                      <w:rFonts w:hint="default" w:ascii="Times New Roman" w:hAnsi="Times New Roman" w:eastAsia="宋体" w:cs="Times New Roman"/>
                      <w:color w:val="000000" w:themeColor="text1"/>
                      <w:sz w:val="21"/>
                      <w:szCs w:val="21"/>
                      <w:highlight w:val="none"/>
                      <w14:textFill>
                        <w14:solidFill>
                          <w14:schemeClr w14:val="tx1"/>
                        </w14:solidFill>
                      </w14:textFill>
                    </w:rPr>
                    <w:t xml:space="preserve">  </w:t>
                  </w:r>
                  <w:r>
                    <w:rPr>
                      <w:rFonts w:hint="default" w:ascii="Times New Roman" w:hAnsi="Times New Roman" w:eastAsia="宋体" w:cs="Times New Roman"/>
                      <w:color w:val="000000" w:themeColor="text1"/>
                      <w:spacing w:val="-14"/>
                      <w:sz w:val="21"/>
                      <w:szCs w:val="21"/>
                      <w:highlight w:val="none"/>
                      <w14:textFill>
                        <w14:solidFill>
                          <w14:schemeClr w14:val="tx1"/>
                        </w14:solidFill>
                      </w14:textFill>
                    </w:rPr>
                    <w:t>( μg/m</w:t>
                  </w:r>
                  <w:r>
                    <w:rPr>
                      <w:rFonts w:hint="default" w:ascii="Times New Roman" w:hAnsi="Times New Roman" w:cs="Times New Roman"/>
                      <w:color w:val="000000" w:themeColor="text1"/>
                      <w:spacing w:val="-14"/>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pacing w:val="-4"/>
                      <w:sz w:val="21"/>
                      <w:szCs w:val="21"/>
                      <w:highlight w:val="none"/>
                      <w14:textFill>
                        <w14:solidFill>
                          <w14:schemeClr w14:val="tx1"/>
                        </w14:solidFill>
                      </w14:textFill>
                    </w:rPr>
                    <w:t>）</w:t>
                  </w:r>
                </w:p>
              </w:tc>
              <w:tc>
                <w:tcPr>
                  <w:tcW w:w="594" w:type="pct"/>
                  <w:tcBorders>
                    <w:tl2br w:val="nil"/>
                    <w:tr2bl w:val="nil"/>
                  </w:tcBorders>
                  <w:noWrap w:val="0"/>
                  <w:vAlign w:val="center"/>
                </w:tcPr>
                <w:p w14:paraId="3B518593">
                  <w:pPr>
                    <w:pStyle w:val="46"/>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5"/>
                      <w:sz w:val="21"/>
                      <w:szCs w:val="21"/>
                      <w:highlight w:val="none"/>
                      <w14:textFill>
                        <w14:solidFill>
                          <w14:schemeClr w14:val="tx1"/>
                        </w14:solidFill>
                      </w14:textFill>
                    </w:rPr>
                    <w:t>占标率</w:t>
                  </w:r>
                  <w:r>
                    <w:rPr>
                      <w:rFonts w:hint="default" w:ascii="Times New Roman" w:hAnsi="Times New Roman" w:eastAsia="宋体" w:cs="Times New Roman"/>
                      <w:color w:val="000000" w:themeColor="text1"/>
                      <w:sz w:val="21"/>
                      <w:szCs w:val="21"/>
                      <w:highlight w:val="none"/>
                      <w14:textFill>
                        <w14:solidFill>
                          <w14:schemeClr w14:val="tx1"/>
                        </w14:solidFill>
                      </w14:textFill>
                    </w:rPr>
                    <w:t xml:space="preserve"> </w:t>
                  </w: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w:t>
                  </w:r>
                </w:p>
              </w:tc>
              <w:tc>
                <w:tcPr>
                  <w:tcW w:w="596" w:type="pct"/>
                  <w:tcBorders>
                    <w:tl2br w:val="nil"/>
                    <w:tr2bl w:val="nil"/>
                  </w:tcBorders>
                  <w:noWrap w:val="0"/>
                  <w:vAlign w:val="center"/>
                </w:tcPr>
                <w:p w14:paraId="09C23EB8">
                  <w:pPr>
                    <w:pStyle w:val="46"/>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5"/>
                      <w:sz w:val="21"/>
                      <w:szCs w:val="21"/>
                      <w:highlight w:val="none"/>
                      <w14:textFill>
                        <w14:solidFill>
                          <w14:schemeClr w14:val="tx1"/>
                        </w14:solidFill>
                      </w14:textFill>
                    </w:rPr>
                    <w:t>达标</w:t>
                  </w:r>
                  <w:r>
                    <w:rPr>
                      <w:rFonts w:hint="default" w:ascii="Times New Roman" w:hAnsi="Times New Roman" w:eastAsia="宋体" w:cs="Times New Roman"/>
                      <w:color w:val="000000" w:themeColor="text1"/>
                      <w:sz w:val="21"/>
                      <w:szCs w:val="21"/>
                      <w:highlight w:val="none"/>
                      <w14:textFill>
                        <w14:solidFill>
                          <w14:schemeClr w14:val="tx1"/>
                        </w14:solidFill>
                      </w14:textFill>
                    </w:rPr>
                    <w:t xml:space="preserve"> </w:t>
                  </w:r>
                  <w:r>
                    <w:rPr>
                      <w:rFonts w:hint="default" w:ascii="Times New Roman" w:hAnsi="Times New Roman" w:eastAsia="宋体" w:cs="Times New Roman"/>
                      <w:color w:val="000000" w:themeColor="text1"/>
                      <w:spacing w:val="5"/>
                      <w:sz w:val="21"/>
                      <w:szCs w:val="21"/>
                      <w:highlight w:val="none"/>
                      <w14:textFill>
                        <w14:solidFill>
                          <w14:schemeClr w14:val="tx1"/>
                        </w14:solidFill>
                      </w14:textFill>
                    </w:rPr>
                    <w:t>情况</w:t>
                  </w:r>
                </w:p>
              </w:tc>
            </w:tr>
            <w:tr w14:paraId="06EF868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76" w:type="pct"/>
                  <w:tcBorders>
                    <w:tl2br w:val="nil"/>
                    <w:tr2bl w:val="nil"/>
                  </w:tcBorders>
                  <w:noWrap w:val="0"/>
                  <w:vAlign w:val="center"/>
                </w:tcPr>
                <w:p w14:paraId="2CBB1448">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14:textFill>
                        <w14:solidFill>
                          <w14:schemeClr w14:val="tx1"/>
                        </w14:solidFill>
                      </w14:textFill>
                    </w:rPr>
                    <w:t>SO</w:t>
                  </w:r>
                  <w:r>
                    <w:rPr>
                      <w:rFonts w:hint="default" w:ascii="Times New Roman" w:hAnsi="Times New Roman" w:cs="Times New Roman"/>
                      <w:b w:val="0"/>
                      <w:bCs w:val="0"/>
                      <w:color w:val="000000" w:themeColor="text1"/>
                      <w:kern w:val="0"/>
                      <w:sz w:val="21"/>
                      <w:szCs w:val="21"/>
                      <w:highlight w:val="none"/>
                      <w:vertAlign w:val="subscript"/>
                      <w14:textFill>
                        <w14:solidFill>
                          <w14:schemeClr w14:val="tx1"/>
                        </w14:solidFill>
                      </w14:textFill>
                    </w:rPr>
                    <w:t>2</w:t>
                  </w:r>
                </w:p>
              </w:tc>
              <w:tc>
                <w:tcPr>
                  <w:tcW w:w="1752" w:type="pct"/>
                  <w:vMerge w:val="restart"/>
                  <w:tcBorders>
                    <w:tl2br w:val="nil"/>
                    <w:tr2bl w:val="nil"/>
                  </w:tcBorders>
                  <w:noWrap w:val="0"/>
                  <w:vAlign w:val="center"/>
                </w:tcPr>
                <w:p w14:paraId="6BF6182C">
                  <w:pPr>
                    <w:pStyle w:val="46"/>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8"/>
                      <w:sz w:val="21"/>
                      <w:szCs w:val="21"/>
                      <w:highlight w:val="none"/>
                      <w14:textFill>
                        <w14:solidFill>
                          <w14:schemeClr w14:val="tx1"/>
                        </w14:solidFill>
                      </w14:textFill>
                    </w:rPr>
                    <w:t>年评价质量浓度</w:t>
                  </w:r>
                </w:p>
              </w:tc>
              <w:tc>
                <w:tcPr>
                  <w:tcW w:w="827" w:type="pct"/>
                  <w:tcBorders>
                    <w:tl2br w:val="nil"/>
                    <w:tr2bl w:val="nil"/>
                  </w:tcBorders>
                  <w:noWrap w:val="0"/>
                  <w:vAlign w:val="center"/>
                </w:tcPr>
                <w:p w14:paraId="3730F04A">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8</w:t>
                  </w:r>
                </w:p>
              </w:tc>
              <w:tc>
                <w:tcPr>
                  <w:tcW w:w="752" w:type="pct"/>
                  <w:tcBorders>
                    <w:tl2br w:val="nil"/>
                    <w:tr2bl w:val="nil"/>
                  </w:tcBorders>
                  <w:noWrap w:val="0"/>
                  <w:vAlign w:val="center"/>
                </w:tcPr>
                <w:p w14:paraId="5DF8690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60</w:t>
                  </w:r>
                </w:p>
              </w:tc>
              <w:tc>
                <w:tcPr>
                  <w:tcW w:w="993" w:type="dxa"/>
                  <w:tcBorders>
                    <w:tl2br w:val="nil"/>
                    <w:tr2bl w:val="nil"/>
                  </w:tcBorders>
                  <w:noWrap w:val="0"/>
                  <w:vAlign w:val="center"/>
                </w:tcPr>
                <w:p w14:paraId="48FD3D58">
                  <w:pPr>
                    <w:bidi w:val="0"/>
                    <w:jc w:val="center"/>
                    <w:rPr>
                      <w:rFonts w:hint="default"/>
                      <w:lang w:val="en-US" w:eastAsia="zh-CN"/>
                    </w:rPr>
                  </w:pPr>
                  <w:r>
                    <w:rPr>
                      <w:rFonts w:hint="eastAsia"/>
                      <w:lang w:val="en-US" w:eastAsia="zh-CN"/>
                    </w:rPr>
                    <w:t>13.3</w:t>
                  </w:r>
                </w:p>
              </w:tc>
              <w:tc>
                <w:tcPr>
                  <w:tcW w:w="596" w:type="pct"/>
                  <w:tcBorders>
                    <w:tl2br w:val="nil"/>
                    <w:tr2bl w:val="nil"/>
                  </w:tcBorders>
                  <w:noWrap w:val="0"/>
                  <w:vAlign w:val="center"/>
                </w:tcPr>
                <w:p w14:paraId="7964F4B8">
                  <w:pPr>
                    <w:pStyle w:val="46"/>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5"/>
                      <w:sz w:val="21"/>
                      <w:szCs w:val="21"/>
                      <w:highlight w:val="none"/>
                      <w14:textFill>
                        <w14:solidFill>
                          <w14:schemeClr w14:val="tx1"/>
                        </w14:solidFill>
                      </w14:textFill>
                    </w:rPr>
                    <w:t>达标</w:t>
                  </w:r>
                </w:p>
              </w:tc>
            </w:tr>
            <w:tr w14:paraId="373A4F8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76" w:type="pct"/>
                  <w:tcBorders>
                    <w:tl2br w:val="nil"/>
                    <w:tr2bl w:val="nil"/>
                  </w:tcBorders>
                  <w:noWrap w:val="0"/>
                  <w:vAlign w:val="center"/>
                </w:tcPr>
                <w:p w14:paraId="09492F3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14:textFill>
                        <w14:solidFill>
                          <w14:schemeClr w14:val="tx1"/>
                        </w14:solidFill>
                      </w14:textFill>
                    </w:rPr>
                    <w:t>NO</w:t>
                  </w:r>
                  <w:r>
                    <w:rPr>
                      <w:rFonts w:hint="default" w:ascii="Times New Roman" w:hAnsi="Times New Roman" w:cs="Times New Roman"/>
                      <w:b w:val="0"/>
                      <w:bCs w:val="0"/>
                      <w:color w:val="000000" w:themeColor="text1"/>
                      <w:kern w:val="0"/>
                      <w:sz w:val="21"/>
                      <w:szCs w:val="21"/>
                      <w:highlight w:val="none"/>
                      <w:vertAlign w:val="subscript"/>
                      <w14:textFill>
                        <w14:solidFill>
                          <w14:schemeClr w14:val="tx1"/>
                        </w14:solidFill>
                      </w14:textFill>
                    </w:rPr>
                    <w:t>2</w:t>
                  </w:r>
                </w:p>
              </w:tc>
              <w:tc>
                <w:tcPr>
                  <w:tcW w:w="1752" w:type="pct"/>
                  <w:vMerge w:val="continue"/>
                  <w:tcBorders>
                    <w:tl2br w:val="nil"/>
                    <w:tr2bl w:val="nil"/>
                  </w:tcBorders>
                  <w:noWrap w:val="0"/>
                  <w:vAlign w:val="center"/>
                </w:tcPr>
                <w:p w14:paraId="66908B5A">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27" w:type="pct"/>
                  <w:tcBorders>
                    <w:tl2br w:val="nil"/>
                    <w:tr2bl w:val="nil"/>
                  </w:tcBorders>
                  <w:noWrap w:val="0"/>
                  <w:vAlign w:val="center"/>
                </w:tcPr>
                <w:p w14:paraId="4B063CF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34</w:t>
                  </w:r>
                </w:p>
              </w:tc>
              <w:tc>
                <w:tcPr>
                  <w:tcW w:w="752" w:type="pct"/>
                  <w:tcBorders>
                    <w:tl2br w:val="nil"/>
                    <w:tr2bl w:val="nil"/>
                  </w:tcBorders>
                  <w:noWrap w:val="0"/>
                  <w:vAlign w:val="center"/>
                </w:tcPr>
                <w:p w14:paraId="2E4D0A5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14:textFill>
                        <w14:solidFill>
                          <w14:schemeClr w14:val="tx1"/>
                        </w14:solidFill>
                      </w14:textFill>
                    </w:rPr>
                    <w:t>40</w:t>
                  </w:r>
                </w:p>
              </w:tc>
              <w:tc>
                <w:tcPr>
                  <w:tcW w:w="993" w:type="dxa"/>
                  <w:tcBorders>
                    <w:tl2br w:val="nil"/>
                    <w:tr2bl w:val="nil"/>
                  </w:tcBorders>
                  <w:noWrap w:val="0"/>
                  <w:vAlign w:val="center"/>
                </w:tcPr>
                <w:p w14:paraId="69F284EA">
                  <w:pPr>
                    <w:bidi w:val="0"/>
                    <w:jc w:val="center"/>
                    <w:rPr>
                      <w:rFonts w:hint="default"/>
                      <w:lang w:val="en-US" w:eastAsia="zh-CN"/>
                    </w:rPr>
                  </w:pPr>
                  <w:r>
                    <w:rPr>
                      <w:rFonts w:hint="eastAsia"/>
                      <w:lang w:val="en-US" w:eastAsia="zh-CN"/>
                    </w:rPr>
                    <w:t>85.0</w:t>
                  </w:r>
                </w:p>
              </w:tc>
              <w:tc>
                <w:tcPr>
                  <w:tcW w:w="596" w:type="pct"/>
                  <w:tcBorders>
                    <w:tl2br w:val="nil"/>
                    <w:tr2bl w:val="nil"/>
                  </w:tcBorders>
                  <w:noWrap w:val="0"/>
                  <w:vAlign w:val="center"/>
                </w:tcPr>
                <w:p w14:paraId="23F5AA4E">
                  <w:pPr>
                    <w:pStyle w:val="46"/>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5"/>
                      <w:sz w:val="21"/>
                      <w:szCs w:val="21"/>
                      <w:highlight w:val="none"/>
                      <w14:textFill>
                        <w14:solidFill>
                          <w14:schemeClr w14:val="tx1"/>
                        </w14:solidFill>
                      </w14:textFill>
                    </w:rPr>
                    <w:t>达标</w:t>
                  </w:r>
                </w:p>
              </w:tc>
            </w:tr>
            <w:tr w14:paraId="399C2A2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76" w:type="pct"/>
                  <w:tcBorders>
                    <w:tl2br w:val="nil"/>
                    <w:tr2bl w:val="nil"/>
                  </w:tcBorders>
                  <w:noWrap w:val="0"/>
                  <w:vAlign w:val="center"/>
                </w:tcPr>
                <w:p w14:paraId="012160F7">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14:textFill>
                        <w14:solidFill>
                          <w14:schemeClr w14:val="tx1"/>
                        </w14:solidFill>
                      </w14:textFill>
                    </w:rPr>
                    <w:t>PM</w:t>
                  </w:r>
                  <w:r>
                    <w:rPr>
                      <w:rFonts w:hint="default" w:ascii="Times New Roman" w:hAnsi="Times New Roman" w:cs="Times New Roman"/>
                      <w:b w:val="0"/>
                      <w:bCs w:val="0"/>
                      <w:color w:val="000000" w:themeColor="text1"/>
                      <w:kern w:val="0"/>
                      <w:sz w:val="21"/>
                      <w:szCs w:val="21"/>
                      <w:highlight w:val="none"/>
                      <w:vertAlign w:val="subscript"/>
                      <w:lang w:val="en-US" w:eastAsia="zh-CN"/>
                      <w14:textFill>
                        <w14:solidFill>
                          <w14:schemeClr w14:val="tx1"/>
                        </w14:solidFill>
                      </w14:textFill>
                    </w:rPr>
                    <w:t>10</w:t>
                  </w:r>
                </w:p>
              </w:tc>
              <w:tc>
                <w:tcPr>
                  <w:tcW w:w="1752" w:type="pct"/>
                  <w:vMerge w:val="continue"/>
                  <w:tcBorders>
                    <w:tl2br w:val="nil"/>
                    <w:tr2bl w:val="nil"/>
                  </w:tcBorders>
                  <w:noWrap w:val="0"/>
                  <w:vAlign w:val="center"/>
                </w:tcPr>
                <w:p w14:paraId="33736FB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27" w:type="pct"/>
                  <w:tcBorders>
                    <w:tl2br w:val="nil"/>
                    <w:tr2bl w:val="nil"/>
                  </w:tcBorders>
                  <w:noWrap w:val="0"/>
                  <w:vAlign w:val="center"/>
                </w:tcPr>
                <w:p w14:paraId="2D463F0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51</w:t>
                  </w:r>
                </w:p>
              </w:tc>
              <w:tc>
                <w:tcPr>
                  <w:tcW w:w="752" w:type="pct"/>
                  <w:tcBorders>
                    <w:tl2br w:val="nil"/>
                    <w:tr2bl w:val="nil"/>
                  </w:tcBorders>
                  <w:noWrap w:val="0"/>
                  <w:vAlign w:val="center"/>
                </w:tcPr>
                <w:p w14:paraId="2D65D3B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70</w:t>
                  </w:r>
                </w:p>
              </w:tc>
              <w:tc>
                <w:tcPr>
                  <w:tcW w:w="993" w:type="dxa"/>
                  <w:tcBorders>
                    <w:tl2br w:val="nil"/>
                    <w:tr2bl w:val="nil"/>
                  </w:tcBorders>
                  <w:noWrap w:val="0"/>
                  <w:vAlign w:val="center"/>
                </w:tcPr>
                <w:p w14:paraId="3AD0497C">
                  <w:pPr>
                    <w:bidi w:val="0"/>
                    <w:jc w:val="center"/>
                    <w:rPr>
                      <w:rFonts w:hint="default"/>
                      <w:lang w:val="en-US" w:eastAsia="zh-CN"/>
                    </w:rPr>
                  </w:pPr>
                  <w:r>
                    <w:rPr>
                      <w:rFonts w:hint="eastAsia"/>
                      <w:lang w:val="en-US" w:eastAsia="zh-CN"/>
                    </w:rPr>
                    <w:t>72.9</w:t>
                  </w:r>
                </w:p>
              </w:tc>
              <w:tc>
                <w:tcPr>
                  <w:tcW w:w="596" w:type="pct"/>
                  <w:tcBorders>
                    <w:tl2br w:val="nil"/>
                    <w:tr2bl w:val="nil"/>
                  </w:tcBorders>
                  <w:noWrap w:val="0"/>
                  <w:vAlign w:val="center"/>
                </w:tcPr>
                <w:p w14:paraId="1E6C8E03">
                  <w:pPr>
                    <w:pStyle w:val="46"/>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5"/>
                      <w:sz w:val="21"/>
                      <w:szCs w:val="21"/>
                      <w:highlight w:val="none"/>
                      <w14:textFill>
                        <w14:solidFill>
                          <w14:schemeClr w14:val="tx1"/>
                        </w14:solidFill>
                      </w14:textFill>
                    </w:rPr>
                    <w:t>达标</w:t>
                  </w:r>
                </w:p>
              </w:tc>
            </w:tr>
            <w:tr w14:paraId="397B552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76" w:type="pct"/>
                  <w:tcBorders>
                    <w:tl2br w:val="nil"/>
                    <w:tr2bl w:val="nil"/>
                  </w:tcBorders>
                  <w:noWrap w:val="0"/>
                  <w:vAlign w:val="center"/>
                </w:tcPr>
                <w:p w14:paraId="1E3BDDA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14:textFill>
                        <w14:solidFill>
                          <w14:schemeClr w14:val="tx1"/>
                        </w14:solidFill>
                      </w14:textFill>
                    </w:rPr>
                    <w:t>PM</w:t>
                  </w:r>
                  <w:r>
                    <w:rPr>
                      <w:rFonts w:hint="default" w:ascii="Times New Roman" w:hAnsi="Times New Roman" w:cs="Times New Roman"/>
                      <w:b w:val="0"/>
                      <w:bCs w:val="0"/>
                      <w:color w:val="000000" w:themeColor="text1"/>
                      <w:kern w:val="0"/>
                      <w:sz w:val="21"/>
                      <w:szCs w:val="21"/>
                      <w:highlight w:val="none"/>
                      <w:vertAlign w:val="subscript"/>
                      <w:lang w:val="en-US" w:eastAsia="zh-CN"/>
                      <w14:textFill>
                        <w14:solidFill>
                          <w14:schemeClr w14:val="tx1"/>
                        </w14:solidFill>
                      </w14:textFill>
                    </w:rPr>
                    <w:t>2.5</w:t>
                  </w:r>
                </w:p>
              </w:tc>
              <w:tc>
                <w:tcPr>
                  <w:tcW w:w="1752" w:type="pct"/>
                  <w:vMerge w:val="continue"/>
                  <w:tcBorders>
                    <w:tl2br w:val="nil"/>
                    <w:tr2bl w:val="nil"/>
                  </w:tcBorders>
                  <w:noWrap w:val="0"/>
                  <w:vAlign w:val="center"/>
                </w:tcPr>
                <w:p w14:paraId="2625ACA2">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27" w:type="pct"/>
                  <w:tcBorders>
                    <w:tl2br w:val="nil"/>
                    <w:tr2bl w:val="nil"/>
                  </w:tcBorders>
                  <w:noWrap w:val="0"/>
                  <w:vAlign w:val="center"/>
                </w:tcPr>
                <w:p w14:paraId="19AFC5F8">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32.3</w:t>
                  </w:r>
                </w:p>
              </w:tc>
              <w:tc>
                <w:tcPr>
                  <w:tcW w:w="752" w:type="pct"/>
                  <w:tcBorders>
                    <w:tl2br w:val="nil"/>
                    <w:tr2bl w:val="nil"/>
                  </w:tcBorders>
                  <w:noWrap w:val="0"/>
                  <w:vAlign w:val="center"/>
                </w:tcPr>
                <w:p w14:paraId="39DD5B9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35</w:t>
                  </w:r>
                </w:p>
              </w:tc>
              <w:tc>
                <w:tcPr>
                  <w:tcW w:w="993" w:type="dxa"/>
                  <w:tcBorders>
                    <w:tl2br w:val="nil"/>
                    <w:tr2bl w:val="nil"/>
                  </w:tcBorders>
                  <w:noWrap w:val="0"/>
                  <w:vAlign w:val="center"/>
                </w:tcPr>
                <w:p w14:paraId="0202F812">
                  <w:pPr>
                    <w:bidi w:val="0"/>
                    <w:jc w:val="center"/>
                    <w:rPr>
                      <w:rFonts w:hint="default"/>
                      <w:lang w:val="en-US" w:eastAsia="zh-CN"/>
                    </w:rPr>
                  </w:pPr>
                  <w:r>
                    <w:rPr>
                      <w:rFonts w:hint="eastAsia"/>
                      <w:lang w:val="en-US" w:eastAsia="zh-CN"/>
                    </w:rPr>
                    <w:t>92.3</w:t>
                  </w:r>
                </w:p>
              </w:tc>
              <w:tc>
                <w:tcPr>
                  <w:tcW w:w="596" w:type="pct"/>
                  <w:tcBorders>
                    <w:tl2br w:val="nil"/>
                    <w:tr2bl w:val="nil"/>
                  </w:tcBorders>
                  <w:noWrap w:val="0"/>
                  <w:vAlign w:val="center"/>
                </w:tcPr>
                <w:p w14:paraId="3E092498">
                  <w:pPr>
                    <w:pStyle w:val="46"/>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5"/>
                      <w:sz w:val="21"/>
                      <w:szCs w:val="21"/>
                      <w:highlight w:val="none"/>
                      <w14:textFill>
                        <w14:solidFill>
                          <w14:schemeClr w14:val="tx1"/>
                        </w14:solidFill>
                      </w14:textFill>
                    </w:rPr>
                    <w:t>达标</w:t>
                  </w:r>
                </w:p>
              </w:tc>
            </w:tr>
            <w:tr w14:paraId="23F3741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76" w:type="pct"/>
                  <w:tcBorders>
                    <w:tl2br w:val="nil"/>
                    <w:tr2bl w:val="nil"/>
                  </w:tcBorders>
                  <w:noWrap w:val="0"/>
                  <w:vAlign w:val="center"/>
                </w:tcPr>
                <w:p w14:paraId="60EB564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14:textFill>
                        <w14:solidFill>
                          <w14:schemeClr w14:val="tx1"/>
                        </w14:solidFill>
                      </w14:textFill>
                    </w:rPr>
                    <w:t>CO</w:t>
                  </w:r>
                </w:p>
              </w:tc>
              <w:tc>
                <w:tcPr>
                  <w:tcW w:w="1752" w:type="pct"/>
                  <w:tcBorders>
                    <w:tl2br w:val="nil"/>
                    <w:tr2bl w:val="nil"/>
                  </w:tcBorders>
                  <w:noWrap w:val="0"/>
                  <w:vAlign w:val="center"/>
                </w:tcPr>
                <w:p w14:paraId="418EACC8">
                  <w:pPr>
                    <w:pStyle w:val="46"/>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4"/>
                      <w:sz w:val="21"/>
                      <w:szCs w:val="21"/>
                      <w:highlight w:val="none"/>
                      <w14:textFill>
                        <w14:solidFill>
                          <w14:schemeClr w14:val="tx1"/>
                        </w14:solidFill>
                      </w14:textFill>
                    </w:rPr>
                    <w:t>日均浓度的第95百分位数</w:t>
                  </w:r>
                </w:p>
              </w:tc>
              <w:tc>
                <w:tcPr>
                  <w:tcW w:w="827" w:type="pct"/>
                  <w:tcBorders>
                    <w:tl2br w:val="nil"/>
                    <w:tr2bl w:val="nil"/>
                  </w:tcBorders>
                  <w:noWrap w:val="0"/>
                  <w:vAlign w:val="center"/>
                </w:tcPr>
                <w:p w14:paraId="51B91C34">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r>
                    <w:rPr>
                      <w:rFonts w:hint="eastAsia" w:cs="Times New Roman"/>
                      <w:color w:val="000000" w:themeColor="text1"/>
                      <w:sz w:val="2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752" w:type="pct"/>
                  <w:tcBorders>
                    <w:tl2br w:val="nil"/>
                    <w:tr2bl w:val="nil"/>
                  </w:tcBorders>
                  <w:noWrap w:val="0"/>
                  <w:vAlign w:val="center"/>
                </w:tcPr>
                <w:p w14:paraId="2249886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4mg/m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993" w:type="dxa"/>
                  <w:tcBorders>
                    <w:tl2br w:val="nil"/>
                    <w:tr2bl w:val="nil"/>
                  </w:tcBorders>
                  <w:noWrap w:val="0"/>
                  <w:vAlign w:val="center"/>
                </w:tcPr>
                <w:p w14:paraId="3102AAD5">
                  <w:pPr>
                    <w:bidi w:val="0"/>
                    <w:jc w:val="center"/>
                    <w:rPr>
                      <w:rFonts w:hint="default"/>
                      <w:lang w:val="en-US" w:eastAsia="zh-CN"/>
                    </w:rPr>
                  </w:pPr>
                  <w:r>
                    <w:rPr>
                      <w:rFonts w:hint="eastAsia"/>
                      <w:lang w:val="en-US" w:eastAsia="zh-CN"/>
                    </w:rPr>
                    <w:t>30.0</w:t>
                  </w:r>
                </w:p>
              </w:tc>
              <w:tc>
                <w:tcPr>
                  <w:tcW w:w="596" w:type="pct"/>
                  <w:tcBorders>
                    <w:tl2br w:val="nil"/>
                    <w:tr2bl w:val="nil"/>
                  </w:tcBorders>
                  <w:noWrap w:val="0"/>
                  <w:vAlign w:val="center"/>
                </w:tcPr>
                <w:p w14:paraId="44FB500B">
                  <w:pPr>
                    <w:pStyle w:val="46"/>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5"/>
                      <w:sz w:val="21"/>
                      <w:szCs w:val="21"/>
                      <w:highlight w:val="none"/>
                      <w14:textFill>
                        <w14:solidFill>
                          <w14:schemeClr w14:val="tx1"/>
                        </w14:solidFill>
                      </w14:textFill>
                    </w:rPr>
                    <w:t>达标</w:t>
                  </w:r>
                </w:p>
              </w:tc>
            </w:tr>
            <w:tr w14:paraId="7420B98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76" w:type="pct"/>
                  <w:tcBorders>
                    <w:tl2br w:val="nil"/>
                    <w:tr2bl w:val="nil"/>
                  </w:tcBorders>
                  <w:noWrap w:val="0"/>
                  <w:vAlign w:val="center"/>
                </w:tcPr>
                <w:p w14:paraId="6DD166C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lang w:val="en-US" w:eastAsia="zh-CN"/>
                      <w14:textFill>
                        <w14:solidFill>
                          <w14:schemeClr w14:val="tx1"/>
                        </w14:solidFill>
                      </w14:textFill>
                    </w:rPr>
                    <w:t>O</w:t>
                  </w:r>
                  <w:r>
                    <w:rPr>
                      <w:rFonts w:hint="default" w:ascii="Times New Roman" w:hAnsi="Times New Roman" w:cs="Times New Roman"/>
                      <w:b w:val="0"/>
                      <w:bCs w:val="0"/>
                      <w:color w:val="000000" w:themeColor="text1"/>
                      <w:kern w:val="0"/>
                      <w:sz w:val="21"/>
                      <w:szCs w:val="21"/>
                      <w:highlight w:val="none"/>
                      <w:vertAlign w:val="subscript"/>
                      <w:lang w:val="en-US" w:eastAsia="zh-CN"/>
                      <w14:textFill>
                        <w14:solidFill>
                          <w14:schemeClr w14:val="tx1"/>
                        </w14:solidFill>
                      </w14:textFill>
                    </w:rPr>
                    <w:t>3</w:t>
                  </w:r>
                </w:p>
              </w:tc>
              <w:tc>
                <w:tcPr>
                  <w:tcW w:w="1752" w:type="pct"/>
                  <w:tcBorders>
                    <w:tl2br w:val="nil"/>
                    <w:tr2bl w:val="nil"/>
                  </w:tcBorders>
                  <w:noWrap w:val="0"/>
                  <w:vAlign w:val="center"/>
                </w:tcPr>
                <w:p w14:paraId="62ACA1FA">
                  <w:pPr>
                    <w:pStyle w:val="46"/>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14:textFill>
                        <w14:solidFill>
                          <w14:schemeClr w14:val="tx1"/>
                        </w14:solidFill>
                      </w14:textFill>
                    </w:rPr>
                    <w:t>日最大</w:t>
                  </w:r>
                  <w:r>
                    <w:rPr>
                      <w:rFonts w:hint="default" w:ascii="Times New Roman" w:hAnsi="Times New Roman" w:eastAsia="宋体" w:cs="Times New Roman"/>
                      <w:color w:val="000000" w:themeColor="text1"/>
                      <w:spacing w:val="-33"/>
                      <w:sz w:val="21"/>
                      <w:szCs w:val="21"/>
                      <w:highlight w:val="none"/>
                      <w14:textFill>
                        <w14:solidFill>
                          <w14:schemeClr w14:val="tx1"/>
                        </w14:solidFill>
                      </w14:textFill>
                    </w:rPr>
                    <w:t xml:space="preserve"> </w:t>
                  </w:r>
                  <w:r>
                    <w:rPr>
                      <w:rFonts w:hint="default" w:ascii="Times New Roman" w:hAnsi="Times New Roman" w:eastAsia="宋体" w:cs="Times New Roman"/>
                      <w:color w:val="000000" w:themeColor="text1"/>
                      <w:spacing w:val="3"/>
                      <w:sz w:val="21"/>
                      <w:szCs w:val="21"/>
                      <w:highlight w:val="none"/>
                      <w14:textFill>
                        <w14:solidFill>
                          <w14:schemeClr w14:val="tx1"/>
                        </w14:solidFill>
                      </w14:textFill>
                    </w:rPr>
                    <w:t>8小时平均浓度的第</w:t>
                  </w:r>
                  <w:r>
                    <w:rPr>
                      <w:rFonts w:hint="default" w:ascii="Times New Roman" w:hAnsi="Times New Roman" w:eastAsia="宋体" w:cs="Times New Roman"/>
                      <w:color w:val="000000" w:themeColor="text1"/>
                      <w:spacing w:val="-44"/>
                      <w:sz w:val="21"/>
                      <w:szCs w:val="21"/>
                      <w:highlight w:val="none"/>
                      <w14:textFill>
                        <w14:solidFill>
                          <w14:schemeClr w14:val="tx1"/>
                        </w14:solidFill>
                      </w14:textFill>
                    </w:rPr>
                    <w:t xml:space="preserve"> </w:t>
                  </w:r>
                  <w:r>
                    <w:rPr>
                      <w:rFonts w:hint="default" w:ascii="Times New Roman" w:hAnsi="Times New Roman" w:eastAsia="宋体" w:cs="Times New Roman"/>
                      <w:color w:val="000000" w:themeColor="text1"/>
                      <w:spacing w:val="3"/>
                      <w:sz w:val="21"/>
                      <w:szCs w:val="21"/>
                      <w:highlight w:val="none"/>
                      <w14:textFill>
                        <w14:solidFill>
                          <w14:schemeClr w14:val="tx1"/>
                        </w14:solidFill>
                      </w14:textFill>
                    </w:rPr>
                    <w:t>90</w:t>
                  </w:r>
                  <w:r>
                    <w:rPr>
                      <w:rFonts w:hint="default" w:ascii="Times New Roman" w:hAnsi="Times New Roman" w:eastAsia="宋体" w:cs="Times New Roman"/>
                      <w:color w:val="000000" w:themeColor="text1"/>
                      <w:sz w:val="21"/>
                      <w:szCs w:val="21"/>
                      <w:highlight w:val="none"/>
                      <w14:textFill>
                        <w14:solidFill>
                          <w14:schemeClr w14:val="tx1"/>
                        </w14:solidFill>
                      </w14:textFill>
                    </w:rPr>
                    <w:t xml:space="preserve"> </w:t>
                  </w:r>
                  <w:r>
                    <w:rPr>
                      <w:rFonts w:hint="default" w:ascii="Times New Roman" w:hAnsi="Times New Roman" w:eastAsia="宋体" w:cs="Times New Roman"/>
                      <w:color w:val="000000" w:themeColor="text1"/>
                      <w:spacing w:val="5"/>
                      <w:sz w:val="21"/>
                      <w:szCs w:val="21"/>
                      <w:highlight w:val="none"/>
                      <w14:textFill>
                        <w14:solidFill>
                          <w14:schemeClr w14:val="tx1"/>
                        </w14:solidFill>
                      </w14:textFill>
                    </w:rPr>
                    <w:t>百分位数</w:t>
                  </w:r>
                </w:p>
              </w:tc>
              <w:tc>
                <w:tcPr>
                  <w:tcW w:w="827" w:type="pct"/>
                  <w:tcBorders>
                    <w:tl2br w:val="nil"/>
                    <w:tr2bl w:val="nil"/>
                  </w:tcBorders>
                  <w:noWrap w:val="0"/>
                  <w:vAlign w:val="center"/>
                </w:tcPr>
                <w:p w14:paraId="7FB5B29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140</w:t>
                  </w:r>
                </w:p>
              </w:tc>
              <w:tc>
                <w:tcPr>
                  <w:tcW w:w="752" w:type="pct"/>
                  <w:tcBorders>
                    <w:tl2br w:val="nil"/>
                    <w:tr2bl w:val="nil"/>
                  </w:tcBorders>
                  <w:noWrap w:val="0"/>
                  <w:vAlign w:val="center"/>
                </w:tcPr>
                <w:p w14:paraId="54A9392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14:textFill>
                        <w14:solidFill>
                          <w14:schemeClr w14:val="tx1"/>
                        </w14:solidFill>
                      </w14:textFill>
                    </w:rPr>
                    <w:t>160</w:t>
                  </w:r>
                </w:p>
              </w:tc>
              <w:tc>
                <w:tcPr>
                  <w:tcW w:w="993" w:type="dxa"/>
                  <w:tcBorders>
                    <w:tl2br w:val="nil"/>
                    <w:tr2bl w:val="nil"/>
                  </w:tcBorders>
                  <w:noWrap w:val="0"/>
                  <w:vAlign w:val="center"/>
                </w:tcPr>
                <w:p w14:paraId="1DC4474A">
                  <w:pPr>
                    <w:bidi w:val="0"/>
                    <w:jc w:val="center"/>
                    <w:rPr>
                      <w:rFonts w:hint="default"/>
                      <w:lang w:val="en-US" w:eastAsia="zh-CN"/>
                    </w:rPr>
                  </w:pPr>
                  <w:r>
                    <w:rPr>
                      <w:rFonts w:hint="eastAsia"/>
                      <w:lang w:val="en-US" w:eastAsia="zh-CN"/>
                    </w:rPr>
                    <w:t>87.5</w:t>
                  </w:r>
                </w:p>
              </w:tc>
              <w:tc>
                <w:tcPr>
                  <w:tcW w:w="596" w:type="pct"/>
                  <w:tcBorders>
                    <w:tl2br w:val="nil"/>
                    <w:tr2bl w:val="nil"/>
                  </w:tcBorders>
                  <w:noWrap w:val="0"/>
                  <w:vAlign w:val="center"/>
                </w:tcPr>
                <w:p w14:paraId="7745DFA9">
                  <w:pPr>
                    <w:pStyle w:val="46"/>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5"/>
                      <w:sz w:val="21"/>
                      <w:szCs w:val="21"/>
                      <w:highlight w:val="none"/>
                      <w14:textFill>
                        <w14:solidFill>
                          <w14:schemeClr w14:val="tx1"/>
                        </w14:solidFill>
                      </w14:textFill>
                    </w:rPr>
                    <w:t>达标</w:t>
                  </w:r>
                </w:p>
              </w:tc>
            </w:tr>
          </w:tbl>
          <w:p w14:paraId="1F4E12E5">
            <w:pPr>
              <w:pStyle w:val="46"/>
              <w:keepNext w:val="0"/>
              <w:keepLines w:val="0"/>
              <w:pageBreakBefore w:val="0"/>
              <w:widowControl w:val="0"/>
              <w:kinsoku/>
              <w:wordWrap/>
              <w:overflowPunct/>
              <w:topLinePunct w:val="0"/>
              <w:autoSpaceDE/>
              <w:autoSpaceDN/>
              <w:bidi w:val="0"/>
              <w:adjustRightInd/>
              <w:snapToGrid/>
              <w:spacing w:line="360" w:lineRule="auto"/>
              <w:ind w:left="0" w:right="0" w:firstLine="472" w:firstLineChars="200"/>
              <w:jc w:val="both"/>
              <w:textAlignment w:val="auto"/>
              <w:rPr>
                <w:rFonts w:hint="default" w:ascii="Times New Roman" w:hAnsi="Times New Roman" w:cs="Times New Roman"/>
                <w:color w:val="000000" w:themeColor="text1"/>
                <w:spacing w:val="-1"/>
                <w:sz w:val="24"/>
                <w:szCs w:val="24"/>
                <w:highlight w:val="none"/>
                <w14:textFill>
                  <w14:solidFill>
                    <w14:schemeClr w14:val="tx1"/>
                  </w14:solidFill>
                </w14:textFill>
              </w:rPr>
            </w:pPr>
            <w:r>
              <w:rPr>
                <w:rFonts w:hint="default" w:ascii="Times New Roman" w:hAnsi="Times New Roman" w:cs="Times New Roman"/>
                <w:color w:val="000000" w:themeColor="text1"/>
                <w:spacing w:val="-2"/>
                <w:sz w:val="24"/>
                <w:szCs w:val="24"/>
                <w:highlight w:val="none"/>
                <w14:textFill>
                  <w14:solidFill>
                    <w14:schemeClr w14:val="tx1"/>
                  </w14:solidFill>
                </w14:textFill>
              </w:rPr>
              <w:t>由表</w:t>
            </w:r>
            <w:r>
              <w:rPr>
                <w:rFonts w:hint="default" w:ascii="Times New Roman" w:hAnsi="Times New Roman" w:eastAsia="Times New Roman" w:cs="Times New Roman"/>
                <w:color w:val="000000" w:themeColor="text1"/>
                <w:spacing w:val="-2"/>
                <w:sz w:val="24"/>
                <w:szCs w:val="24"/>
                <w:highlight w:val="none"/>
                <w14:textFill>
                  <w14:solidFill>
                    <w14:schemeClr w14:val="tx1"/>
                  </w14:solidFill>
                </w14:textFill>
              </w:rPr>
              <w:t>3.1</w:t>
            </w:r>
            <w:r>
              <w:rPr>
                <w:rFonts w:hint="eastAsia" w:ascii="Times New Roman" w:hAnsi="Times New Roman" w:eastAsia="宋体" w:cs="Times New Roman"/>
                <w:color w:val="000000" w:themeColor="text1"/>
                <w:spacing w:val="-2"/>
                <w:sz w:val="24"/>
                <w:szCs w:val="24"/>
                <w:highlight w:val="none"/>
                <w:lang w:val="en-US" w:eastAsia="zh-CN"/>
                <w14:textFill>
                  <w14:solidFill>
                    <w14:schemeClr w14:val="tx1"/>
                  </w14:solidFill>
                </w14:textFill>
              </w:rPr>
              <w:t>-1</w:t>
            </w:r>
            <w:r>
              <w:rPr>
                <w:rFonts w:hint="default" w:ascii="Times New Roman" w:hAnsi="Times New Roman" w:cs="Times New Roman"/>
                <w:color w:val="000000" w:themeColor="text1"/>
                <w:spacing w:val="-2"/>
                <w:sz w:val="24"/>
                <w:szCs w:val="24"/>
                <w:highlight w:val="none"/>
                <w14:textFill>
                  <w14:solidFill>
                    <w14:schemeClr w14:val="tx1"/>
                  </w14:solidFill>
                </w14:textFill>
              </w:rPr>
              <w:t>可知：</w:t>
            </w:r>
            <w:r>
              <w:rPr>
                <w:rFonts w:hint="eastAsia" w:ascii="Times New Roman" w:hAnsi="Times New Roman" w:cs="Times New Roman"/>
                <w:color w:val="000000" w:themeColor="text1"/>
                <w:spacing w:val="-2"/>
                <w:sz w:val="24"/>
                <w:szCs w:val="24"/>
                <w:highlight w:val="none"/>
                <w:lang w:val="en-US" w:eastAsia="zh-CN"/>
                <w14:textFill>
                  <w14:solidFill>
                    <w14:schemeClr w14:val="tx1"/>
                  </w14:solidFill>
                </w14:textFill>
              </w:rPr>
              <w:t>项目所在区域</w:t>
            </w:r>
            <w:r>
              <w:rPr>
                <w:rFonts w:hint="default" w:ascii="Times New Roman" w:hAnsi="Times New Roman" w:cs="Times New Roman"/>
                <w:color w:val="000000" w:themeColor="text1"/>
                <w:spacing w:val="-2"/>
                <w:sz w:val="24"/>
                <w:szCs w:val="24"/>
                <w:highlight w:val="none"/>
                <w14:textFill>
                  <w14:solidFill>
                    <w14:schemeClr w14:val="tx1"/>
                  </w14:solidFill>
                </w14:textFill>
              </w:rPr>
              <w:t>基本污染物</w:t>
            </w:r>
            <w:r>
              <w:rPr>
                <w:rFonts w:hint="default" w:ascii="Times New Roman" w:hAnsi="Times New Roman" w:eastAsia="宋体" w:cs="Times New Roman"/>
                <w:b w:val="0"/>
                <w:bCs w:val="0"/>
                <w:color w:val="000000" w:themeColor="text1"/>
                <w:kern w:val="0"/>
                <w:sz w:val="24"/>
                <w:szCs w:val="24"/>
                <w:highlight w:val="none"/>
                <w14:textFill>
                  <w14:solidFill>
                    <w14:schemeClr w14:val="tx1"/>
                  </w14:solidFill>
                </w14:textFill>
              </w:rPr>
              <w:t>SO</w:t>
            </w:r>
            <w:r>
              <w:rPr>
                <w:rFonts w:hint="default" w:ascii="Times New Roman" w:hAnsi="Times New Roman" w:eastAsia="宋体" w:cs="Times New Roman"/>
                <w:b w:val="0"/>
                <w:bCs w:val="0"/>
                <w:color w:val="000000" w:themeColor="text1"/>
                <w:kern w:val="0"/>
                <w:sz w:val="24"/>
                <w:szCs w:val="24"/>
                <w:highlight w:val="none"/>
                <w:vertAlign w:val="subscript"/>
                <w14:textFill>
                  <w14:solidFill>
                    <w14:schemeClr w14:val="tx1"/>
                  </w14:solidFill>
                </w14:textFill>
              </w:rPr>
              <w:t>2</w:t>
            </w:r>
            <w:r>
              <w:rPr>
                <w:rFonts w:hint="default" w:ascii="Times New Roman" w:hAnsi="Times New Roman" w:eastAsia="宋体" w:cs="Times New Roman"/>
                <w:b w:val="0"/>
                <w:bCs w:val="0"/>
                <w:color w:val="000000" w:themeColor="text1"/>
                <w:kern w:val="0"/>
                <w:sz w:val="24"/>
                <w:szCs w:val="24"/>
                <w:highlight w:val="none"/>
                <w14:textFill>
                  <w14:solidFill>
                    <w14:schemeClr w14:val="tx1"/>
                  </w14:solidFill>
                </w14:textFill>
              </w:rPr>
              <w:t>、NO</w:t>
            </w:r>
            <w:r>
              <w:rPr>
                <w:rFonts w:hint="default" w:ascii="Times New Roman" w:hAnsi="Times New Roman" w:eastAsia="宋体" w:cs="Times New Roman"/>
                <w:b w:val="0"/>
                <w:bCs w:val="0"/>
                <w:color w:val="000000" w:themeColor="text1"/>
                <w:kern w:val="0"/>
                <w:sz w:val="24"/>
                <w:szCs w:val="24"/>
                <w:highlight w:val="none"/>
                <w:vertAlign w:val="subscript"/>
                <w14:textFill>
                  <w14:solidFill>
                    <w14:schemeClr w14:val="tx1"/>
                  </w14:solidFill>
                </w14:textFill>
              </w:rPr>
              <w:t>2</w:t>
            </w:r>
            <w:r>
              <w:rPr>
                <w:rFonts w:hint="default" w:ascii="Times New Roman" w:hAnsi="Times New Roman" w:eastAsia="宋体" w:cs="Times New Roman"/>
                <w:b w:val="0"/>
                <w:bCs w:val="0"/>
                <w:color w:val="000000" w:themeColor="text1"/>
                <w:kern w:val="0"/>
                <w:sz w:val="24"/>
                <w:szCs w:val="24"/>
                <w:highlight w:val="none"/>
                <w14:textFill>
                  <w14:solidFill>
                    <w14:schemeClr w14:val="tx1"/>
                  </w14:solidFill>
                </w14:textFill>
              </w:rPr>
              <w:t>、PM</w:t>
            </w:r>
            <w:r>
              <w:rPr>
                <w:rFonts w:hint="default" w:ascii="Times New Roman" w:hAnsi="Times New Roman" w:eastAsia="宋体" w:cs="Times New Roman"/>
                <w:b w:val="0"/>
                <w:bCs w:val="0"/>
                <w:color w:val="000000" w:themeColor="text1"/>
                <w:kern w:val="0"/>
                <w:sz w:val="24"/>
                <w:szCs w:val="24"/>
                <w:highlight w:val="none"/>
                <w:vertAlign w:val="subscript"/>
                <w:lang w:val="en-US" w:eastAsia="zh-CN"/>
                <w14:textFill>
                  <w14:solidFill>
                    <w14:schemeClr w14:val="tx1"/>
                  </w14:solidFill>
                </w14:textFill>
              </w:rPr>
              <w:t>10</w:t>
            </w:r>
            <w:r>
              <w:rPr>
                <w:rFonts w:hint="default" w:ascii="Times New Roman" w:hAnsi="Times New Roman" w:eastAsia="宋体" w:cs="Times New Roman"/>
                <w:b w:val="0"/>
                <w:bCs w:val="0"/>
                <w:color w:val="000000" w:themeColor="text1"/>
                <w:kern w:val="0"/>
                <w:sz w:val="24"/>
                <w:szCs w:val="24"/>
                <w:highlight w:val="none"/>
                <w14:textFill>
                  <w14:solidFill>
                    <w14:schemeClr w14:val="tx1"/>
                  </w14:solidFill>
                </w14:textFill>
              </w:rPr>
              <w:t>、PM</w:t>
            </w:r>
            <w:r>
              <w:rPr>
                <w:rFonts w:hint="default" w:ascii="Times New Roman" w:hAnsi="Times New Roman" w:eastAsia="宋体" w:cs="Times New Roman"/>
                <w:b w:val="0"/>
                <w:bCs w:val="0"/>
                <w:color w:val="000000" w:themeColor="text1"/>
                <w:kern w:val="0"/>
                <w:sz w:val="24"/>
                <w:szCs w:val="24"/>
                <w:highlight w:val="none"/>
                <w:vertAlign w:val="subscript"/>
                <w:lang w:val="en-US" w:eastAsia="zh-CN"/>
                <w14:textFill>
                  <w14:solidFill>
                    <w14:schemeClr w14:val="tx1"/>
                  </w14:solidFill>
                </w14:textFill>
              </w:rPr>
              <w:t>2.5</w:t>
            </w:r>
            <w:r>
              <w:rPr>
                <w:rFonts w:hint="default" w:ascii="Times New Roman" w:hAnsi="Times New Roman" w:eastAsia="宋体" w:cs="Times New Roman"/>
                <w:b w:val="0"/>
                <w:bCs w:val="0"/>
                <w:color w:val="000000" w:themeColor="text1"/>
                <w:kern w:val="0"/>
                <w:sz w:val="24"/>
                <w:szCs w:val="24"/>
                <w:highlight w:val="none"/>
                <w14:textFill>
                  <w14:solidFill>
                    <w14:schemeClr w14:val="tx1"/>
                  </w14:solidFill>
                </w14:textFill>
              </w:rPr>
              <w:t>、CO、</w:t>
            </w:r>
            <w:r>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O</w:t>
            </w:r>
            <w:r>
              <w:rPr>
                <w:rFonts w:hint="default" w:ascii="Times New Roman" w:hAnsi="Times New Roman" w:eastAsia="宋体" w:cs="Times New Roman"/>
                <w:b w:val="0"/>
                <w:bCs w:val="0"/>
                <w:color w:val="000000" w:themeColor="text1"/>
                <w:kern w:val="0"/>
                <w:sz w:val="24"/>
                <w:szCs w:val="24"/>
                <w:highlight w:val="none"/>
                <w:vertAlign w:val="subscript"/>
                <w:lang w:val="en-US" w:eastAsia="zh-CN"/>
                <w14:textFill>
                  <w14:solidFill>
                    <w14:schemeClr w14:val="tx1"/>
                  </w14:solidFill>
                </w14:textFill>
              </w:rPr>
              <w:t>3</w:t>
            </w:r>
            <w:r>
              <w:rPr>
                <w:rFonts w:hint="eastAsia" w:ascii="Times New Roman" w:hAnsi="Times New Roman" w:cs="Times New Roman"/>
                <w:b w:val="0"/>
                <w:bCs w:val="0"/>
                <w:color w:val="000000" w:themeColor="text1"/>
                <w:kern w:val="0"/>
                <w:sz w:val="24"/>
                <w:szCs w:val="24"/>
                <w:highlight w:val="none"/>
                <w:vertAlign w:val="baseline"/>
                <w:lang w:val="en-US" w:eastAsia="zh-CN"/>
                <w14:textFill>
                  <w14:solidFill>
                    <w14:schemeClr w14:val="tx1"/>
                  </w14:solidFill>
                </w14:textFill>
              </w:rPr>
              <w:t>均能够</w:t>
            </w:r>
            <w:r>
              <w:rPr>
                <w:rFonts w:hint="default" w:ascii="Times New Roman" w:hAnsi="Times New Roman" w:cs="Times New Roman"/>
                <w:color w:val="000000" w:themeColor="text1"/>
                <w:sz w:val="24"/>
                <w:szCs w:val="24"/>
                <w:highlight w:val="none"/>
                <w14:textFill>
                  <w14:solidFill>
                    <w14:schemeClr w14:val="tx1"/>
                  </w14:solidFill>
                </w14:textFill>
              </w:rPr>
              <w:t>满足《环境空气质量标准》</w:t>
            </w: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Times New Roman" w:cs="Times New Roman"/>
                <w:color w:val="000000" w:themeColor="text1"/>
                <w:sz w:val="24"/>
                <w:szCs w:val="24"/>
                <w:highlight w:val="none"/>
                <w14:textFill>
                  <w14:solidFill>
                    <w14:schemeClr w14:val="tx1"/>
                  </w14:solidFill>
                </w14:textFill>
              </w:rPr>
              <w:t>GB3095-2012</w:t>
            </w: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二级标准要求，因此</w:t>
            </w:r>
            <w:r>
              <w:rPr>
                <w:rFonts w:hint="default" w:ascii="Times New Roman" w:hAnsi="Times New Roman" w:cs="Times New Roman"/>
                <w:color w:val="000000" w:themeColor="text1"/>
                <w:spacing w:val="-1"/>
                <w:sz w:val="24"/>
                <w:szCs w:val="24"/>
                <w:highlight w:val="none"/>
                <w14:textFill>
                  <w14:solidFill>
                    <w14:schemeClr w14:val="tx1"/>
                  </w14:solidFill>
                </w14:textFill>
              </w:rPr>
              <w:t>，本项目所在区域为环境空气质量达标区。</w:t>
            </w:r>
          </w:p>
          <w:p w14:paraId="7FB2767B">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t>3.1.2地表水环境质量现状</w:t>
            </w:r>
          </w:p>
          <w:p w14:paraId="70380C37">
            <w:pPr>
              <w:keepNext w:val="0"/>
              <w:keepLines w:val="0"/>
              <w:pageBreakBefore w:val="0"/>
              <w:widowControl/>
              <w:suppressLineNumbers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项目污废水经</w:t>
            </w:r>
            <w:r>
              <w:rPr>
                <w:rFonts w:hint="eastAsia" w:cs="Times New Roman"/>
                <w:color w:val="000000" w:themeColor="text1"/>
                <w:kern w:val="2"/>
                <w:sz w:val="24"/>
                <w:szCs w:val="24"/>
                <w:lang w:val="en-US" w:eastAsia="zh-CN" w:bidi="ar-SA"/>
                <w14:textFill>
                  <w14:solidFill>
                    <w14:schemeClr w14:val="tx1"/>
                  </w14:solidFill>
                </w14:textFill>
              </w:rPr>
              <w:t>彩云湖</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污水处理厂处理达标后作为彩云湖湿地公园和桃花溪景观补水</w:t>
            </w:r>
            <w:r>
              <w:rPr>
                <w:rFonts w:hint="eastAsia" w:cs="Times New Roman"/>
                <w:color w:val="000000" w:themeColor="text1"/>
                <w:kern w:val="2"/>
                <w:sz w:val="24"/>
                <w:szCs w:val="24"/>
                <w:lang w:val="en-US" w:eastAsia="zh-CN" w:bidi="ar-SA"/>
                <w14:textFill>
                  <w14:solidFill>
                    <w14:schemeClr w14:val="tx1"/>
                  </w14:solidFill>
                </w14:textFill>
              </w:rPr>
              <w:t>，最终</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排入</w:t>
            </w:r>
            <w:r>
              <w:rPr>
                <w:rFonts w:hint="eastAsia" w:cs="Times New Roman"/>
                <w:color w:val="000000" w:themeColor="text1"/>
                <w:kern w:val="2"/>
                <w:sz w:val="24"/>
                <w:szCs w:val="24"/>
                <w:lang w:val="en-US" w:eastAsia="zh-CN" w:bidi="ar-SA"/>
                <w14:textFill>
                  <w14:solidFill>
                    <w14:schemeClr w14:val="tx1"/>
                  </w14:solidFill>
                </w14:textFill>
              </w:rPr>
              <w:t>长江</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。根据《重庆市人民政府关于批转重庆市地表水环境功能类别调整方案的通知》（渝府〔</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2012</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4</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号），</w:t>
            </w:r>
            <w:r>
              <w:rPr>
                <w:rFonts w:hint="eastAsia" w:cs="Times New Roman"/>
                <w:color w:val="000000" w:themeColor="text1"/>
                <w:kern w:val="2"/>
                <w:sz w:val="24"/>
                <w:szCs w:val="24"/>
                <w:lang w:val="en-US" w:eastAsia="zh-CN" w:bidi="ar-SA"/>
                <w14:textFill>
                  <w14:solidFill>
                    <w14:schemeClr w14:val="tx1"/>
                  </w14:solidFill>
                </w14:textFill>
              </w:rPr>
              <w:t>主城段长江属于</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Ⅲ类</w:t>
            </w:r>
            <w:r>
              <w:rPr>
                <w:rFonts w:hint="eastAsia" w:cs="Times New Roman"/>
                <w:color w:val="000000" w:themeColor="text1"/>
                <w:kern w:val="2"/>
                <w:sz w:val="24"/>
                <w:szCs w:val="24"/>
                <w:lang w:val="en-US" w:eastAsia="zh-CN" w:bidi="ar-SA"/>
                <w14:textFill>
                  <w14:solidFill>
                    <w14:schemeClr w14:val="tx1"/>
                  </w14:solidFill>
                </w14:textFill>
              </w:rPr>
              <w:t>水域</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，执行《地表水环境质量标准》（</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GB3838-2002</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）Ⅲ类水域标准。</w:t>
            </w:r>
          </w:p>
          <w:p w14:paraId="5DDC9286">
            <w:pPr>
              <w:keepNext w:val="0"/>
              <w:keepLines w:val="0"/>
              <w:pageBreakBefore w:val="0"/>
              <w:widowControl/>
              <w:suppressLineNumbers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根据《建设项目环境影响报告表编制技术指南（污染影响类）（试行）》中水环境质量现状调查要求，可采用生态环境保护主管部门发布的地表水达标情况的结论。</w:t>
            </w:r>
          </w:p>
          <w:p w14:paraId="28B6FF1A">
            <w:pPr>
              <w:keepNext w:val="0"/>
              <w:keepLines w:val="0"/>
              <w:pageBreakBefore w:val="0"/>
              <w:widowControl/>
              <w:suppressLineNumbers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项目所在区域地表水体达标情况判定，优先采用国务院生态环境保护主管部门统一发布的水环境状况信息。根据重庆市生态环境局公布的《202</w:t>
            </w:r>
            <w:r>
              <w:rPr>
                <w:rFonts w:hint="eastAsia" w:cs="Times New Roman"/>
                <w:color w:val="000000" w:themeColor="text1"/>
                <w:kern w:val="2"/>
                <w:sz w:val="24"/>
                <w:szCs w:val="24"/>
                <w:lang w:val="en-US" w:eastAsia="zh-CN" w:bidi="ar-SA"/>
                <w14:textFill>
                  <w14:solidFill>
                    <w14:schemeClr w14:val="tx1"/>
                  </w14:solidFill>
                </w14:textFill>
              </w:rPr>
              <w:t>4</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重庆市生态环境状况公报》，“长江干流重庆段水质为优，20 个监测断面水质均为 II 类。”地表水环境质量总体较好，项目所在的地表水水质达标率为100%</w:t>
            </w:r>
            <w:r>
              <w:rPr>
                <w:rFonts w:hint="eastAsia" w:cs="Times New Roman"/>
                <w:color w:val="000000" w:themeColor="text1"/>
                <w:kern w:val="2"/>
                <w:sz w:val="24"/>
                <w:szCs w:val="24"/>
                <w:lang w:val="en-US" w:eastAsia="zh-CN" w:bidi="ar-SA"/>
                <w14:textFill>
                  <w14:solidFill>
                    <w14:schemeClr w14:val="tx1"/>
                  </w14:solidFill>
                </w14:textFill>
              </w:rPr>
              <w:t>。</w:t>
            </w:r>
          </w:p>
          <w:p w14:paraId="7E696D7B">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t>3.1.3 声环境质量现状</w:t>
            </w:r>
          </w:p>
          <w:p w14:paraId="43A0B508">
            <w:pPr>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项目位于</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重庆市九龙坡区二郎街道火炬大道100号附24号及附23-2号商铺1F，</w:t>
            </w:r>
            <w:r>
              <w:rPr>
                <w:rFonts w:hint="default" w:ascii="Times New Roman" w:hAnsi="Times New Roman" w:eastAsia="宋体" w:cs="Times New Roman"/>
                <w:color w:val="000000" w:themeColor="text1"/>
                <w:sz w:val="24"/>
                <w:highlight w:val="none"/>
                <w14:textFill>
                  <w14:solidFill>
                    <w14:schemeClr w14:val="tx1"/>
                  </w14:solidFill>
                </w14:textFill>
              </w:rPr>
              <w:t>根据《重庆市中心城区声环境功能区划分方案</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2023年</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》可知，</w:t>
            </w:r>
            <w:r>
              <w:rPr>
                <w:rFonts w:hint="eastAsia" w:cs="Times New Roman"/>
                <w:color w:val="000000" w:themeColor="text1"/>
                <w:sz w:val="24"/>
                <w:highlight w:val="none"/>
                <w:lang w:val="en-US" w:eastAsia="zh-CN"/>
                <w14:textFill>
                  <w14:solidFill>
                    <w14:schemeClr w14:val="tx1"/>
                  </w14:solidFill>
                </w14:textFill>
              </w:rPr>
              <w:t>本项目所属区域</w:t>
            </w:r>
            <w:r>
              <w:rPr>
                <w:rFonts w:hint="default" w:ascii="Times New Roman" w:hAnsi="Times New Roman" w:eastAsia="宋体" w:cs="Times New Roman"/>
                <w:color w:val="000000" w:themeColor="text1"/>
                <w:sz w:val="24"/>
                <w:highlight w:val="none"/>
                <w14:textFill>
                  <w14:solidFill>
                    <w14:schemeClr w14:val="tx1"/>
                  </w14:solidFill>
                </w14:textFill>
              </w:rPr>
              <w:t>属于</w:t>
            </w:r>
            <w:r>
              <w:rPr>
                <w:rFonts w:hint="eastAsia" w:cs="Times New Roman"/>
                <w:color w:val="000000" w:themeColor="text1"/>
                <w:sz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highlight w:val="none"/>
                <w14:textFill>
                  <w14:solidFill>
                    <w14:schemeClr w14:val="tx1"/>
                  </w14:solidFill>
                </w14:textFill>
              </w:rPr>
              <w:t>类声功能区</w:t>
            </w:r>
            <w:r>
              <w:rPr>
                <w:rFonts w:hint="eastAsia" w:cs="Times New Roman"/>
                <w:color w:val="000000" w:themeColor="text1"/>
                <w:sz w:val="24"/>
                <w:highlight w:val="none"/>
                <w:lang w:eastAsia="zh-CN"/>
                <w14:textFill>
                  <w14:solidFill>
                    <w14:schemeClr w14:val="tx1"/>
                  </w14:solidFill>
                </w14:textFill>
              </w:rPr>
              <w:t>，</w:t>
            </w:r>
            <w:r>
              <w:rPr>
                <w:rFonts w:hint="eastAsia" w:cs="Times New Roman"/>
                <w:color w:val="000000" w:themeColor="text1"/>
                <w:sz w:val="24"/>
                <w:highlight w:val="none"/>
                <w:lang w:val="en-US" w:eastAsia="zh-CN"/>
                <w14:textFill>
                  <w14:solidFill>
                    <w14:schemeClr w14:val="tx1"/>
                  </w14:solidFill>
                </w14:textFill>
              </w:rPr>
              <w:t>旁边学校属于1</w:t>
            </w:r>
            <w:r>
              <w:rPr>
                <w:rFonts w:hint="default" w:ascii="Times New Roman" w:hAnsi="Times New Roman" w:eastAsia="宋体" w:cs="Times New Roman"/>
                <w:color w:val="000000" w:themeColor="text1"/>
                <w:sz w:val="24"/>
                <w:highlight w:val="none"/>
                <w14:textFill>
                  <w14:solidFill>
                    <w14:schemeClr w14:val="tx1"/>
                  </w14:solidFill>
                </w14:textFill>
              </w:rPr>
              <w:t>类声功能区。</w:t>
            </w:r>
          </w:p>
          <w:p w14:paraId="6AA4A038">
            <w:pPr>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监测方案</w:t>
            </w:r>
          </w:p>
          <w:p w14:paraId="47A9EB32">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监测点位</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共</w:t>
            </w:r>
            <w:r>
              <w:rPr>
                <w:rFonts w:hint="eastAsia" w:cs="Times New Roman"/>
                <w:color w:val="auto"/>
                <w:sz w:val="24"/>
                <w:highlight w:val="none"/>
                <w:lang w:val="en-US" w:eastAsia="zh-CN"/>
              </w:rPr>
              <w:t>2</w:t>
            </w:r>
            <w:r>
              <w:rPr>
                <w:rFonts w:hint="default" w:ascii="Times New Roman" w:hAnsi="Times New Roman" w:eastAsia="宋体" w:cs="Times New Roman"/>
                <w:color w:val="auto"/>
                <w:sz w:val="24"/>
                <w:highlight w:val="none"/>
              </w:rPr>
              <w:t>个监测点，</w:t>
            </w:r>
            <w:r>
              <w:rPr>
                <w:rFonts w:hint="eastAsia" w:cs="Times New Roman"/>
                <w:color w:val="auto"/>
                <w:sz w:val="24"/>
                <w:highlight w:val="none"/>
                <w:lang w:val="en-US" w:eastAsia="zh-CN"/>
              </w:rPr>
              <w:t>N</w:t>
            </w:r>
            <w:r>
              <w:rPr>
                <w:rFonts w:hint="default" w:ascii="Times New Roman" w:hAnsi="Times New Roman" w:eastAsia="宋体" w:cs="Times New Roman"/>
                <w:color w:val="auto"/>
                <w:sz w:val="24"/>
                <w:highlight w:val="none"/>
              </w:rPr>
              <w:t>1点位于</w:t>
            </w:r>
            <w:r>
              <w:rPr>
                <w:rFonts w:hint="eastAsia" w:ascii="Times New Roman" w:hAnsi="Times New Roman" w:eastAsia="宋体" w:cs="Times New Roman"/>
                <w:color w:val="auto"/>
                <w:sz w:val="24"/>
                <w:highlight w:val="none"/>
                <w:lang w:val="en-US" w:eastAsia="zh-CN"/>
              </w:rPr>
              <w:t>项目外南侧居民楼</w:t>
            </w:r>
            <w:r>
              <w:rPr>
                <w:rFonts w:hint="eastAsia" w:cs="Times New Roman"/>
                <w:color w:val="auto"/>
                <w:sz w:val="24"/>
                <w:highlight w:val="none"/>
                <w:lang w:val="en-US" w:eastAsia="zh-CN"/>
              </w:rPr>
              <w:t>、N2</w:t>
            </w:r>
            <w:r>
              <w:rPr>
                <w:rFonts w:hint="default" w:ascii="Times New Roman" w:hAnsi="Times New Roman" w:eastAsia="宋体" w:cs="Times New Roman"/>
                <w:color w:val="auto"/>
                <w:sz w:val="24"/>
                <w:highlight w:val="none"/>
              </w:rPr>
              <w:t>点位于</w:t>
            </w:r>
            <w:r>
              <w:rPr>
                <w:rFonts w:hint="eastAsia" w:ascii="Times New Roman" w:hAnsi="Times New Roman" w:eastAsia="宋体" w:cs="Times New Roman"/>
                <w:color w:val="auto"/>
                <w:sz w:val="24"/>
                <w:highlight w:val="none"/>
                <w:lang w:val="en-US" w:eastAsia="zh-CN"/>
              </w:rPr>
              <w:t>项目外西侧学校</w:t>
            </w:r>
            <w:r>
              <w:rPr>
                <w:rFonts w:hint="default" w:ascii="Times New Roman" w:hAnsi="Times New Roman" w:eastAsia="宋体" w:cs="Times New Roman"/>
                <w:color w:val="auto"/>
                <w:sz w:val="24"/>
                <w:highlight w:val="none"/>
              </w:rPr>
              <w:t>。</w:t>
            </w:r>
          </w:p>
          <w:p w14:paraId="52DE01C0">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监测内容</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等效A声级。</w:t>
            </w:r>
          </w:p>
          <w:p w14:paraId="77B4E14F">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监测时间与频率</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监测时间为202</w:t>
            </w:r>
            <w:r>
              <w:rPr>
                <w:rFonts w:hint="eastAsia" w:cs="Times New Roman"/>
                <w:color w:val="auto"/>
                <w:sz w:val="24"/>
                <w:highlight w:val="none"/>
                <w:lang w:val="en-US" w:eastAsia="zh-CN"/>
              </w:rPr>
              <w:t>5</w:t>
            </w:r>
            <w:r>
              <w:rPr>
                <w:rFonts w:hint="default" w:ascii="Times New Roman" w:hAnsi="Times New Roman" w:eastAsia="宋体" w:cs="Times New Roman"/>
                <w:color w:val="auto"/>
                <w:sz w:val="24"/>
                <w:highlight w:val="none"/>
              </w:rPr>
              <w:t>年</w:t>
            </w:r>
            <w:r>
              <w:rPr>
                <w:rFonts w:hint="eastAsia" w:cs="Times New Roman"/>
                <w:color w:val="auto"/>
                <w:sz w:val="24"/>
                <w:highlight w:val="none"/>
                <w:lang w:val="en-US" w:eastAsia="zh-CN"/>
              </w:rPr>
              <w:t>7</w:t>
            </w:r>
            <w:r>
              <w:rPr>
                <w:rFonts w:hint="default" w:ascii="Times New Roman" w:hAnsi="Times New Roman" w:eastAsia="宋体" w:cs="Times New Roman"/>
                <w:color w:val="auto"/>
                <w:sz w:val="24"/>
                <w:highlight w:val="none"/>
              </w:rPr>
              <w:t>月</w:t>
            </w:r>
            <w:r>
              <w:rPr>
                <w:rFonts w:hint="eastAsia" w:cs="Times New Roman"/>
                <w:color w:val="auto"/>
                <w:sz w:val="24"/>
                <w:highlight w:val="none"/>
                <w:lang w:val="en-US" w:eastAsia="zh-CN"/>
              </w:rPr>
              <w:t>16</w:t>
            </w:r>
            <w:r>
              <w:rPr>
                <w:rFonts w:hint="default" w:ascii="Times New Roman" w:hAnsi="Times New Roman" w:eastAsia="宋体" w:cs="Times New Roman"/>
                <w:color w:val="auto"/>
                <w:sz w:val="24"/>
                <w:highlight w:val="none"/>
              </w:rPr>
              <w:t>日，监测一天，每天昼夜各监测一次。</w:t>
            </w:r>
          </w:p>
          <w:p w14:paraId="71D67D25">
            <w:pPr>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评价方法与标准</w:t>
            </w:r>
          </w:p>
          <w:p w14:paraId="631B678F">
            <w:pPr>
              <w:spacing w:line="360" w:lineRule="auto"/>
              <w:ind w:firstLine="480" w:firstLineChars="200"/>
              <w:rPr>
                <w:rFonts w:hint="default" w:ascii="Times New Roman" w:hAnsi="Times New Roman" w:eastAsia="宋体" w:cs="Times New Roman"/>
                <w:color w:val="auto"/>
                <w:sz w:val="24"/>
                <w:highlight w:val="none"/>
              </w:rPr>
            </w:pPr>
            <w:r>
              <w:rPr>
                <w:rFonts w:hint="eastAsia" w:cs="Times New Roman"/>
                <w:color w:val="auto"/>
                <w:sz w:val="24"/>
                <w:highlight w:val="none"/>
                <w:lang w:val="en-US" w:eastAsia="zh-CN"/>
              </w:rPr>
              <w:t>N</w:t>
            </w: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rPr>
              <w:t>环境噪声执行《声环境质量标准》</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GB3096-2008</w:t>
            </w:r>
            <w:r>
              <w:rPr>
                <w:rFonts w:hint="default" w:ascii="Times New Roman" w:hAnsi="Times New Roman" w:eastAsia="宋体" w:cs="Times New Roman"/>
                <w:color w:val="auto"/>
                <w:sz w:val="24"/>
                <w:highlight w:val="none"/>
                <w:lang w:eastAsia="zh-CN"/>
              </w:rPr>
              <w:t>）</w:t>
            </w:r>
            <w:r>
              <w:rPr>
                <w:rFonts w:hint="eastAsia" w:cs="Times New Roman"/>
                <w:color w:val="auto"/>
                <w:sz w:val="24"/>
                <w:highlight w:val="none"/>
                <w:lang w:val="en-US" w:eastAsia="zh-CN"/>
              </w:rPr>
              <w:t>2类</w:t>
            </w:r>
            <w:r>
              <w:rPr>
                <w:rFonts w:hint="default" w:ascii="Times New Roman" w:hAnsi="Times New Roman" w:eastAsia="宋体" w:cs="Times New Roman"/>
                <w:color w:val="auto"/>
                <w:sz w:val="24"/>
                <w:highlight w:val="none"/>
              </w:rPr>
              <w:t>标准</w:t>
            </w:r>
            <w:r>
              <w:rPr>
                <w:rFonts w:hint="eastAsia" w:cs="Times New Roman"/>
                <w:color w:val="auto"/>
                <w:sz w:val="24"/>
                <w:highlight w:val="none"/>
                <w:lang w:eastAsia="zh-CN"/>
              </w:rPr>
              <w:t>，</w:t>
            </w:r>
            <w:r>
              <w:rPr>
                <w:rFonts w:hint="eastAsia" w:cs="Times New Roman"/>
                <w:color w:val="auto"/>
                <w:sz w:val="24"/>
                <w:highlight w:val="none"/>
                <w:lang w:val="en-US" w:eastAsia="zh-CN"/>
              </w:rPr>
              <w:t>N</w:t>
            </w: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rPr>
              <w:t>环境噪声执行《声环境质量标准》</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GB3096-2008</w:t>
            </w:r>
            <w:r>
              <w:rPr>
                <w:rFonts w:hint="default" w:ascii="Times New Roman" w:hAnsi="Times New Roman" w:eastAsia="宋体" w:cs="Times New Roman"/>
                <w:color w:val="auto"/>
                <w:sz w:val="24"/>
                <w:highlight w:val="none"/>
                <w:lang w:eastAsia="zh-CN"/>
              </w:rPr>
              <w:t>）</w:t>
            </w:r>
            <w:r>
              <w:rPr>
                <w:rFonts w:hint="eastAsia" w:cs="Times New Roman"/>
                <w:color w:val="auto"/>
                <w:sz w:val="24"/>
                <w:highlight w:val="none"/>
                <w:lang w:val="en-US" w:eastAsia="zh-CN"/>
              </w:rPr>
              <w:t>1类</w:t>
            </w:r>
            <w:r>
              <w:rPr>
                <w:rFonts w:hint="default" w:ascii="Times New Roman" w:hAnsi="Times New Roman" w:eastAsia="宋体" w:cs="Times New Roman"/>
                <w:color w:val="auto"/>
                <w:sz w:val="24"/>
                <w:highlight w:val="none"/>
              </w:rPr>
              <w:t>标准。</w:t>
            </w:r>
          </w:p>
          <w:p w14:paraId="53056E71">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监测评价结果</w:t>
            </w:r>
          </w:p>
          <w:p w14:paraId="250BAF74">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监测数据及评价结果见表3.</w:t>
            </w:r>
            <w:r>
              <w:rPr>
                <w:rFonts w:hint="eastAsia" w:cs="Times New Roman"/>
                <w:color w:val="auto"/>
                <w:sz w:val="24"/>
                <w:highlight w:val="none"/>
                <w:lang w:val="en-US" w:eastAsia="zh-CN"/>
              </w:rPr>
              <w:t>1</w:t>
            </w:r>
            <w:r>
              <w:rPr>
                <w:rFonts w:hint="default" w:ascii="Times New Roman" w:hAnsi="Times New Roman" w:eastAsia="宋体" w:cs="Times New Roman"/>
                <w:color w:val="auto"/>
                <w:sz w:val="24"/>
                <w:highlight w:val="none"/>
              </w:rPr>
              <w:t>-</w:t>
            </w:r>
            <w:r>
              <w:rPr>
                <w:rFonts w:hint="eastAsia" w:cs="Times New Roman"/>
                <w:color w:val="auto"/>
                <w:sz w:val="24"/>
                <w:highlight w:val="none"/>
                <w:lang w:val="en-US" w:eastAsia="zh-CN"/>
              </w:rPr>
              <w:t>2</w:t>
            </w:r>
            <w:r>
              <w:rPr>
                <w:rFonts w:hint="default" w:ascii="Times New Roman" w:hAnsi="Times New Roman" w:eastAsia="宋体" w:cs="Times New Roman"/>
                <w:color w:val="auto"/>
                <w:sz w:val="24"/>
                <w:highlight w:val="none"/>
              </w:rPr>
              <w:t>。</w:t>
            </w:r>
          </w:p>
          <w:p w14:paraId="049855C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kern w:val="0"/>
                <w:sz w:val="24"/>
                <w:szCs w:val="24"/>
                <w:highlight w:val="none"/>
                <w:vertAlign w:val="baseline"/>
                <w:lang w:val="en-US"/>
              </w:rPr>
            </w:pPr>
            <w:r>
              <w:rPr>
                <w:rFonts w:hint="default" w:ascii="Times New Roman" w:hAnsi="Times New Roman" w:cs="Times New Roman"/>
                <w:b/>
                <w:bCs/>
                <w:color w:val="auto"/>
                <w:kern w:val="0"/>
                <w:sz w:val="24"/>
                <w:szCs w:val="24"/>
                <w:highlight w:val="none"/>
              </w:rPr>
              <w:t>表3.</w:t>
            </w:r>
            <w:r>
              <w:rPr>
                <w:rFonts w:hint="eastAsia" w:cs="Times New Roman"/>
                <w:b/>
                <w:bCs/>
                <w:color w:val="auto"/>
                <w:kern w:val="0"/>
                <w:sz w:val="24"/>
                <w:szCs w:val="24"/>
                <w:highlight w:val="none"/>
                <w:lang w:val="en-US" w:eastAsia="zh-CN"/>
              </w:rPr>
              <w:t>1</w:t>
            </w:r>
            <w:r>
              <w:rPr>
                <w:rFonts w:hint="default" w:ascii="Times New Roman" w:hAnsi="Times New Roman" w:cs="Times New Roman"/>
                <w:b/>
                <w:bCs/>
                <w:color w:val="auto"/>
                <w:kern w:val="0"/>
                <w:sz w:val="24"/>
                <w:szCs w:val="24"/>
                <w:highlight w:val="none"/>
              </w:rPr>
              <w:t>-</w:t>
            </w:r>
            <w:r>
              <w:rPr>
                <w:rFonts w:hint="eastAsia" w:cs="Times New Roman"/>
                <w:b/>
                <w:bCs/>
                <w:color w:val="auto"/>
                <w:kern w:val="0"/>
                <w:sz w:val="24"/>
                <w:szCs w:val="24"/>
                <w:highlight w:val="none"/>
                <w:lang w:val="en-US" w:eastAsia="zh-CN"/>
              </w:rPr>
              <w:t>2</w:t>
            </w:r>
            <w:r>
              <w:rPr>
                <w:rFonts w:hint="default" w:ascii="Times New Roman" w:hAnsi="Times New Roman" w:cs="Times New Roman"/>
                <w:b/>
                <w:bCs/>
                <w:color w:val="auto"/>
                <w:kern w:val="0"/>
                <w:sz w:val="24"/>
                <w:szCs w:val="24"/>
                <w:highlight w:val="none"/>
              </w:rPr>
              <w:t>声环境监测统计结果</w:t>
            </w:r>
            <w:r>
              <w:rPr>
                <w:rFonts w:hint="default" w:ascii="Times New Roman" w:hAnsi="Times New Roman" w:cs="Times New Roman"/>
                <w:b/>
                <w:bCs/>
                <w:color w:val="auto"/>
                <w:kern w:val="0"/>
                <w:sz w:val="24"/>
                <w:szCs w:val="24"/>
                <w:highlight w:val="none"/>
                <w:lang w:val="en-US" w:eastAsia="zh-CN"/>
              </w:rPr>
              <w:t xml:space="preserve"> </w:t>
            </w:r>
            <w:r>
              <w:rPr>
                <w:rFonts w:hint="default" w:ascii="Times New Roman" w:hAnsi="Times New Roman" w:cs="Times New Roman"/>
                <w:b/>
                <w:bCs/>
                <w:color w:val="auto"/>
                <w:kern w:val="0"/>
                <w:sz w:val="24"/>
                <w:szCs w:val="24"/>
                <w:highlight w:val="none"/>
              </w:rPr>
              <w:t>单位</w:t>
            </w:r>
            <w:r>
              <w:rPr>
                <w:rFonts w:hint="default" w:ascii="Times New Roman" w:hAnsi="Times New Roman" w:cs="Times New Roman"/>
                <w:b/>
                <w:bCs/>
                <w:color w:val="auto"/>
                <w:kern w:val="0"/>
                <w:sz w:val="24"/>
                <w:szCs w:val="24"/>
                <w:highlight w:val="none"/>
                <w:lang w:eastAsia="zh-CN"/>
              </w:rPr>
              <w:t>：</w:t>
            </w:r>
            <w:r>
              <w:rPr>
                <w:rFonts w:hint="default" w:ascii="Times New Roman" w:hAnsi="Times New Roman" w:cs="Times New Roman"/>
                <w:b/>
                <w:bCs/>
                <w:color w:val="auto"/>
                <w:kern w:val="0"/>
                <w:sz w:val="24"/>
                <w:szCs w:val="24"/>
                <w:highlight w:val="none"/>
              </w:rPr>
              <w:t>dB</w:t>
            </w:r>
            <w:r>
              <w:rPr>
                <w:rFonts w:hint="default" w:ascii="Times New Roman" w:hAnsi="Times New Roman" w:cs="Times New Roman"/>
                <w:b/>
                <w:bCs/>
                <w:color w:val="auto"/>
                <w:kern w:val="0"/>
                <w:sz w:val="24"/>
                <w:szCs w:val="24"/>
                <w:highlight w:val="none"/>
                <w:lang w:eastAsia="zh-CN"/>
              </w:rPr>
              <w:t>（</w:t>
            </w:r>
            <w:r>
              <w:rPr>
                <w:rFonts w:hint="default" w:ascii="Times New Roman" w:hAnsi="Times New Roman" w:cs="Times New Roman"/>
                <w:b/>
                <w:bCs/>
                <w:color w:val="auto"/>
                <w:kern w:val="0"/>
                <w:sz w:val="24"/>
                <w:szCs w:val="24"/>
                <w:highlight w:val="none"/>
                <w:lang w:val="en-US" w:eastAsia="zh-CN"/>
              </w:rPr>
              <w:t>A）</w:t>
            </w:r>
          </w:p>
          <w:tbl>
            <w:tblPr>
              <w:tblStyle w:val="21"/>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41"/>
              <w:gridCol w:w="1144"/>
              <w:gridCol w:w="1009"/>
              <w:gridCol w:w="977"/>
              <w:gridCol w:w="1044"/>
              <w:gridCol w:w="1044"/>
              <w:gridCol w:w="1045"/>
              <w:gridCol w:w="1047"/>
            </w:tblGrid>
            <w:tr w14:paraId="578857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23" w:type="pct"/>
                  <w:vMerge w:val="restart"/>
                  <w:tcBorders>
                    <w:tl2br w:val="nil"/>
                    <w:tr2bl w:val="nil"/>
                  </w:tcBorders>
                  <w:vAlign w:val="center"/>
                </w:tcPr>
                <w:p w14:paraId="0AD1E16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监测点位</w:t>
                  </w:r>
                </w:p>
              </w:tc>
              <w:tc>
                <w:tcPr>
                  <w:tcW w:w="685" w:type="pct"/>
                  <w:vMerge w:val="restart"/>
                  <w:tcBorders>
                    <w:tl2br w:val="nil"/>
                    <w:tr2bl w:val="nil"/>
                  </w:tcBorders>
                  <w:vAlign w:val="center"/>
                </w:tcPr>
                <w:p w14:paraId="138842B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监测日期</w:t>
                  </w:r>
                </w:p>
              </w:tc>
              <w:tc>
                <w:tcPr>
                  <w:tcW w:w="1189" w:type="pct"/>
                  <w:gridSpan w:val="2"/>
                  <w:tcBorders>
                    <w:tl2br w:val="nil"/>
                    <w:tr2bl w:val="nil"/>
                  </w:tcBorders>
                  <w:vAlign w:val="center"/>
                </w:tcPr>
                <w:p w14:paraId="1E3E352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vertAlign w:val="baseline"/>
                      <w:lang w:val="en-US"/>
                    </w:rPr>
                  </w:pPr>
                  <w:r>
                    <w:rPr>
                      <w:rFonts w:hint="default" w:ascii="Times New Roman" w:hAnsi="Times New Roman" w:cs="Times New Roman"/>
                      <w:b w:val="0"/>
                      <w:bCs w:val="0"/>
                      <w:color w:val="auto"/>
                      <w:kern w:val="0"/>
                      <w:sz w:val="21"/>
                      <w:szCs w:val="21"/>
                      <w:highlight w:val="none"/>
                      <w:vertAlign w:val="baseline"/>
                      <w:lang w:val="en-US" w:eastAsia="zh-CN"/>
                    </w:rPr>
                    <w:t>监测结果</w:t>
                  </w:r>
                  <w:r>
                    <w:rPr>
                      <w:rFonts w:hint="default" w:ascii="Times New Roman" w:hAnsi="Times New Roman" w:cs="Times New Roman"/>
                      <w:b w:val="0"/>
                      <w:bCs w:val="0"/>
                      <w:color w:val="auto"/>
                      <w:kern w:val="0"/>
                      <w:sz w:val="21"/>
                      <w:szCs w:val="21"/>
                      <w:highlight w:val="none"/>
                    </w:rPr>
                    <w:t>dB</w:t>
                  </w:r>
                  <w:r>
                    <w:rPr>
                      <w:rFonts w:hint="default" w:ascii="Times New Roman" w:hAnsi="Times New Roman" w:cs="Times New Roman"/>
                      <w:b w:val="0"/>
                      <w:bCs w:val="0"/>
                      <w:color w:val="auto"/>
                      <w:kern w:val="0"/>
                      <w:sz w:val="21"/>
                      <w:szCs w:val="21"/>
                      <w:highlight w:val="none"/>
                      <w:lang w:eastAsia="zh-CN"/>
                    </w:rPr>
                    <w:t>（</w:t>
                  </w:r>
                  <w:r>
                    <w:rPr>
                      <w:rFonts w:hint="default" w:ascii="Times New Roman" w:hAnsi="Times New Roman" w:cs="Times New Roman"/>
                      <w:b w:val="0"/>
                      <w:bCs w:val="0"/>
                      <w:color w:val="auto"/>
                      <w:kern w:val="0"/>
                      <w:sz w:val="21"/>
                      <w:szCs w:val="21"/>
                      <w:highlight w:val="none"/>
                      <w:lang w:val="en-US" w:eastAsia="zh-CN"/>
                    </w:rPr>
                    <w:t>A）</w:t>
                  </w:r>
                </w:p>
              </w:tc>
              <w:tc>
                <w:tcPr>
                  <w:tcW w:w="1250" w:type="pct"/>
                  <w:gridSpan w:val="2"/>
                  <w:tcBorders>
                    <w:tl2br w:val="nil"/>
                    <w:tr2bl w:val="nil"/>
                  </w:tcBorders>
                  <w:vAlign w:val="center"/>
                </w:tcPr>
                <w:p w14:paraId="3CF88CD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标准限值</w:t>
                  </w:r>
                </w:p>
              </w:tc>
              <w:tc>
                <w:tcPr>
                  <w:tcW w:w="1251" w:type="pct"/>
                  <w:gridSpan w:val="2"/>
                  <w:tcBorders>
                    <w:tl2br w:val="nil"/>
                    <w:tr2bl w:val="nil"/>
                  </w:tcBorders>
                  <w:vAlign w:val="center"/>
                </w:tcPr>
                <w:p w14:paraId="6BEAA2F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达标分析</w:t>
                  </w:r>
                </w:p>
              </w:tc>
            </w:tr>
            <w:tr w14:paraId="667059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23" w:type="pct"/>
                  <w:vMerge w:val="continue"/>
                  <w:tcBorders>
                    <w:tl2br w:val="nil"/>
                    <w:tr2bl w:val="nil"/>
                  </w:tcBorders>
                  <w:vAlign w:val="center"/>
                </w:tcPr>
                <w:p w14:paraId="7D057D5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vertAlign w:val="baseline"/>
                      <w:lang w:val="en-US" w:eastAsia="zh-CN"/>
                    </w:rPr>
                  </w:pPr>
                </w:p>
              </w:tc>
              <w:tc>
                <w:tcPr>
                  <w:tcW w:w="685" w:type="pct"/>
                  <w:vMerge w:val="continue"/>
                  <w:tcBorders>
                    <w:tl2br w:val="nil"/>
                    <w:tr2bl w:val="nil"/>
                  </w:tcBorders>
                  <w:vAlign w:val="center"/>
                </w:tcPr>
                <w:p w14:paraId="69CAE34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vertAlign w:val="baseline"/>
                      <w:lang w:val="en-US"/>
                    </w:rPr>
                  </w:pPr>
                </w:p>
              </w:tc>
              <w:tc>
                <w:tcPr>
                  <w:tcW w:w="604" w:type="pct"/>
                  <w:tcBorders>
                    <w:tl2br w:val="nil"/>
                    <w:tr2bl w:val="nil"/>
                  </w:tcBorders>
                  <w:vAlign w:val="center"/>
                </w:tcPr>
                <w:p w14:paraId="7853431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昼间</w:t>
                  </w:r>
                </w:p>
              </w:tc>
              <w:tc>
                <w:tcPr>
                  <w:tcW w:w="585" w:type="pct"/>
                  <w:tcBorders>
                    <w:tl2br w:val="nil"/>
                    <w:tr2bl w:val="nil"/>
                  </w:tcBorders>
                  <w:vAlign w:val="center"/>
                </w:tcPr>
                <w:p w14:paraId="132ED70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夜间</w:t>
                  </w:r>
                </w:p>
              </w:tc>
              <w:tc>
                <w:tcPr>
                  <w:tcW w:w="625" w:type="pct"/>
                  <w:tcBorders>
                    <w:tl2br w:val="nil"/>
                    <w:tr2bl w:val="nil"/>
                  </w:tcBorders>
                  <w:shd w:val="clear" w:color="auto" w:fill="auto"/>
                  <w:vAlign w:val="center"/>
                </w:tcPr>
                <w:p w14:paraId="30885BA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rPr>
                    <w:t>昼间</w:t>
                  </w:r>
                </w:p>
              </w:tc>
              <w:tc>
                <w:tcPr>
                  <w:tcW w:w="625" w:type="pct"/>
                  <w:tcBorders>
                    <w:tl2br w:val="nil"/>
                    <w:tr2bl w:val="nil"/>
                  </w:tcBorders>
                  <w:shd w:val="clear" w:color="auto" w:fill="auto"/>
                  <w:vAlign w:val="center"/>
                </w:tcPr>
                <w:p w14:paraId="21693B9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rPr>
                    <w:t>夜间</w:t>
                  </w:r>
                </w:p>
              </w:tc>
              <w:tc>
                <w:tcPr>
                  <w:tcW w:w="625" w:type="pct"/>
                  <w:tcBorders>
                    <w:tl2br w:val="nil"/>
                    <w:tr2bl w:val="nil"/>
                  </w:tcBorders>
                  <w:shd w:val="clear" w:color="auto" w:fill="auto"/>
                  <w:vAlign w:val="center"/>
                </w:tcPr>
                <w:p w14:paraId="2C63FA6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rPr>
                    <w:t>昼间</w:t>
                  </w:r>
                </w:p>
              </w:tc>
              <w:tc>
                <w:tcPr>
                  <w:tcW w:w="626" w:type="pct"/>
                  <w:tcBorders>
                    <w:tl2br w:val="nil"/>
                    <w:tr2bl w:val="nil"/>
                  </w:tcBorders>
                  <w:shd w:val="clear" w:color="auto" w:fill="auto"/>
                  <w:vAlign w:val="center"/>
                </w:tcPr>
                <w:p w14:paraId="15EF1A5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rPr>
                    <w:t>夜间</w:t>
                  </w:r>
                </w:p>
              </w:tc>
            </w:tr>
            <w:tr w14:paraId="07E003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23" w:type="pct"/>
                  <w:tcBorders>
                    <w:tl2br w:val="nil"/>
                    <w:tr2bl w:val="nil"/>
                  </w:tcBorders>
                  <w:vAlign w:val="center"/>
                </w:tcPr>
                <w:p w14:paraId="48A3D01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vertAlign w:val="baseline"/>
                      <w:lang w:val="en-US" w:eastAsia="zh-CN"/>
                    </w:rPr>
                  </w:pPr>
                  <w:r>
                    <w:rPr>
                      <w:rFonts w:hint="eastAsia" w:ascii="Times New Roman" w:hAnsi="Times New Roman" w:cs="Times New Roman"/>
                      <w:b w:val="0"/>
                      <w:bCs w:val="0"/>
                      <w:color w:val="auto"/>
                      <w:kern w:val="0"/>
                      <w:sz w:val="21"/>
                      <w:szCs w:val="21"/>
                      <w:highlight w:val="none"/>
                      <w:vertAlign w:val="baseline"/>
                      <w:lang w:val="en-US" w:eastAsia="zh-CN"/>
                    </w:rPr>
                    <w:t>项目外南侧居民楼</w:t>
                  </w:r>
                </w:p>
              </w:tc>
              <w:tc>
                <w:tcPr>
                  <w:tcW w:w="685" w:type="pct"/>
                  <w:tcBorders>
                    <w:tl2br w:val="nil"/>
                    <w:tr2bl w:val="nil"/>
                  </w:tcBorders>
                  <w:vAlign w:val="center"/>
                </w:tcPr>
                <w:p w14:paraId="6E3E07C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2025.</w:t>
                  </w:r>
                  <w:r>
                    <w:rPr>
                      <w:rFonts w:hint="eastAsia" w:cs="Times New Roman"/>
                      <w:b w:val="0"/>
                      <w:bCs w:val="0"/>
                      <w:color w:val="auto"/>
                      <w:kern w:val="0"/>
                      <w:sz w:val="21"/>
                      <w:szCs w:val="21"/>
                      <w:highlight w:val="none"/>
                      <w:vertAlign w:val="baseline"/>
                      <w:lang w:val="en-US" w:eastAsia="zh-CN"/>
                    </w:rPr>
                    <w:t>7</w:t>
                  </w:r>
                  <w:r>
                    <w:rPr>
                      <w:rFonts w:hint="eastAsia" w:ascii="Times New Roman" w:hAnsi="Times New Roman" w:eastAsia="宋体" w:cs="Times New Roman"/>
                      <w:b w:val="0"/>
                      <w:bCs w:val="0"/>
                      <w:color w:val="auto"/>
                      <w:kern w:val="0"/>
                      <w:sz w:val="21"/>
                      <w:szCs w:val="21"/>
                      <w:highlight w:val="none"/>
                      <w:vertAlign w:val="baseline"/>
                      <w:lang w:val="en-US" w:eastAsia="zh-CN"/>
                    </w:rPr>
                    <w:t>.1</w:t>
                  </w:r>
                  <w:r>
                    <w:rPr>
                      <w:rFonts w:hint="eastAsia" w:cs="Times New Roman"/>
                      <w:b w:val="0"/>
                      <w:bCs w:val="0"/>
                      <w:color w:val="auto"/>
                      <w:kern w:val="0"/>
                      <w:sz w:val="21"/>
                      <w:szCs w:val="21"/>
                      <w:highlight w:val="none"/>
                      <w:vertAlign w:val="baseline"/>
                      <w:lang w:val="en-US" w:eastAsia="zh-CN"/>
                    </w:rPr>
                    <w:t>6</w:t>
                  </w:r>
                </w:p>
              </w:tc>
              <w:tc>
                <w:tcPr>
                  <w:tcW w:w="604" w:type="pct"/>
                  <w:tcBorders>
                    <w:tl2br w:val="nil"/>
                    <w:tr2bl w:val="nil"/>
                  </w:tcBorders>
                  <w:vAlign w:val="center"/>
                </w:tcPr>
                <w:p w14:paraId="7ACE529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54</w:t>
                  </w:r>
                </w:p>
              </w:tc>
              <w:tc>
                <w:tcPr>
                  <w:tcW w:w="585" w:type="pct"/>
                  <w:tcBorders>
                    <w:tl2br w:val="nil"/>
                    <w:tr2bl w:val="nil"/>
                  </w:tcBorders>
                  <w:vAlign w:val="center"/>
                </w:tcPr>
                <w:p w14:paraId="133CFDC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47</w:t>
                  </w:r>
                </w:p>
              </w:tc>
              <w:tc>
                <w:tcPr>
                  <w:tcW w:w="625" w:type="pct"/>
                  <w:tcBorders>
                    <w:tl2br w:val="nil"/>
                    <w:tr2bl w:val="nil"/>
                  </w:tcBorders>
                  <w:vAlign w:val="center"/>
                </w:tcPr>
                <w:p w14:paraId="3167DCA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60</w:t>
                  </w:r>
                </w:p>
              </w:tc>
              <w:tc>
                <w:tcPr>
                  <w:tcW w:w="625" w:type="pct"/>
                  <w:tcBorders>
                    <w:tl2br w:val="nil"/>
                    <w:tr2bl w:val="nil"/>
                  </w:tcBorders>
                  <w:vAlign w:val="center"/>
                </w:tcPr>
                <w:p w14:paraId="4B30390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50</w:t>
                  </w:r>
                </w:p>
              </w:tc>
              <w:tc>
                <w:tcPr>
                  <w:tcW w:w="625" w:type="pct"/>
                  <w:tcBorders>
                    <w:tl2br w:val="nil"/>
                    <w:tr2bl w:val="nil"/>
                  </w:tcBorders>
                  <w:vAlign w:val="center"/>
                </w:tcPr>
                <w:p w14:paraId="5B685A2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val="0"/>
                      <w:color w:val="auto"/>
                      <w:kern w:val="0"/>
                      <w:sz w:val="21"/>
                      <w:szCs w:val="21"/>
                      <w:highlight w:val="none"/>
                      <w:vertAlign w:val="baseline"/>
                      <w:lang w:val="en-US" w:eastAsia="zh-CN"/>
                    </w:rPr>
                  </w:pPr>
                  <w:r>
                    <w:rPr>
                      <w:rFonts w:hint="eastAsia" w:ascii="Times New Roman" w:hAnsi="Times New Roman" w:cs="Times New Roman"/>
                      <w:b w:val="0"/>
                      <w:bCs w:val="0"/>
                      <w:color w:val="auto"/>
                      <w:kern w:val="0"/>
                      <w:sz w:val="21"/>
                      <w:szCs w:val="21"/>
                      <w:highlight w:val="none"/>
                      <w:vertAlign w:val="baseline"/>
                      <w:lang w:val="en-US" w:eastAsia="zh-CN"/>
                    </w:rPr>
                    <w:t>达标</w:t>
                  </w:r>
                </w:p>
              </w:tc>
              <w:tc>
                <w:tcPr>
                  <w:tcW w:w="626" w:type="pct"/>
                  <w:tcBorders>
                    <w:tl2br w:val="nil"/>
                    <w:tr2bl w:val="nil"/>
                  </w:tcBorders>
                  <w:vAlign w:val="center"/>
                </w:tcPr>
                <w:p w14:paraId="1A36879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val="0"/>
                      <w:color w:val="auto"/>
                      <w:kern w:val="0"/>
                      <w:sz w:val="21"/>
                      <w:szCs w:val="21"/>
                      <w:highlight w:val="none"/>
                      <w:vertAlign w:val="baseline"/>
                      <w:lang w:val="en-US" w:eastAsia="zh-CN"/>
                    </w:rPr>
                  </w:pPr>
                  <w:r>
                    <w:rPr>
                      <w:rFonts w:hint="eastAsia" w:ascii="Times New Roman" w:hAnsi="Times New Roman" w:cs="Times New Roman"/>
                      <w:b w:val="0"/>
                      <w:bCs w:val="0"/>
                      <w:color w:val="auto"/>
                      <w:kern w:val="0"/>
                      <w:sz w:val="21"/>
                      <w:szCs w:val="21"/>
                      <w:highlight w:val="none"/>
                      <w:vertAlign w:val="baseline"/>
                      <w:lang w:val="en-US" w:eastAsia="zh-CN"/>
                    </w:rPr>
                    <w:t>达标</w:t>
                  </w:r>
                </w:p>
              </w:tc>
            </w:tr>
            <w:tr w14:paraId="6EE963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23" w:type="pct"/>
                  <w:tcBorders>
                    <w:tl2br w:val="nil"/>
                    <w:tr2bl w:val="nil"/>
                  </w:tcBorders>
                  <w:vAlign w:val="center"/>
                </w:tcPr>
                <w:p w14:paraId="383CB31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val="0"/>
                      <w:color w:val="auto"/>
                      <w:kern w:val="0"/>
                      <w:sz w:val="21"/>
                      <w:szCs w:val="21"/>
                      <w:highlight w:val="none"/>
                      <w:vertAlign w:val="baseline"/>
                      <w:lang w:val="en-US" w:eastAsia="zh-CN"/>
                    </w:rPr>
                  </w:pPr>
                  <w:r>
                    <w:rPr>
                      <w:rFonts w:hint="eastAsia" w:ascii="Times New Roman" w:hAnsi="Times New Roman" w:cs="Times New Roman"/>
                      <w:b w:val="0"/>
                      <w:bCs w:val="0"/>
                      <w:color w:val="auto"/>
                      <w:kern w:val="0"/>
                      <w:sz w:val="21"/>
                      <w:szCs w:val="21"/>
                      <w:highlight w:val="none"/>
                      <w:vertAlign w:val="baseline"/>
                      <w:lang w:val="en-US" w:eastAsia="zh-CN"/>
                    </w:rPr>
                    <w:t>项目外西侧学校</w:t>
                  </w:r>
                </w:p>
              </w:tc>
              <w:tc>
                <w:tcPr>
                  <w:tcW w:w="685" w:type="pct"/>
                  <w:tcBorders>
                    <w:tl2br w:val="nil"/>
                    <w:tr2bl w:val="nil"/>
                  </w:tcBorders>
                  <w:vAlign w:val="center"/>
                </w:tcPr>
                <w:p w14:paraId="653D228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2025.</w:t>
                  </w:r>
                  <w:r>
                    <w:rPr>
                      <w:rFonts w:hint="eastAsia" w:cs="Times New Roman"/>
                      <w:b w:val="0"/>
                      <w:bCs w:val="0"/>
                      <w:color w:val="auto"/>
                      <w:kern w:val="0"/>
                      <w:sz w:val="21"/>
                      <w:szCs w:val="21"/>
                      <w:highlight w:val="none"/>
                      <w:vertAlign w:val="baseline"/>
                      <w:lang w:val="en-US" w:eastAsia="zh-CN"/>
                    </w:rPr>
                    <w:t>7</w:t>
                  </w:r>
                  <w:r>
                    <w:rPr>
                      <w:rFonts w:hint="eastAsia" w:ascii="Times New Roman" w:hAnsi="Times New Roman" w:eastAsia="宋体" w:cs="Times New Roman"/>
                      <w:b w:val="0"/>
                      <w:bCs w:val="0"/>
                      <w:color w:val="auto"/>
                      <w:kern w:val="0"/>
                      <w:sz w:val="21"/>
                      <w:szCs w:val="21"/>
                      <w:highlight w:val="none"/>
                      <w:vertAlign w:val="baseline"/>
                      <w:lang w:val="en-US" w:eastAsia="zh-CN"/>
                    </w:rPr>
                    <w:t>.1</w:t>
                  </w:r>
                  <w:r>
                    <w:rPr>
                      <w:rFonts w:hint="eastAsia" w:cs="Times New Roman"/>
                      <w:b w:val="0"/>
                      <w:bCs w:val="0"/>
                      <w:color w:val="auto"/>
                      <w:kern w:val="0"/>
                      <w:sz w:val="21"/>
                      <w:szCs w:val="21"/>
                      <w:highlight w:val="none"/>
                      <w:vertAlign w:val="baseline"/>
                      <w:lang w:val="en-US" w:eastAsia="zh-CN"/>
                    </w:rPr>
                    <w:t>6</w:t>
                  </w:r>
                </w:p>
              </w:tc>
              <w:tc>
                <w:tcPr>
                  <w:tcW w:w="604" w:type="pct"/>
                  <w:tcBorders>
                    <w:tl2br w:val="nil"/>
                    <w:tr2bl w:val="nil"/>
                  </w:tcBorders>
                  <w:vAlign w:val="center"/>
                </w:tcPr>
                <w:p w14:paraId="53FA3D5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50</w:t>
                  </w:r>
                </w:p>
              </w:tc>
              <w:tc>
                <w:tcPr>
                  <w:tcW w:w="585" w:type="pct"/>
                  <w:tcBorders>
                    <w:tl2br w:val="nil"/>
                    <w:tr2bl w:val="nil"/>
                  </w:tcBorders>
                  <w:vAlign w:val="center"/>
                </w:tcPr>
                <w:p w14:paraId="6EA6CCE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42</w:t>
                  </w:r>
                </w:p>
              </w:tc>
              <w:tc>
                <w:tcPr>
                  <w:tcW w:w="1044" w:type="dxa"/>
                  <w:tcBorders>
                    <w:tl2br w:val="nil"/>
                    <w:tr2bl w:val="nil"/>
                  </w:tcBorders>
                  <w:vAlign w:val="center"/>
                </w:tcPr>
                <w:p w14:paraId="18F952A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55</w:t>
                  </w:r>
                </w:p>
              </w:tc>
              <w:tc>
                <w:tcPr>
                  <w:tcW w:w="1044" w:type="dxa"/>
                  <w:tcBorders>
                    <w:tl2br w:val="nil"/>
                    <w:tr2bl w:val="nil"/>
                  </w:tcBorders>
                  <w:vAlign w:val="center"/>
                </w:tcPr>
                <w:p w14:paraId="52BBB47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45</w:t>
                  </w:r>
                </w:p>
              </w:tc>
              <w:tc>
                <w:tcPr>
                  <w:tcW w:w="1045" w:type="dxa"/>
                  <w:tcBorders>
                    <w:tl2br w:val="nil"/>
                    <w:tr2bl w:val="nil"/>
                  </w:tcBorders>
                  <w:vAlign w:val="center"/>
                </w:tcPr>
                <w:p w14:paraId="7B9F56F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val="0"/>
                      <w:color w:val="auto"/>
                      <w:kern w:val="0"/>
                      <w:sz w:val="21"/>
                      <w:szCs w:val="21"/>
                      <w:highlight w:val="none"/>
                      <w:vertAlign w:val="baseline"/>
                      <w:lang w:val="en-US" w:eastAsia="zh-CN"/>
                    </w:rPr>
                  </w:pPr>
                  <w:r>
                    <w:rPr>
                      <w:rFonts w:hint="eastAsia" w:ascii="Times New Roman" w:hAnsi="Times New Roman" w:cs="Times New Roman"/>
                      <w:b w:val="0"/>
                      <w:bCs w:val="0"/>
                      <w:color w:val="auto"/>
                      <w:kern w:val="0"/>
                      <w:sz w:val="21"/>
                      <w:szCs w:val="21"/>
                      <w:highlight w:val="none"/>
                      <w:vertAlign w:val="baseline"/>
                      <w:lang w:val="en-US" w:eastAsia="zh-CN"/>
                    </w:rPr>
                    <w:t>达标</w:t>
                  </w:r>
                </w:p>
              </w:tc>
              <w:tc>
                <w:tcPr>
                  <w:tcW w:w="1047" w:type="dxa"/>
                  <w:tcBorders>
                    <w:tl2br w:val="nil"/>
                    <w:tr2bl w:val="nil"/>
                  </w:tcBorders>
                  <w:vAlign w:val="center"/>
                </w:tcPr>
                <w:p w14:paraId="673356B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val="0"/>
                      <w:color w:val="auto"/>
                      <w:kern w:val="0"/>
                      <w:sz w:val="21"/>
                      <w:szCs w:val="21"/>
                      <w:highlight w:val="none"/>
                      <w:vertAlign w:val="baseline"/>
                      <w:lang w:val="en-US" w:eastAsia="zh-CN"/>
                    </w:rPr>
                  </w:pPr>
                  <w:r>
                    <w:rPr>
                      <w:rFonts w:hint="eastAsia" w:ascii="Times New Roman" w:hAnsi="Times New Roman" w:cs="Times New Roman"/>
                      <w:b w:val="0"/>
                      <w:bCs w:val="0"/>
                      <w:color w:val="auto"/>
                      <w:kern w:val="0"/>
                      <w:sz w:val="21"/>
                      <w:szCs w:val="21"/>
                      <w:highlight w:val="none"/>
                      <w:vertAlign w:val="baseline"/>
                      <w:lang w:val="en-US" w:eastAsia="zh-CN"/>
                    </w:rPr>
                    <w:t>达标</w:t>
                  </w:r>
                </w:p>
              </w:tc>
            </w:tr>
          </w:tbl>
          <w:p w14:paraId="0BD45DA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cs="Times New Roman"/>
                <w:b w:val="0"/>
                <w:bCs w:val="0"/>
                <w:color w:val="auto"/>
                <w:kern w:val="0"/>
                <w:sz w:val="24"/>
                <w:szCs w:val="24"/>
                <w:highlight w:val="none"/>
                <w:lang w:val="en-US"/>
              </w:rPr>
              <w:t>监测结果表明，</w:t>
            </w:r>
            <w:r>
              <w:rPr>
                <w:rFonts w:hint="eastAsia" w:cs="Times New Roman"/>
                <w:b w:val="0"/>
                <w:bCs w:val="0"/>
                <w:color w:val="auto"/>
                <w:kern w:val="0"/>
                <w:sz w:val="24"/>
                <w:szCs w:val="24"/>
                <w:highlight w:val="none"/>
                <w:lang w:val="en-US" w:eastAsia="zh-CN"/>
              </w:rPr>
              <w:t>N</w:t>
            </w:r>
            <w:r>
              <w:rPr>
                <w:rFonts w:hint="default" w:ascii="Times New Roman" w:hAnsi="Times New Roman" w:cs="Times New Roman"/>
                <w:b w:val="0"/>
                <w:bCs w:val="0"/>
                <w:color w:val="auto"/>
                <w:kern w:val="0"/>
                <w:sz w:val="24"/>
                <w:szCs w:val="24"/>
                <w:highlight w:val="none"/>
                <w:lang w:val="en-US" w:eastAsia="zh-CN"/>
              </w:rPr>
              <w:t>1</w:t>
            </w:r>
            <w:r>
              <w:rPr>
                <w:rFonts w:hint="default" w:ascii="Times New Roman" w:hAnsi="Times New Roman" w:cs="Times New Roman"/>
                <w:b w:val="0"/>
                <w:bCs w:val="0"/>
                <w:color w:val="auto"/>
                <w:kern w:val="0"/>
                <w:sz w:val="24"/>
                <w:szCs w:val="24"/>
                <w:highlight w:val="none"/>
                <w:lang w:val="en-US"/>
              </w:rPr>
              <w:t>昼间</w:t>
            </w:r>
            <w:r>
              <w:rPr>
                <w:rFonts w:hint="eastAsia" w:cs="Times New Roman"/>
                <w:b w:val="0"/>
                <w:bCs w:val="0"/>
                <w:color w:val="auto"/>
                <w:kern w:val="0"/>
                <w:sz w:val="24"/>
                <w:szCs w:val="24"/>
                <w:highlight w:val="none"/>
                <w:lang w:val="en-US" w:eastAsia="zh-CN"/>
              </w:rPr>
              <w:t>、夜间</w:t>
            </w:r>
            <w:r>
              <w:rPr>
                <w:rFonts w:hint="default" w:ascii="Times New Roman" w:hAnsi="Times New Roman" w:cs="Times New Roman"/>
                <w:b w:val="0"/>
                <w:bCs w:val="0"/>
                <w:color w:val="auto"/>
                <w:kern w:val="0"/>
                <w:sz w:val="24"/>
                <w:szCs w:val="24"/>
                <w:highlight w:val="none"/>
                <w:lang w:val="en-US"/>
              </w:rPr>
              <w:t>噪声</w:t>
            </w:r>
            <w:r>
              <w:rPr>
                <w:rFonts w:hint="eastAsia" w:cs="Times New Roman"/>
                <w:b w:val="0"/>
                <w:bCs w:val="0"/>
                <w:color w:val="auto"/>
                <w:kern w:val="0"/>
                <w:sz w:val="24"/>
                <w:szCs w:val="24"/>
                <w:highlight w:val="none"/>
                <w:lang w:val="en-US" w:eastAsia="zh-CN"/>
              </w:rPr>
              <w:t>均</w:t>
            </w:r>
            <w:r>
              <w:rPr>
                <w:rFonts w:hint="default" w:ascii="Times New Roman" w:hAnsi="Times New Roman" w:cs="Times New Roman"/>
                <w:b w:val="0"/>
                <w:bCs w:val="0"/>
                <w:color w:val="auto"/>
                <w:kern w:val="0"/>
                <w:sz w:val="24"/>
                <w:szCs w:val="24"/>
                <w:highlight w:val="none"/>
                <w:lang w:val="en-US"/>
              </w:rPr>
              <w:t>满足《声环境质量标准》</w:t>
            </w:r>
            <w:r>
              <w:rPr>
                <w:rFonts w:hint="default" w:ascii="Times New Roman" w:hAnsi="Times New Roman" w:cs="Times New Roman"/>
                <w:b w:val="0"/>
                <w:bCs w:val="0"/>
                <w:color w:val="auto"/>
                <w:kern w:val="0"/>
                <w:sz w:val="24"/>
                <w:szCs w:val="24"/>
                <w:highlight w:val="none"/>
                <w:lang w:val="en-US" w:eastAsia="zh-CN"/>
              </w:rPr>
              <w:t>（</w:t>
            </w:r>
            <w:r>
              <w:rPr>
                <w:rFonts w:hint="default" w:ascii="Times New Roman" w:hAnsi="Times New Roman" w:cs="Times New Roman"/>
                <w:b w:val="0"/>
                <w:bCs w:val="0"/>
                <w:color w:val="auto"/>
                <w:kern w:val="0"/>
                <w:sz w:val="24"/>
                <w:szCs w:val="24"/>
                <w:highlight w:val="none"/>
                <w:lang w:val="en-US"/>
              </w:rPr>
              <w:t>GB3096-2008</w:t>
            </w:r>
            <w:r>
              <w:rPr>
                <w:rFonts w:hint="default" w:ascii="Times New Roman" w:hAnsi="Times New Roman" w:cs="Times New Roman"/>
                <w:b w:val="0"/>
                <w:bCs w:val="0"/>
                <w:color w:val="auto"/>
                <w:kern w:val="0"/>
                <w:sz w:val="24"/>
                <w:szCs w:val="24"/>
                <w:highlight w:val="none"/>
                <w:lang w:val="en-US" w:eastAsia="zh-CN"/>
              </w:rPr>
              <w:t>）</w:t>
            </w:r>
            <w:r>
              <w:rPr>
                <w:rFonts w:hint="default" w:ascii="Times New Roman" w:hAnsi="Times New Roman" w:cs="Times New Roman"/>
                <w:b w:val="0"/>
                <w:bCs w:val="0"/>
                <w:color w:val="auto"/>
                <w:kern w:val="0"/>
                <w:sz w:val="24"/>
                <w:szCs w:val="24"/>
                <w:highlight w:val="none"/>
                <w:lang w:val="en-US"/>
              </w:rPr>
              <w:t>中</w:t>
            </w:r>
            <w:r>
              <w:rPr>
                <w:rFonts w:hint="eastAsia" w:cs="Times New Roman"/>
                <w:b w:val="0"/>
                <w:bCs w:val="0"/>
                <w:color w:val="auto"/>
                <w:kern w:val="0"/>
                <w:sz w:val="24"/>
                <w:szCs w:val="24"/>
                <w:highlight w:val="none"/>
                <w:lang w:val="en-US" w:eastAsia="zh-CN"/>
              </w:rPr>
              <w:t>2</w:t>
            </w:r>
            <w:r>
              <w:rPr>
                <w:rFonts w:hint="default" w:ascii="Times New Roman" w:hAnsi="Times New Roman" w:cs="Times New Roman"/>
                <w:b w:val="0"/>
                <w:bCs w:val="0"/>
                <w:color w:val="auto"/>
                <w:kern w:val="0"/>
                <w:sz w:val="24"/>
                <w:szCs w:val="24"/>
                <w:highlight w:val="none"/>
                <w:lang w:val="en-US"/>
              </w:rPr>
              <w:t>类标准</w:t>
            </w:r>
            <w:r>
              <w:rPr>
                <w:rFonts w:hint="eastAsia" w:cs="Times New Roman"/>
                <w:b w:val="0"/>
                <w:bCs w:val="0"/>
                <w:color w:val="auto"/>
                <w:kern w:val="0"/>
                <w:sz w:val="24"/>
                <w:szCs w:val="24"/>
                <w:highlight w:val="none"/>
                <w:lang w:val="en-US" w:eastAsia="zh-CN"/>
              </w:rPr>
              <w:t>，N2</w:t>
            </w:r>
            <w:r>
              <w:rPr>
                <w:rFonts w:hint="default" w:ascii="Times New Roman" w:hAnsi="Times New Roman" w:cs="Times New Roman"/>
                <w:b w:val="0"/>
                <w:bCs w:val="0"/>
                <w:color w:val="auto"/>
                <w:kern w:val="0"/>
                <w:sz w:val="24"/>
                <w:szCs w:val="24"/>
                <w:highlight w:val="none"/>
                <w:lang w:val="en-US"/>
              </w:rPr>
              <w:t>昼间</w:t>
            </w:r>
            <w:r>
              <w:rPr>
                <w:rFonts w:hint="eastAsia" w:cs="Times New Roman"/>
                <w:b w:val="0"/>
                <w:bCs w:val="0"/>
                <w:color w:val="auto"/>
                <w:kern w:val="0"/>
                <w:sz w:val="24"/>
                <w:szCs w:val="24"/>
                <w:highlight w:val="none"/>
                <w:lang w:val="en-US" w:eastAsia="zh-CN"/>
              </w:rPr>
              <w:t>、夜间</w:t>
            </w:r>
            <w:r>
              <w:rPr>
                <w:rFonts w:hint="default" w:ascii="Times New Roman" w:hAnsi="Times New Roman" w:cs="Times New Roman"/>
                <w:b w:val="0"/>
                <w:bCs w:val="0"/>
                <w:color w:val="auto"/>
                <w:kern w:val="0"/>
                <w:sz w:val="24"/>
                <w:szCs w:val="24"/>
                <w:highlight w:val="none"/>
                <w:lang w:val="en-US"/>
              </w:rPr>
              <w:t>噪声</w:t>
            </w:r>
            <w:r>
              <w:rPr>
                <w:rFonts w:hint="eastAsia" w:cs="Times New Roman"/>
                <w:b w:val="0"/>
                <w:bCs w:val="0"/>
                <w:color w:val="auto"/>
                <w:kern w:val="0"/>
                <w:sz w:val="24"/>
                <w:szCs w:val="24"/>
                <w:highlight w:val="none"/>
                <w:lang w:val="en-US" w:eastAsia="zh-CN"/>
              </w:rPr>
              <w:t>均</w:t>
            </w:r>
            <w:r>
              <w:rPr>
                <w:rFonts w:hint="default" w:ascii="Times New Roman" w:hAnsi="Times New Roman" w:cs="Times New Roman"/>
                <w:b w:val="0"/>
                <w:bCs w:val="0"/>
                <w:color w:val="auto"/>
                <w:kern w:val="0"/>
                <w:sz w:val="24"/>
                <w:szCs w:val="24"/>
                <w:highlight w:val="none"/>
                <w:lang w:val="en-US"/>
              </w:rPr>
              <w:t>满足《声环境质量标准》</w:t>
            </w:r>
            <w:r>
              <w:rPr>
                <w:rFonts w:hint="default" w:ascii="Times New Roman" w:hAnsi="Times New Roman" w:cs="Times New Roman"/>
                <w:b w:val="0"/>
                <w:bCs w:val="0"/>
                <w:color w:val="auto"/>
                <w:kern w:val="0"/>
                <w:sz w:val="24"/>
                <w:szCs w:val="24"/>
                <w:highlight w:val="none"/>
                <w:lang w:val="en-US" w:eastAsia="zh-CN"/>
              </w:rPr>
              <w:t>（</w:t>
            </w:r>
            <w:r>
              <w:rPr>
                <w:rFonts w:hint="default" w:ascii="Times New Roman" w:hAnsi="Times New Roman" w:cs="Times New Roman"/>
                <w:b w:val="0"/>
                <w:bCs w:val="0"/>
                <w:color w:val="auto"/>
                <w:kern w:val="0"/>
                <w:sz w:val="24"/>
                <w:szCs w:val="24"/>
                <w:highlight w:val="none"/>
                <w:lang w:val="en-US"/>
              </w:rPr>
              <w:t>GB3096-2008</w:t>
            </w:r>
            <w:r>
              <w:rPr>
                <w:rFonts w:hint="default" w:ascii="Times New Roman" w:hAnsi="Times New Roman" w:cs="Times New Roman"/>
                <w:b w:val="0"/>
                <w:bCs w:val="0"/>
                <w:color w:val="auto"/>
                <w:kern w:val="0"/>
                <w:sz w:val="24"/>
                <w:szCs w:val="24"/>
                <w:highlight w:val="none"/>
                <w:lang w:val="en-US" w:eastAsia="zh-CN"/>
              </w:rPr>
              <w:t>）</w:t>
            </w:r>
            <w:r>
              <w:rPr>
                <w:rFonts w:hint="default" w:ascii="Times New Roman" w:hAnsi="Times New Roman" w:cs="Times New Roman"/>
                <w:b w:val="0"/>
                <w:bCs w:val="0"/>
                <w:color w:val="auto"/>
                <w:kern w:val="0"/>
                <w:sz w:val="24"/>
                <w:szCs w:val="24"/>
                <w:highlight w:val="none"/>
                <w:lang w:val="en-US"/>
              </w:rPr>
              <w:t>中</w:t>
            </w:r>
            <w:r>
              <w:rPr>
                <w:rFonts w:hint="eastAsia" w:cs="Times New Roman"/>
                <w:b w:val="0"/>
                <w:bCs w:val="0"/>
                <w:color w:val="auto"/>
                <w:kern w:val="0"/>
                <w:sz w:val="24"/>
                <w:szCs w:val="24"/>
                <w:highlight w:val="none"/>
                <w:lang w:val="en-US" w:eastAsia="zh-CN"/>
              </w:rPr>
              <w:t>1</w:t>
            </w:r>
            <w:r>
              <w:rPr>
                <w:rFonts w:hint="default" w:ascii="Times New Roman" w:hAnsi="Times New Roman" w:cs="Times New Roman"/>
                <w:b w:val="0"/>
                <w:bCs w:val="0"/>
                <w:color w:val="auto"/>
                <w:kern w:val="0"/>
                <w:sz w:val="24"/>
                <w:szCs w:val="24"/>
                <w:highlight w:val="none"/>
                <w:lang w:val="en-US"/>
              </w:rPr>
              <w:t>类标准。</w:t>
            </w:r>
            <w:r>
              <w:rPr>
                <w:rFonts w:hint="eastAsia" w:cs="Times New Roman"/>
                <w:b w:val="0"/>
                <w:bCs w:val="0"/>
                <w:color w:val="auto"/>
                <w:kern w:val="0"/>
                <w:sz w:val="24"/>
                <w:szCs w:val="24"/>
                <w:highlight w:val="none"/>
                <w:lang w:val="en-US" w:eastAsia="zh-CN"/>
              </w:rPr>
              <w:t>项目所在地声环境质量较好。</w:t>
            </w:r>
          </w:p>
          <w:p w14:paraId="5A170FD9">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b/>
                <w:bCs/>
                <w:color w:val="000000" w:themeColor="text1"/>
                <w:kern w:val="0"/>
                <w:sz w:val="24"/>
                <w:szCs w:val="24"/>
                <w:highlight w:val="none"/>
                <w:lang w:val="en-US"/>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lang w:val="en-US"/>
                <w14:textFill>
                  <w14:solidFill>
                    <w14:schemeClr w14:val="tx1"/>
                  </w14:solidFill>
                </w14:textFill>
              </w:rPr>
              <w:t>3.1.4 生态环境</w:t>
            </w:r>
          </w:p>
          <w:p w14:paraId="18D13AE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000000" w:themeColor="text1"/>
                <w:kern w:val="0"/>
                <w:sz w:val="24"/>
                <w:szCs w:val="24"/>
                <w:highlight w:val="none"/>
                <w:lang w:val="en-US"/>
                <w14:textFill>
                  <w14:solidFill>
                    <w14:schemeClr w14:val="tx1"/>
                  </w14:solidFill>
                </w14:textFill>
              </w:rPr>
            </w:pPr>
            <w:r>
              <w:rPr>
                <w:rFonts w:hint="default" w:ascii="Times New Roman" w:hAnsi="Times New Roman" w:cs="Times New Roman"/>
                <w:b w:val="0"/>
                <w:bCs w:val="0"/>
                <w:color w:val="000000" w:themeColor="text1"/>
                <w:kern w:val="0"/>
                <w:sz w:val="24"/>
                <w:szCs w:val="24"/>
                <w:highlight w:val="none"/>
                <w:lang w:val="en-US"/>
                <w14:textFill>
                  <w14:solidFill>
                    <w14:schemeClr w14:val="tx1"/>
                  </w14:solidFill>
                </w14:textFill>
              </w:rPr>
              <w:t>项目位于</w:t>
            </w:r>
            <w:r>
              <w:rPr>
                <w:rFonts w:hint="eastAsia" w:cs="Times New Roman"/>
                <w:color w:val="000000" w:themeColor="text1"/>
                <w:sz w:val="24"/>
                <w:szCs w:val="24"/>
                <w:highlight w:val="none"/>
                <w:lang w:val="en-US" w:eastAsia="zh-CN"/>
                <w14:textFill>
                  <w14:solidFill>
                    <w14:schemeClr w14:val="tx1"/>
                  </w14:solidFill>
                </w14:textFill>
              </w:rPr>
              <w:t>重庆市九龙坡区二郎街道火炬大道100号附24号及附23-2号</w:t>
            </w:r>
            <w:r>
              <w:rPr>
                <w:rFonts w:hint="default" w:ascii="Times New Roman" w:hAnsi="Times New Roman" w:cs="Times New Roman"/>
                <w:b w:val="0"/>
                <w:bCs w:val="0"/>
                <w:color w:val="000000" w:themeColor="text1"/>
                <w:kern w:val="0"/>
                <w:sz w:val="24"/>
                <w:szCs w:val="24"/>
                <w:highlight w:val="none"/>
                <w:lang w:val="en-US"/>
                <w14:textFill>
                  <w14:solidFill>
                    <w14:schemeClr w14:val="tx1"/>
                  </w14:solidFill>
                </w14:textFill>
              </w:rPr>
              <w:t>，租用商业用房开展经营活动，不新增占地。周边已建设住宅区、商业区和道路。周围无生态环境保护目标，不涉及生态红线范围，对生态环境的影响较小。所以无需对生态环境进行评价。</w:t>
            </w:r>
          </w:p>
          <w:p w14:paraId="1C822366">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b/>
                <w:bCs/>
                <w:color w:val="000000" w:themeColor="text1"/>
                <w:kern w:val="0"/>
                <w:sz w:val="24"/>
                <w:szCs w:val="24"/>
                <w:highlight w:val="none"/>
                <w:lang w:val="en-US"/>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lang w:val="en-US"/>
                <w14:textFill>
                  <w14:solidFill>
                    <w14:schemeClr w14:val="tx1"/>
                  </w14:solidFill>
                </w14:textFill>
              </w:rPr>
              <w:t>3.1.5 地下水、土壤环境质量</w:t>
            </w:r>
          </w:p>
          <w:p w14:paraId="3F9454D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bCs/>
                <w:color w:val="FF0000"/>
                <w:kern w:val="0"/>
                <w:sz w:val="24"/>
                <w:szCs w:val="24"/>
                <w:highlight w:val="none"/>
                <w:lang w:val="en-US"/>
              </w:rPr>
            </w:pPr>
            <w:r>
              <w:rPr>
                <w:rFonts w:hint="default" w:ascii="Times New Roman" w:hAnsi="Times New Roman" w:eastAsia="宋体" w:cs="Times New Roman"/>
                <w:b w:val="0"/>
                <w:bCs w:val="0"/>
                <w:color w:val="000000" w:themeColor="text1"/>
                <w:kern w:val="0"/>
                <w:sz w:val="24"/>
                <w:szCs w:val="24"/>
                <w:highlight w:val="none"/>
                <w:lang w:val="en-US"/>
                <w14:textFill>
                  <w14:solidFill>
                    <w14:schemeClr w14:val="tx1"/>
                  </w14:solidFill>
                </w14:textFill>
              </w:rPr>
              <w:t>依据《建设项目环境影响报告表编制技术指南</w:t>
            </w:r>
            <w:r>
              <w:rPr>
                <w:rFonts w:hint="default" w:ascii="Times New Roman" w:hAnsi="Times New Roman" w:cs="Times New Roman"/>
                <w:b w:val="0"/>
                <w:bCs w:val="0"/>
                <w:color w:val="000000" w:themeColor="text1"/>
                <w:kern w:val="0"/>
                <w:sz w:val="24"/>
                <w:szCs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4"/>
                <w:szCs w:val="24"/>
                <w:highlight w:val="none"/>
                <w:lang w:val="en-US"/>
                <w14:textFill>
                  <w14:solidFill>
                    <w14:schemeClr w14:val="tx1"/>
                  </w14:solidFill>
                </w14:textFill>
              </w:rPr>
              <w:t>污染影响类</w:t>
            </w:r>
            <w:r>
              <w:rPr>
                <w:rFonts w:hint="default" w:ascii="Times New Roman" w:hAnsi="Times New Roman" w:cs="Times New Roman"/>
                <w:b w:val="0"/>
                <w:bCs w:val="0"/>
                <w:color w:val="000000" w:themeColor="text1"/>
                <w:kern w:val="0"/>
                <w:sz w:val="24"/>
                <w:szCs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4"/>
                <w:szCs w:val="24"/>
                <w:highlight w:val="none"/>
                <w:lang w:val="en-US"/>
                <w14:textFill>
                  <w14:solidFill>
                    <w14:schemeClr w14:val="tx1"/>
                  </w14:solidFill>
                </w14:textFill>
              </w:rPr>
              <w:t>》</w:t>
            </w:r>
            <w:r>
              <w:rPr>
                <w:rFonts w:hint="default" w:ascii="Times New Roman" w:hAnsi="Times New Roman" w:cs="Times New Roman"/>
                <w:b w:val="0"/>
                <w:bCs w:val="0"/>
                <w:color w:val="000000" w:themeColor="text1"/>
                <w:kern w:val="0"/>
                <w:sz w:val="24"/>
                <w:szCs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4"/>
                <w:szCs w:val="24"/>
                <w:highlight w:val="none"/>
                <w:lang w:val="en-US"/>
                <w14:textFill>
                  <w14:solidFill>
                    <w14:schemeClr w14:val="tx1"/>
                  </w14:solidFill>
                </w14:textFill>
              </w:rPr>
              <w:t>试行</w:t>
            </w:r>
            <w:r>
              <w:rPr>
                <w:rFonts w:hint="default" w:ascii="Times New Roman" w:hAnsi="Times New Roman" w:cs="Times New Roman"/>
                <w:b w:val="0"/>
                <w:bCs w:val="0"/>
                <w:color w:val="000000" w:themeColor="text1"/>
                <w:kern w:val="0"/>
                <w:sz w:val="24"/>
                <w:szCs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4"/>
                <w:szCs w:val="24"/>
                <w:highlight w:val="none"/>
                <w:lang w:val="en-US"/>
                <w14:textFill>
                  <w14:solidFill>
                    <w14:schemeClr w14:val="tx1"/>
                  </w14:solidFill>
                </w14:textFill>
              </w:rPr>
              <w:t>原则上不开展环境质量现状调查。建设项目存在土壤、地下水环境污染途径的应结合污染源、保护目标分布情况开展现状调查以留作背景值。项目厂界外500米范围内无地下水集中式饮用水水源和热水、矿泉水、温泉等特殊地下水资源。医废间要求采取</w:t>
            </w:r>
            <w:r>
              <w:rPr>
                <w:rFonts w:hint="eastAsia" w:cs="Times New Roman"/>
                <w:b w:val="0"/>
                <w:bCs w:val="0"/>
                <w:color w:val="000000" w:themeColor="text1"/>
                <w:kern w:val="0"/>
                <w:sz w:val="24"/>
                <w:szCs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4"/>
                <w:szCs w:val="24"/>
                <w:highlight w:val="none"/>
                <w:lang w:val="en-US"/>
                <w14:textFill>
                  <w14:solidFill>
                    <w14:schemeClr w14:val="tx1"/>
                  </w14:solidFill>
                </w14:textFill>
              </w:rPr>
              <w:t>六防</w:t>
            </w:r>
            <w:r>
              <w:rPr>
                <w:rFonts w:hint="eastAsia" w:cs="Times New Roman"/>
                <w:b w:val="0"/>
                <w:bCs w:val="0"/>
                <w:color w:val="000000" w:themeColor="text1"/>
                <w:kern w:val="0"/>
                <w:sz w:val="24"/>
                <w:szCs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4"/>
                <w:szCs w:val="24"/>
                <w:highlight w:val="none"/>
                <w:lang w:val="en-US"/>
                <w14:textFill>
                  <w14:solidFill>
                    <w14:schemeClr w14:val="tx1"/>
                  </w14:solidFill>
                </w14:textFill>
              </w:rPr>
              <w:t>措施。故无需开展地下水、土壤调查。</w:t>
            </w:r>
          </w:p>
        </w:tc>
      </w:tr>
      <w:tr w14:paraId="0B783B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86" w:hRule="atLeast"/>
          <w:jc w:val="center"/>
        </w:trPr>
        <w:tc>
          <w:tcPr>
            <w:tcW w:w="426" w:type="dxa"/>
            <w:noWrap w:val="0"/>
            <w:vAlign w:val="center"/>
          </w:tcPr>
          <w:p w14:paraId="5F91E5B1">
            <w:pPr>
              <w:adjustRightInd w:val="0"/>
              <w:snapToGrid w:val="0"/>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环境</w:t>
            </w:r>
          </w:p>
          <w:p w14:paraId="48E924B1">
            <w:pPr>
              <w:adjustRightInd w:val="0"/>
              <w:snapToGrid w:val="0"/>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保护</w:t>
            </w:r>
          </w:p>
          <w:p w14:paraId="35CDF1D3">
            <w:pPr>
              <w:adjustRightInd w:val="0"/>
              <w:snapToGrid w:val="0"/>
              <w:jc w:val="center"/>
              <w:rPr>
                <w:rFonts w:hint="default" w:ascii="Times New Roman" w:hAnsi="Times New Roman" w:cs="Times New Roman"/>
                <w:color w:val="FF0000"/>
                <w:kern w:val="0"/>
                <w:szCs w:val="21"/>
                <w:highlight w:val="none"/>
              </w:rPr>
            </w:pPr>
            <w:r>
              <w:rPr>
                <w:rFonts w:hint="default" w:ascii="Times New Roman" w:hAnsi="Times New Roman" w:cs="Times New Roman"/>
                <w:color w:val="000000" w:themeColor="text1"/>
                <w:kern w:val="0"/>
                <w:szCs w:val="21"/>
                <w:highlight w:val="none"/>
                <w14:textFill>
                  <w14:solidFill>
                    <w14:schemeClr w14:val="tx1"/>
                  </w14:solidFill>
                </w14:textFill>
              </w:rPr>
              <w:t>目标</w:t>
            </w:r>
          </w:p>
        </w:tc>
        <w:tc>
          <w:tcPr>
            <w:tcW w:w="8600" w:type="dxa"/>
            <w:noWrap w:val="0"/>
            <w:vAlign w:val="center"/>
          </w:tcPr>
          <w:p w14:paraId="74BE705D">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cs="Times New Roman"/>
                <w:b/>
                <w:bCs/>
                <w:color w:val="000000" w:themeColor="text1"/>
                <w:kern w:val="0"/>
                <w:sz w:val="24"/>
                <w:szCs w:val="24"/>
                <w:highlight w:val="none"/>
                <w14:textFill>
                  <w14:solidFill>
                    <w14:schemeClr w14:val="tx1"/>
                  </w14:solidFill>
                </w14:textFill>
              </w:rPr>
            </w:pPr>
            <w:r>
              <w:rPr>
                <w:rFonts w:hint="default" w:ascii="Times New Roman" w:hAnsi="Times New Roman" w:cs="Times New Roman"/>
                <w:b/>
                <w:bCs/>
                <w:color w:val="000000" w:themeColor="text1"/>
                <w:kern w:val="0"/>
                <w:sz w:val="24"/>
                <w:szCs w:val="24"/>
                <w:highlight w:val="none"/>
                <w14:textFill>
                  <w14:solidFill>
                    <w14:schemeClr w14:val="tx1"/>
                  </w14:solidFill>
                </w14:textFill>
              </w:rPr>
              <w:t>3.2 环境保护目标</w:t>
            </w:r>
          </w:p>
          <w:p w14:paraId="4960A2D1">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cs="Times New Roman"/>
                <w:b/>
                <w:bCs/>
                <w:color w:val="000000" w:themeColor="text1"/>
                <w:kern w:val="0"/>
                <w:sz w:val="24"/>
                <w:szCs w:val="24"/>
                <w:highlight w:val="none"/>
                <w14:textFill>
                  <w14:solidFill>
                    <w14:schemeClr w14:val="tx1"/>
                  </w14:solidFill>
                </w14:textFill>
              </w:rPr>
            </w:pPr>
            <w:r>
              <w:rPr>
                <w:rFonts w:hint="default" w:ascii="Times New Roman" w:hAnsi="Times New Roman" w:cs="Times New Roman"/>
                <w:b/>
                <w:bCs/>
                <w:color w:val="000000" w:themeColor="text1"/>
                <w:kern w:val="0"/>
                <w:sz w:val="24"/>
                <w:szCs w:val="24"/>
                <w:highlight w:val="none"/>
                <w14:textFill>
                  <w14:solidFill>
                    <w14:schemeClr w14:val="tx1"/>
                  </w14:solidFill>
                </w14:textFill>
              </w:rPr>
              <w:t>3.2.1 周边环境关系</w:t>
            </w:r>
          </w:p>
          <w:p w14:paraId="41DAB67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auto"/>
                <w:kern w:val="0"/>
                <w:sz w:val="24"/>
                <w:szCs w:val="24"/>
                <w:highlight w:val="none"/>
              </w:rPr>
            </w:pPr>
            <w:r>
              <w:rPr>
                <w:rFonts w:hint="default" w:ascii="Times New Roman" w:hAnsi="Times New Roman" w:cs="Times New Roman"/>
                <w:b w:val="0"/>
                <w:bCs w:val="0"/>
                <w:color w:val="auto"/>
                <w:kern w:val="0"/>
                <w:sz w:val="24"/>
                <w:szCs w:val="24"/>
                <w:highlight w:val="none"/>
              </w:rPr>
              <w:t>项目位于</w:t>
            </w:r>
            <w:r>
              <w:rPr>
                <w:rFonts w:hint="eastAsia" w:ascii="Times New Roman" w:hAnsi="Times New Roman" w:eastAsia="宋体" w:cs="Times New Roman"/>
                <w:color w:val="auto"/>
                <w:sz w:val="24"/>
                <w:highlight w:val="none"/>
                <w:lang w:val="en-US" w:eastAsia="zh-CN"/>
              </w:rPr>
              <w:t>重庆市九龙坡区二郎街道火炬大道100号附24号及附23-2号商铺1F</w:t>
            </w:r>
            <w:r>
              <w:rPr>
                <w:rFonts w:hint="default" w:ascii="Times New Roman" w:hAnsi="Times New Roman" w:cs="Times New Roman"/>
                <w:b w:val="0"/>
                <w:bCs w:val="0"/>
                <w:color w:val="auto"/>
                <w:kern w:val="0"/>
                <w:sz w:val="24"/>
                <w:szCs w:val="24"/>
                <w:highlight w:val="none"/>
              </w:rPr>
              <w:t>。项目外环境关系情况见表3.2-1。</w:t>
            </w:r>
          </w:p>
          <w:p w14:paraId="7E7ADED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0"/>
                <w:sz w:val="24"/>
                <w:szCs w:val="24"/>
                <w:highlight w:val="none"/>
                <w:vertAlign w:val="baseline"/>
                <w:lang w:val="en-US" w:eastAsia="zh-CN"/>
              </w:rPr>
            </w:pPr>
            <w:r>
              <w:rPr>
                <w:rFonts w:hint="default" w:ascii="Times New Roman" w:hAnsi="Times New Roman" w:cs="Times New Roman"/>
                <w:b/>
                <w:bCs/>
                <w:color w:val="auto"/>
                <w:kern w:val="0"/>
                <w:sz w:val="24"/>
                <w:szCs w:val="24"/>
                <w:highlight w:val="none"/>
                <w:lang w:val="en-US" w:eastAsia="zh-CN"/>
              </w:rPr>
              <w:t>表3.2-1项目外环境关系一览表</w:t>
            </w:r>
          </w:p>
          <w:tbl>
            <w:tblPr>
              <w:tblStyle w:val="21"/>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2"/>
              <w:gridCol w:w="2506"/>
              <w:gridCol w:w="1622"/>
              <w:gridCol w:w="1699"/>
              <w:gridCol w:w="1672"/>
            </w:tblGrid>
            <w:tr w14:paraId="746986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90" w:hRule="atLeast"/>
              </w:trPr>
              <w:tc>
                <w:tcPr>
                  <w:tcW w:w="510" w:type="pct"/>
                  <w:tcBorders>
                    <w:tl2br w:val="nil"/>
                    <w:tr2bl w:val="nil"/>
                  </w:tcBorders>
                  <w:vAlign w:val="center"/>
                </w:tcPr>
                <w:p w14:paraId="116578B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序号</w:t>
                  </w:r>
                </w:p>
              </w:tc>
              <w:tc>
                <w:tcPr>
                  <w:tcW w:w="1500" w:type="pct"/>
                  <w:tcBorders>
                    <w:tl2br w:val="nil"/>
                    <w:tr2bl w:val="nil"/>
                  </w:tcBorders>
                  <w:vAlign w:val="center"/>
                </w:tcPr>
                <w:p w14:paraId="4E830E1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default" w:cs="Times New Roman"/>
                      <w:b w:val="0"/>
                      <w:bCs w:val="0"/>
                      <w:color w:val="auto"/>
                      <w:kern w:val="0"/>
                      <w:sz w:val="21"/>
                      <w:szCs w:val="21"/>
                      <w:highlight w:val="none"/>
                      <w:vertAlign w:val="baseline"/>
                      <w:lang w:val="en-US" w:eastAsia="zh-CN"/>
                    </w:rPr>
                    <w:t>名称</w:t>
                  </w:r>
                </w:p>
              </w:tc>
              <w:tc>
                <w:tcPr>
                  <w:tcW w:w="971" w:type="pct"/>
                  <w:tcBorders>
                    <w:tl2br w:val="nil"/>
                    <w:tr2bl w:val="nil"/>
                  </w:tcBorders>
                  <w:vAlign w:val="center"/>
                </w:tcPr>
                <w:p w14:paraId="66A66F4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方位</w:t>
                  </w:r>
                </w:p>
              </w:tc>
              <w:tc>
                <w:tcPr>
                  <w:tcW w:w="1017" w:type="pct"/>
                  <w:tcBorders>
                    <w:tl2br w:val="nil"/>
                    <w:tr2bl w:val="nil"/>
                  </w:tcBorders>
                  <w:vAlign w:val="center"/>
                </w:tcPr>
                <w:p w14:paraId="0A62C73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最近距离</w:t>
                  </w:r>
                </w:p>
              </w:tc>
              <w:tc>
                <w:tcPr>
                  <w:tcW w:w="1001" w:type="pct"/>
                  <w:tcBorders>
                    <w:tl2br w:val="nil"/>
                    <w:tr2bl w:val="nil"/>
                  </w:tcBorders>
                  <w:vAlign w:val="center"/>
                </w:tcPr>
                <w:p w14:paraId="2E1E912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备注</w:t>
                  </w:r>
                </w:p>
              </w:tc>
            </w:tr>
            <w:tr w14:paraId="68174A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10" w:type="pct"/>
                  <w:tcBorders>
                    <w:tl2br w:val="nil"/>
                    <w:tr2bl w:val="nil"/>
                  </w:tcBorders>
                  <w:vAlign w:val="center"/>
                </w:tcPr>
                <w:p w14:paraId="79026B6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1</w:t>
                  </w:r>
                </w:p>
              </w:tc>
              <w:tc>
                <w:tcPr>
                  <w:tcW w:w="1500" w:type="pct"/>
                  <w:tcBorders>
                    <w:tl2br w:val="nil"/>
                    <w:tr2bl w:val="nil"/>
                  </w:tcBorders>
                  <w:vAlign w:val="center"/>
                </w:tcPr>
                <w:p w14:paraId="3DC6A55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弘悦101居民楼</w:t>
                  </w:r>
                </w:p>
              </w:tc>
              <w:tc>
                <w:tcPr>
                  <w:tcW w:w="971" w:type="pct"/>
                  <w:tcBorders>
                    <w:tl2br w:val="nil"/>
                    <w:tr2bl w:val="nil"/>
                  </w:tcBorders>
                  <w:vAlign w:val="center"/>
                </w:tcPr>
                <w:p w14:paraId="0B6438E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东侧</w:t>
                  </w:r>
                </w:p>
              </w:tc>
              <w:tc>
                <w:tcPr>
                  <w:tcW w:w="1017" w:type="pct"/>
                  <w:tcBorders>
                    <w:tl2br w:val="nil"/>
                    <w:tr2bl w:val="nil"/>
                  </w:tcBorders>
                  <w:vAlign w:val="center"/>
                </w:tcPr>
                <w:p w14:paraId="1E05F13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85m</w:t>
                  </w:r>
                </w:p>
              </w:tc>
              <w:tc>
                <w:tcPr>
                  <w:tcW w:w="1001" w:type="pct"/>
                  <w:tcBorders>
                    <w:tl2br w:val="nil"/>
                    <w:tr2bl w:val="nil"/>
                  </w:tcBorders>
                  <w:vAlign w:val="center"/>
                </w:tcPr>
                <w:p w14:paraId="4A49B7D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居住区</w:t>
                  </w:r>
                </w:p>
              </w:tc>
            </w:tr>
            <w:tr w14:paraId="727F13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10" w:type="pct"/>
                  <w:tcBorders>
                    <w:tl2br w:val="nil"/>
                    <w:tr2bl w:val="nil"/>
                  </w:tcBorders>
                  <w:vAlign w:val="center"/>
                </w:tcPr>
                <w:p w14:paraId="72087A0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2</w:t>
                  </w:r>
                </w:p>
              </w:tc>
              <w:tc>
                <w:tcPr>
                  <w:tcW w:w="1500" w:type="pct"/>
                  <w:tcBorders>
                    <w:tl2br w:val="nil"/>
                    <w:tr2bl w:val="nil"/>
                  </w:tcBorders>
                  <w:vAlign w:val="center"/>
                </w:tcPr>
                <w:p w14:paraId="7B115E5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弘悦101居民楼</w:t>
                  </w:r>
                </w:p>
              </w:tc>
              <w:tc>
                <w:tcPr>
                  <w:tcW w:w="971" w:type="pct"/>
                  <w:tcBorders>
                    <w:tl2br w:val="nil"/>
                    <w:tr2bl w:val="nil"/>
                  </w:tcBorders>
                  <w:vAlign w:val="center"/>
                </w:tcPr>
                <w:p w14:paraId="54AF48D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南侧</w:t>
                  </w:r>
                </w:p>
              </w:tc>
              <w:tc>
                <w:tcPr>
                  <w:tcW w:w="1017" w:type="pct"/>
                  <w:tcBorders>
                    <w:tl2br w:val="nil"/>
                    <w:tr2bl w:val="nil"/>
                  </w:tcBorders>
                  <w:vAlign w:val="center"/>
                </w:tcPr>
                <w:p w14:paraId="385049E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25m</w:t>
                  </w:r>
                </w:p>
              </w:tc>
              <w:tc>
                <w:tcPr>
                  <w:tcW w:w="1001" w:type="pct"/>
                  <w:tcBorders>
                    <w:tl2br w:val="nil"/>
                    <w:tr2bl w:val="nil"/>
                  </w:tcBorders>
                  <w:vAlign w:val="center"/>
                </w:tcPr>
                <w:p w14:paraId="66A0C3C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居住区</w:t>
                  </w:r>
                </w:p>
              </w:tc>
            </w:tr>
            <w:tr w14:paraId="241E06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10" w:type="pct"/>
                  <w:tcBorders>
                    <w:tl2br w:val="nil"/>
                    <w:tr2bl w:val="nil"/>
                  </w:tcBorders>
                  <w:vAlign w:val="center"/>
                </w:tcPr>
                <w:p w14:paraId="58DB3C7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3</w:t>
                  </w:r>
                </w:p>
              </w:tc>
              <w:tc>
                <w:tcPr>
                  <w:tcW w:w="1500" w:type="pct"/>
                  <w:tcBorders>
                    <w:tl2br w:val="nil"/>
                    <w:tr2bl w:val="nil"/>
                  </w:tcBorders>
                  <w:vAlign w:val="center"/>
                </w:tcPr>
                <w:p w14:paraId="1309D7C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渝高中学</w:t>
                  </w:r>
                </w:p>
              </w:tc>
              <w:tc>
                <w:tcPr>
                  <w:tcW w:w="971" w:type="pct"/>
                  <w:tcBorders>
                    <w:tl2br w:val="nil"/>
                    <w:tr2bl w:val="nil"/>
                  </w:tcBorders>
                  <w:vAlign w:val="center"/>
                </w:tcPr>
                <w:p w14:paraId="19B87C6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西侧</w:t>
                  </w:r>
                </w:p>
              </w:tc>
              <w:tc>
                <w:tcPr>
                  <w:tcW w:w="1017" w:type="pct"/>
                  <w:tcBorders>
                    <w:tl2br w:val="nil"/>
                    <w:tr2bl w:val="nil"/>
                  </w:tcBorders>
                  <w:vAlign w:val="center"/>
                </w:tcPr>
                <w:p w14:paraId="0142AE8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20m</w:t>
                  </w:r>
                </w:p>
              </w:tc>
              <w:tc>
                <w:tcPr>
                  <w:tcW w:w="1001" w:type="pct"/>
                  <w:tcBorders>
                    <w:tl2br w:val="nil"/>
                    <w:tr2bl w:val="nil"/>
                  </w:tcBorders>
                  <w:vAlign w:val="center"/>
                </w:tcPr>
                <w:p w14:paraId="49B2B4A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学校</w:t>
                  </w:r>
                </w:p>
              </w:tc>
            </w:tr>
            <w:tr w14:paraId="78E2AC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10" w:type="pct"/>
                  <w:tcBorders>
                    <w:tl2br w:val="nil"/>
                    <w:tr2bl w:val="nil"/>
                  </w:tcBorders>
                  <w:vAlign w:val="center"/>
                </w:tcPr>
                <w:p w14:paraId="7217641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4</w:t>
                  </w:r>
                </w:p>
              </w:tc>
              <w:tc>
                <w:tcPr>
                  <w:tcW w:w="1500" w:type="pct"/>
                  <w:tcBorders>
                    <w:tl2br w:val="nil"/>
                    <w:tr2bl w:val="nil"/>
                  </w:tcBorders>
                  <w:vAlign w:val="center"/>
                </w:tcPr>
                <w:p w14:paraId="33864D1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火炬大道</w:t>
                  </w:r>
                </w:p>
              </w:tc>
              <w:tc>
                <w:tcPr>
                  <w:tcW w:w="971" w:type="pct"/>
                  <w:tcBorders>
                    <w:tl2br w:val="nil"/>
                    <w:tr2bl w:val="nil"/>
                  </w:tcBorders>
                  <w:vAlign w:val="center"/>
                </w:tcPr>
                <w:p w14:paraId="7AAA43F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北侧</w:t>
                  </w:r>
                </w:p>
              </w:tc>
              <w:tc>
                <w:tcPr>
                  <w:tcW w:w="1017" w:type="pct"/>
                  <w:tcBorders>
                    <w:tl2br w:val="nil"/>
                    <w:tr2bl w:val="nil"/>
                  </w:tcBorders>
                  <w:vAlign w:val="center"/>
                </w:tcPr>
                <w:p w14:paraId="27F31C8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25m</w:t>
                  </w:r>
                </w:p>
              </w:tc>
              <w:tc>
                <w:tcPr>
                  <w:tcW w:w="1001" w:type="pct"/>
                  <w:tcBorders>
                    <w:tl2br w:val="nil"/>
                    <w:tr2bl w:val="nil"/>
                  </w:tcBorders>
                  <w:vAlign w:val="center"/>
                </w:tcPr>
                <w:p w14:paraId="08BB868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道路</w:t>
                  </w:r>
                </w:p>
              </w:tc>
            </w:tr>
          </w:tbl>
          <w:p w14:paraId="55804E60">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kern w:val="0"/>
                <w:sz w:val="24"/>
                <w:szCs w:val="24"/>
                <w:highlight w:val="none"/>
                <w14:textFill>
                  <w14:solidFill>
                    <w14:schemeClr w14:val="tx1"/>
                  </w14:solidFill>
                </w14:textFill>
              </w:rPr>
              <w:t>3.2.</w:t>
            </w:r>
            <w:r>
              <w:rPr>
                <w:rFonts w:hint="default" w:ascii="Times New Roman" w:hAnsi="Times New Roman" w:cs="Times New Roman"/>
                <w:b/>
                <w:bCs/>
                <w:color w:val="000000" w:themeColor="text1"/>
                <w:kern w:val="0"/>
                <w:sz w:val="24"/>
                <w:szCs w:val="24"/>
                <w:highlight w:val="none"/>
                <w:lang w:val="en-US" w:eastAsia="zh-CN"/>
                <w14:textFill>
                  <w14:solidFill>
                    <w14:schemeClr w14:val="tx1"/>
                  </w14:solidFill>
                </w14:textFill>
              </w:rPr>
              <w:t>2</w:t>
            </w:r>
            <w:r>
              <w:rPr>
                <w:rFonts w:hint="default" w:ascii="Times New Roman" w:hAnsi="Times New Roman" w:cs="Times New Roman"/>
                <w:b/>
                <w:bCs/>
                <w:color w:val="000000" w:themeColor="text1"/>
                <w:kern w:val="0"/>
                <w:sz w:val="24"/>
                <w:szCs w:val="24"/>
                <w:highlight w:val="none"/>
                <w14:textFill>
                  <w14:solidFill>
                    <w14:schemeClr w14:val="tx1"/>
                  </w14:solidFill>
                </w14:textFill>
              </w:rPr>
              <w:t xml:space="preserve"> </w:t>
            </w:r>
            <w:r>
              <w:rPr>
                <w:rFonts w:hint="default" w:ascii="Times New Roman" w:hAnsi="Times New Roman" w:cs="Times New Roman"/>
                <w:b/>
                <w:bCs/>
                <w:color w:val="000000" w:themeColor="text1"/>
                <w:kern w:val="0"/>
                <w:sz w:val="24"/>
                <w:szCs w:val="24"/>
                <w:highlight w:val="none"/>
                <w:lang w:val="en-US" w:eastAsia="zh-CN"/>
                <w14:textFill>
                  <w14:solidFill>
                    <w14:schemeClr w14:val="tx1"/>
                  </w14:solidFill>
                </w14:textFill>
              </w:rPr>
              <w:t>环境保护目标</w:t>
            </w:r>
          </w:p>
          <w:p w14:paraId="7ED42FF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4"/>
                <w:szCs w:val="24"/>
                <w:highlight w:val="none"/>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大气环境保护目标</w:t>
            </w:r>
          </w:p>
          <w:p w14:paraId="0948768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bCs/>
                <w:color w:val="auto"/>
                <w:kern w:val="0"/>
                <w:sz w:val="24"/>
                <w:szCs w:val="24"/>
                <w:highlight w:val="none"/>
                <w:lang w:val="en-US" w:eastAsia="zh-CN"/>
              </w:rPr>
            </w:pPr>
            <w:r>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根据现场调查，项目</w:t>
            </w:r>
            <w:r>
              <w:rPr>
                <w:rFonts w:hint="eastAsia" w:cs="Times New Roman"/>
                <w:b w:val="0"/>
                <w:bCs w:val="0"/>
                <w:color w:val="000000" w:themeColor="text1"/>
                <w:kern w:val="0"/>
                <w:sz w:val="24"/>
                <w:szCs w:val="24"/>
                <w:highlight w:val="none"/>
                <w:lang w:val="en-US" w:eastAsia="zh-CN"/>
                <w14:textFill>
                  <w14:solidFill>
                    <w14:schemeClr w14:val="tx1"/>
                  </w14:solidFill>
                </w14:textFill>
              </w:rPr>
              <w:t>场界</w:t>
            </w:r>
            <w:r>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外500m范围内，无自然保护区、风景名胜区等大气保护目标。主要环境保护目标为居住区、学校、医院等。项目大气环境保护目标一</w:t>
            </w:r>
            <w:r>
              <w:rPr>
                <w:rFonts w:hint="default" w:ascii="Times New Roman" w:hAnsi="Times New Roman" w:eastAsia="宋体" w:cs="Times New Roman"/>
                <w:b w:val="0"/>
                <w:bCs w:val="0"/>
                <w:color w:val="auto"/>
                <w:kern w:val="0"/>
                <w:sz w:val="24"/>
                <w:szCs w:val="24"/>
                <w:highlight w:val="none"/>
                <w:lang w:val="en-US" w:eastAsia="zh-CN"/>
              </w:rPr>
              <w:t>览表详见表3.2-2。</w:t>
            </w:r>
          </w:p>
          <w:p w14:paraId="47201A2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0"/>
                <w:sz w:val="24"/>
                <w:szCs w:val="24"/>
                <w:highlight w:val="none"/>
                <w:vertAlign w:val="baseline"/>
                <w:lang w:val="en-US" w:eastAsia="zh-CN"/>
              </w:rPr>
            </w:pPr>
            <w:r>
              <w:rPr>
                <w:rFonts w:hint="default" w:ascii="Times New Roman" w:hAnsi="Times New Roman" w:eastAsia="宋体" w:cs="Times New Roman"/>
                <w:b/>
                <w:bCs/>
                <w:color w:val="auto"/>
                <w:kern w:val="0"/>
                <w:sz w:val="24"/>
                <w:szCs w:val="24"/>
                <w:highlight w:val="none"/>
                <w:lang w:val="en-US" w:eastAsia="zh-CN"/>
              </w:rPr>
              <w:t>表3.2-2 项目大气环境保护目标一览表</w:t>
            </w:r>
          </w:p>
          <w:tbl>
            <w:tblPr>
              <w:tblStyle w:val="21"/>
              <w:tblW w:w="4998" w:type="pct"/>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70"/>
              <w:gridCol w:w="1937"/>
              <w:gridCol w:w="627"/>
              <w:gridCol w:w="628"/>
              <w:gridCol w:w="844"/>
              <w:gridCol w:w="914"/>
              <w:gridCol w:w="899"/>
              <w:gridCol w:w="1932"/>
            </w:tblGrid>
            <w:tr w14:paraId="7BEF67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restart"/>
                  <w:tcBorders>
                    <w:tl2br w:val="nil"/>
                    <w:tr2bl w:val="nil"/>
                  </w:tcBorders>
                  <w:vAlign w:val="center"/>
                </w:tcPr>
                <w:p w14:paraId="76D83C0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序号</w:t>
                  </w:r>
                </w:p>
              </w:tc>
              <w:tc>
                <w:tcPr>
                  <w:tcW w:w="1159" w:type="pct"/>
                  <w:vMerge w:val="restart"/>
                  <w:tcBorders>
                    <w:tl2br w:val="nil"/>
                    <w:tr2bl w:val="nil"/>
                  </w:tcBorders>
                  <w:vAlign w:val="center"/>
                </w:tcPr>
                <w:p w14:paraId="729703C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名称</w:t>
                  </w:r>
                </w:p>
              </w:tc>
              <w:tc>
                <w:tcPr>
                  <w:tcW w:w="751" w:type="pct"/>
                  <w:gridSpan w:val="2"/>
                  <w:tcBorders>
                    <w:tl2br w:val="nil"/>
                    <w:tr2bl w:val="nil"/>
                  </w:tcBorders>
                  <w:vAlign w:val="center"/>
                </w:tcPr>
                <w:p w14:paraId="4A663C5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坐标/m</w:t>
                  </w:r>
                </w:p>
              </w:tc>
              <w:tc>
                <w:tcPr>
                  <w:tcW w:w="505" w:type="pct"/>
                  <w:vMerge w:val="restart"/>
                  <w:tcBorders>
                    <w:tl2br w:val="nil"/>
                    <w:tr2bl w:val="nil"/>
                  </w:tcBorders>
                  <w:vAlign w:val="center"/>
                </w:tcPr>
                <w:p w14:paraId="22CB44B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环境功能区</w:t>
                  </w:r>
                </w:p>
              </w:tc>
              <w:tc>
                <w:tcPr>
                  <w:tcW w:w="547" w:type="pct"/>
                  <w:vMerge w:val="restart"/>
                  <w:tcBorders>
                    <w:tl2br w:val="nil"/>
                    <w:tr2bl w:val="nil"/>
                  </w:tcBorders>
                  <w:vAlign w:val="center"/>
                </w:tcPr>
                <w:p w14:paraId="0031034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相对厂址方位</w:t>
                  </w:r>
                </w:p>
              </w:tc>
              <w:tc>
                <w:tcPr>
                  <w:tcW w:w="538" w:type="pct"/>
                  <w:vMerge w:val="restart"/>
                  <w:tcBorders>
                    <w:tl2br w:val="nil"/>
                    <w:tr2bl w:val="nil"/>
                  </w:tcBorders>
                  <w:vAlign w:val="center"/>
                </w:tcPr>
                <w:p w14:paraId="0D7B454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相对厂界距离</w:t>
                  </w:r>
                </w:p>
              </w:tc>
              <w:tc>
                <w:tcPr>
                  <w:tcW w:w="1156" w:type="pct"/>
                  <w:vMerge w:val="restart"/>
                  <w:tcBorders>
                    <w:tl2br w:val="nil"/>
                    <w:tr2bl w:val="nil"/>
                  </w:tcBorders>
                  <w:vAlign w:val="center"/>
                </w:tcPr>
                <w:p w14:paraId="2D82EA5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保护内容</w:t>
                  </w:r>
                </w:p>
              </w:tc>
            </w:tr>
            <w:tr w14:paraId="507083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continue"/>
                  <w:tcBorders>
                    <w:tl2br w:val="nil"/>
                    <w:tr2bl w:val="nil"/>
                  </w:tcBorders>
                  <w:vAlign w:val="center"/>
                </w:tcPr>
                <w:p w14:paraId="0442BA8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1159" w:type="pct"/>
                  <w:vMerge w:val="continue"/>
                  <w:tcBorders>
                    <w:tl2br w:val="nil"/>
                    <w:tr2bl w:val="nil"/>
                  </w:tcBorders>
                  <w:vAlign w:val="center"/>
                </w:tcPr>
                <w:p w14:paraId="31A7715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vertAlign w:val="baseline"/>
                      <w:lang w:val="en-US" w:eastAsia="zh-CN"/>
                    </w:rPr>
                  </w:pPr>
                </w:p>
              </w:tc>
              <w:tc>
                <w:tcPr>
                  <w:tcW w:w="375" w:type="pct"/>
                  <w:tcBorders>
                    <w:tl2br w:val="nil"/>
                    <w:tr2bl w:val="nil"/>
                  </w:tcBorders>
                  <w:vAlign w:val="center"/>
                </w:tcPr>
                <w:p w14:paraId="60C13F3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X</w:t>
                  </w:r>
                </w:p>
              </w:tc>
              <w:tc>
                <w:tcPr>
                  <w:tcW w:w="376" w:type="pct"/>
                  <w:tcBorders>
                    <w:tl2br w:val="nil"/>
                    <w:tr2bl w:val="nil"/>
                  </w:tcBorders>
                  <w:vAlign w:val="center"/>
                </w:tcPr>
                <w:p w14:paraId="2A974E1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Y</w:t>
                  </w:r>
                </w:p>
              </w:tc>
              <w:tc>
                <w:tcPr>
                  <w:tcW w:w="505" w:type="pct"/>
                  <w:vMerge w:val="continue"/>
                  <w:tcBorders>
                    <w:tl2br w:val="nil"/>
                    <w:tr2bl w:val="nil"/>
                  </w:tcBorders>
                  <w:vAlign w:val="center"/>
                </w:tcPr>
                <w:p w14:paraId="0CDF538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547" w:type="pct"/>
                  <w:vMerge w:val="continue"/>
                  <w:tcBorders>
                    <w:tl2br w:val="nil"/>
                    <w:tr2bl w:val="nil"/>
                  </w:tcBorders>
                  <w:vAlign w:val="center"/>
                </w:tcPr>
                <w:p w14:paraId="28C9412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538" w:type="pct"/>
                  <w:vMerge w:val="continue"/>
                  <w:tcBorders>
                    <w:tl2br w:val="nil"/>
                    <w:tr2bl w:val="nil"/>
                  </w:tcBorders>
                  <w:vAlign w:val="center"/>
                </w:tcPr>
                <w:p w14:paraId="08F1C9B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1156" w:type="pct"/>
                  <w:vMerge w:val="continue"/>
                  <w:tcBorders>
                    <w:tl2br w:val="nil"/>
                    <w:tr2bl w:val="nil"/>
                  </w:tcBorders>
                  <w:vAlign w:val="center"/>
                </w:tcPr>
                <w:p w14:paraId="1830C96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p>
              </w:tc>
            </w:tr>
            <w:tr w14:paraId="51D8EF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8" w:hRule="atLeast"/>
              </w:trPr>
              <w:tc>
                <w:tcPr>
                  <w:tcW w:w="341" w:type="pct"/>
                  <w:tcBorders>
                    <w:tl2br w:val="nil"/>
                    <w:tr2bl w:val="nil"/>
                  </w:tcBorders>
                  <w:vAlign w:val="center"/>
                </w:tcPr>
                <w:p w14:paraId="7041ED7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1</w:t>
                  </w:r>
                </w:p>
              </w:tc>
              <w:tc>
                <w:tcPr>
                  <w:tcW w:w="1159" w:type="pct"/>
                  <w:tcBorders>
                    <w:tl2br w:val="nil"/>
                    <w:tr2bl w:val="nil"/>
                  </w:tcBorders>
                  <w:vAlign w:val="center"/>
                </w:tcPr>
                <w:p w14:paraId="0AC21A7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渝高中学</w:t>
                  </w:r>
                </w:p>
              </w:tc>
              <w:tc>
                <w:tcPr>
                  <w:tcW w:w="375" w:type="pct"/>
                  <w:tcBorders>
                    <w:tl2br w:val="nil"/>
                    <w:tr2bl w:val="nil"/>
                  </w:tcBorders>
                  <w:vAlign w:val="center"/>
                </w:tcPr>
                <w:p w14:paraId="1A8920D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vertAlign w:val="baseline"/>
                      <w:lang w:val="en-US" w:eastAsia="zh-CN"/>
                    </w:rPr>
                  </w:pPr>
                  <w:r>
                    <w:rPr>
                      <w:rFonts w:hint="eastAsia"/>
                    </w:rPr>
                    <w:t>-19</w:t>
                  </w:r>
                </w:p>
              </w:tc>
              <w:tc>
                <w:tcPr>
                  <w:tcW w:w="376" w:type="pct"/>
                  <w:tcBorders>
                    <w:tl2br w:val="nil"/>
                    <w:tr2bl w:val="nil"/>
                  </w:tcBorders>
                  <w:vAlign w:val="center"/>
                </w:tcPr>
                <w:p w14:paraId="7ABADD5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vertAlign w:val="baseline"/>
                      <w:lang w:val="en-US" w:eastAsia="zh-CN"/>
                    </w:rPr>
                  </w:pPr>
                  <w:r>
                    <w:rPr>
                      <w:rFonts w:hint="eastAsia"/>
                    </w:rPr>
                    <w:t>-179</w:t>
                  </w:r>
                </w:p>
              </w:tc>
              <w:tc>
                <w:tcPr>
                  <w:tcW w:w="505" w:type="pct"/>
                  <w:vMerge w:val="restart"/>
                  <w:tcBorders>
                    <w:tl2br w:val="nil"/>
                    <w:tr2bl w:val="nil"/>
                  </w:tcBorders>
                  <w:vAlign w:val="center"/>
                </w:tcPr>
                <w:p w14:paraId="1ECB1B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大气环境功能二类区</w:t>
                  </w:r>
                </w:p>
              </w:tc>
              <w:tc>
                <w:tcPr>
                  <w:tcW w:w="547" w:type="pct"/>
                  <w:tcBorders>
                    <w:tl2br w:val="nil"/>
                    <w:tr2bl w:val="nil"/>
                  </w:tcBorders>
                  <w:vAlign w:val="center"/>
                </w:tcPr>
                <w:p w14:paraId="5A3CDCF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西、南</w:t>
                  </w:r>
                </w:p>
              </w:tc>
              <w:tc>
                <w:tcPr>
                  <w:tcW w:w="538" w:type="pct"/>
                  <w:tcBorders>
                    <w:tl2br w:val="nil"/>
                    <w:tr2bl w:val="nil"/>
                  </w:tcBorders>
                  <w:vAlign w:val="center"/>
                </w:tcPr>
                <w:p w14:paraId="174B7D5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20</w:t>
                  </w:r>
                </w:p>
              </w:tc>
              <w:tc>
                <w:tcPr>
                  <w:tcW w:w="1156" w:type="pct"/>
                  <w:tcBorders>
                    <w:tl2br w:val="nil"/>
                    <w:tr2bl w:val="nil"/>
                  </w:tcBorders>
                  <w:vAlign w:val="center"/>
                </w:tcPr>
                <w:p w14:paraId="56984A2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学校，约3000人</w:t>
                  </w:r>
                </w:p>
              </w:tc>
            </w:tr>
            <w:tr w14:paraId="314334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 w:hRule="atLeast"/>
              </w:trPr>
              <w:tc>
                <w:tcPr>
                  <w:tcW w:w="341" w:type="pct"/>
                  <w:tcBorders>
                    <w:tl2br w:val="nil"/>
                    <w:tr2bl w:val="nil"/>
                  </w:tcBorders>
                  <w:vAlign w:val="center"/>
                </w:tcPr>
                <w:p w14:paraId="3AFE710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2</w:t>
                  </w:r>
                </w:p>
              </w:tc>
              <w:tc>
                <w:tcPr>
                  <w:tcW w:w="1159" w:type="pct"/>
                  <w:tcBorders>
                    <w:tl2br w:val="nil"/>
                    <w:tr2bl w:val="nil"/>
                  </w:tcBorders>
                  <w:vAlign w:val="center"/>
                </w:tcPr>
                <w:p w14:paraId="4437BE6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弘悦101住宅区</w:t>
                  </w:r>
                </w:p>
              </w:tc>
              <w:tc>
                <w:tcPr>
                  <w:tcW w:w="375" w:type="pct"/>
                  <w:tcBorders>
                    <w:tl2br w:val="nil"/>
                    <w:tr2bl w:val="nil"/>
                  </w:tcBorders>
                  <w:vAlign w:val="center"/>
                </w:tcPr>
                <w:p w14:paraId="633706E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rPr>
                    <w:t>69</w:t>
                  </w:r>
                </w:p>
              </w:tc>
              <w:tc>
                <w:tcPr>
                  <w:tcW w:w="376" w:type="pct"/>
                  <w:tcBorders>
                    <w:tl2br w:val="nil"/>
                    <w:tr2bl w:val="nil"/>
                  </w:tcBorders>
                  <w:vAlign w:val="center"/>
                </w:tcPr>
                <w:p w14:paraId="1642FAD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rPr>
                    <w:t>-45</w:t>
                  </w:r>
                </w:p>
              </w:tc>
              <w:tc>
                <w:tcPr>
                  <w:tcW w:w="505" w:type="pct"/>
                  <w:vMerge w:val="continue"/>
                  <w:tcBorders>
                    <w:tl2br w:val="nil"/>
                    <w:tr2bl w:val="nil"/>
                  </w:tcBorders>
                  <w:vAlign w:val="center"/>
                </w:tcPr>
                <w:p w14:paraId="14B9BA7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547" w:type="pct"/>
                  <w:tcBorders>
                    <w:tl2br w:val="nil"/>
                    <w:tr2bl w:val="nil"/>
                  </w:tcBorders>
                  <w:vAlign w:val="center"/>
                </w:tcPr>
                <w:p w14:paraId="659FE56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南、东</w:t>
                  </w:r>
                </w:p>
              </w:tc>
              <w:tc>
                <w:tcPr>
                  <w:tcW w:w="538" w:type="pct"/>
                  <w:tcBorders>
                    <w:tl2br w:val="nil"/>
                    <w:tr2bl w:val="nil"/>
                  </w:tcBorders>
                  <w:vAlign w:val="center"/>
                </w:tcPr>
                <w:p w14:paraId="5BC3BB5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25</w:t>
                  </w:r>
                </w:p>
              </w:tc>
              <w:tc>
                <w:tcPr>
                  <w:tcW w:w="1156" w:type="pct"/>
                  <w:tcBorders>
                    <w:tl2br w:val="nil"/>
                    <w:tr2bl w:val="nil"/>
                  </w:tcBorders>
                  <w:vAlign w:val="center"/>
                </w:tcPr>
                <w:p w14:paraId="2DC5A8E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住宅区，约557户</w:t>
                  </w:r>
                </w:p>
              </w:tc>
            </w:tr>
            <w:tr w14:paraId="43FCFB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 w:hRule="atLeast"/>
              </w:trPr>
              <w:tc>
                <w:tcPr>
                  <w:tcW w:w="341" w:type="pct"/>
                  <w:tcBorders>
                    <w:tl2br w:val="nil"/>
                    <w:tr2bl w:val="nil"/>
                  </w:tcBorders>
                  <w:vAlign w:val="center"/>
                </w:tcPr>
                <w:p w14:paraId="7611BBD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3</w:t>
                  </w:r>
                </w:p>
              </w:tc>
              <w:tc>
                <w:tcPr>
                  <w:tcW w:w="1159" w:type="pct"/>
                  <w:tcBorders>
                    <w:tl2br w:val="nil"/>
                    <w:tr2bl w:val="nil"/>
                  </w:tcBorders>
                  <w:vAlign w:val="center"/>
                </w:tcPr>
                <w:p w14:paraId="009D1B6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朵力尚美国际</w:t>
                  </w:r>
                </w:p>
              </w:tc>
              <w:tc>
                <w:tcPr>
                  <w:tcW w:w="375" w:type="pct"/>
                  <w:tcBorders>
                    <w:tl2br w:val="nil"/>
                    <w:tr2bl w:val="nil"/>
                  </w:tcBorders>
                  <w:vAlign w:val="center"/>
                </w:tcPr>
                <w:p w14:paraId="3FEE5DD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rPr>
                    <w:t>-251</w:t>
                  </w:r>
                </w:p>
              </w:tc>
              <w:tc>
                <w:tcPr>
                  <w:tcW w:w="376" w:type="pct"/>
                  <w:tcBorders>
                    <w:tl2br w:val="nil"/>
                    <w:tr2bl w:val="nil"/>
                  </w:tcBorders>
                  <w:vAlign w:val="center"/>
                </w:tcPr>
                <w:p w14:paraId="226ED69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rPr>
                    <w:t>-144</w:t>
                  </w:r>
                </w:p>
              </w:tc>
              <w:tc>
                <w:tcPr>
                  <w:tcW w:w="505" w:type="pct"/>
                  <w:vMerge w:val="continue"/>
                  <w:tcBorders>
                    <w:tl2br w:val="nil"/>
                    <w:tr2bl w:val="nil"/>
                  </w:tcBorders>
                  <w:vAlign w:val="center"/>
                </w:tcPr>
                <w:p w14:paraId="722765E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547" w:type="pct"/>
                  <w:tcBorders>
                    <w:tl2br w:val="nil"/>
                    <w:tr2bl w:val="nil"/>
                  </w:tcBorders>
                  <w:vAlign w:val="center"/>
                </w:tcPr>
                <w:p w14:paraId="43CA963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西</w:t>
                  </w:r>
                </w:p>
              </w:tc>
              <w:tc>
                <w:tcPr>
                  <w:tcW w:w="538" w:type="pct"/>
                  <w:tcBorders>
                    <w:tl2br w:val="nil"/>
                    <w:tr2bl w:val="nil"/>
                  </w:tcBorders>
                  <w:vAlign w:val="center"/>
                </w:tcPr>
                <w:p w14:paraId="5A7D06B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70</w:t>
                  </w:r>
                </w:p>
              </w:tc>
              <w:tc>
                <w:tcPr>
                  <w:tcW w:w="1156" w:type="pct"/>
                  <w:tcBorders>
                    <w:tl2br w:val="nil"/>
                    <w:tr2bl w:val="nil"/>
                  </w:tcBorders>
                  <w:vAlign w:val="center"/>
                </w:tcPr>
                <w:p w14:paraId="26F3722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住宅区，约3101户</w:t>
                  </w:r>
                </w:p>
              </w:tc>
            </w:tr>
            <w:tr w14:paraId="1A2700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 w:hRule="atLeast"/>
              </w:trPr>
              <w:tc>
                <w:tcPr>
                  <w:tcW w:w="341" w:type="pct"/>
                  <w:tcBorders>
                    <w:tl2br w:val="nil"/>
                    <w:tr2bl w:val="nil"/>
                  </w:tcBorders>
                  <w:vAlign w:val="center"/>
                </w:tcPr>
                <w:p w14:paraId="2435D74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4</w:t>
                  </w:r>
                </w:p>
              </w:tc>
              <w:tc>
                <w:tcPr>
                  <w:tcW w:w="1159" w:type="pct"/>
                  <w:tcBorders>
                    <w:tl2br w:val="nil"/>
                    <w:tr2bl w:val="nil"/>
                  </w:tcBorders>
                  <w:vAlign w:val="center"/>
                </w:tcPr>
                <w:p w14:paraId="620EC93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渝高城市日记</w:t>
                  </w:r>
                </w:p>
              </w:tc>
              <w:tc>
                <w:tcPr>
                  <w:tcW w:w="375" w:type="pct"/>
                  <w:tcBorders>
                    <w:tl2br w:val="nil"/>
                    <w:tr2bl w:val="nil"/>
                  </w:tcBorders>
                  <w:vAlign w:val="center"/>
                </w:tcPr>
                <w:p w14:paraId="0C469B9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rPr>
                    <w:t>15</w:t>
                  </w:r>
                </w:p>
              </w:tc>
              <w:tc>
                <w:tcPr>
                  <w:tcW w:w="376" w:type="pct"/>
                  <w:tcBorders>
                    <w:tl2br w:val="nil"/>
                    <w:tr2bl w:val="nil"/>
                  </w:tcBorders>
                  <w:vAlign w:val="center"/>
                </w:tcPr>
                <w:p w14:paraId="5186BBC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rPr>
                    <w:t>111</w:t>
                  </w:r>
                </w:p>
              </w:tc>
              <w:tc>
                <w:tcPr>
                  <w:tcW w:w="505" w:type="pct"/>
                  <w:vMerge w:val="continue"/>
                  <w:tcBorders>
                    <w:tl2br w:val="nil"/>
                    <w:tr2bl w:val="nil"/>
                  </w:tcBorders>
                  <w:vAlign w:val="center"/>
                </w:tcPr>
                <w:p w14:paraId="47F1475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547" w:type="pct"/>
                  <w:tcBorders>
                    <w:tl2br w:val="nil"/>
                    <w:tr2bl w:val="nil"/>
                  </w:tcBorders>
                  <w:vAlign w:val="center"/>
                </w:tcPr>
                <w:p w14:paraId="6DB5A9E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北</w:t>
                  </w:r>
                </w:p>
              </w:tc>
              <w:tc>
                <w:tcPr>
                  <w:tcW w:w="538" w:type="pct"/>
                  <w:tcBorders>
                    <w:tl2br w:val="nil"/>
                    <w:tr2bl w:val="nil"/>
                  </w:tcBorders>
                  <w:vAlign w:val="center"/>
                </w:tcPr>
                <w:p w14:paraId="4134FA4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65</w:t>
                  </w:r>
                </w:p>
              </w:tc>
              <w:tc>
                <w:tcPr>
                  <w:tcW w:w="1156" w:type="pct"/>
                  <w:tcBorders>
                    <w:tl2br w:val="nil"/>
                    <w:tr2bl w:val="nil"/>
                  </w:tcBorders>
                  <w:vAlign w:val="center"/>
                </w:tcPr>
                <w:p w14:paraId="10193E3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住宅区，约494户</w:t>
                  </w:r>
                </w:p>
              </w:tc>
            </w:tr>
            <w:tr w14:paraId="77A4F8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 w:hRule="atLeast"/>
              </w:trPr>
              <w:tc>
                <w:tcPr>
                  <w:tcW w:w="341" w:type="pct"/>
                  <w:tcBorders>
                    <w:tl2br w:val="nil"/>
                    <w:tr2bl w:val="nil"/>
                  </w:tcBorders>
                  <w:vAlign w:val="center"/>
                </w:tcPr>
                <w:p w14:paraId="6765DAE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5</w:t>
                  </w:r>
                </w:p>
              </w:tc>
              <w:tc>
                <w:tcPr>
                  <w:tcW w:w="1159" w:type="pct"/>
                  <w:tcBorders>
                    <w:tl2br w:val="nil"/>
                    <w:tr2bl w:val="nil"/>
                  </w:tcBorders>
                  <w:vAlign w:val="center"/>
                </w:tcPr>
                <w:p w14:paraId="507640C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千叶中央街区</w:t>
                  </w:r>
                </w:p>
              </w:tc>
              <w:tc>
                <w:tcPr>
                  <w:tcW w:w="375" w:type="pct"/>
                  <w:tcBorders>
                    <w:tl2br w:val="nil"/>
                    <w:tr2bl w:val="nil"/>
                  </w:tcBorders>
                  <w:vAlign w:val="center"/>
                </w:tcPr>
                <w:p w14:paraId="38E317C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rPr>
                    <w:t>-183</w:t>
                  </w:r>
                </w:p>
              </w:tc>
              <w:tc>
                <w:tcPr>
                  <w:tcW w:w="376" w:type="pct"/>
                  <w:tcBorders>
                    <w:tl2br w:val="nil"/>
                    <w:tr2bl w:val="nil"/>
                  </w:tcBorders>
                  <w:vAlign w:val="center"/>
                </w:tcPr>
                <w:p w14:paraId="627FEB5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rPr>
                    <w:t>166</w:t>
                  </w:r>
                </w:p>
              </w:tc>
              <w:tc>
                <w:tcPr>
                  <w:tcW w:w="505" w:type="pct"/>
                  <w:vMerge w:val="continue"/>
                  <w:tcBorders>
                    <w:tl2br w:val="nil"/>
                    <w:tr2bl w:val="nil"/>
                  </w:tcBorders>
                  <w:vAlign w:val="center"/>
                </w:tcPr>
                <w:p w14:paraId="595B53F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547" w:type="pct"/>
                  <w:tcBorders>
                    <w:tl2br w:val="nil"/>
                    <w:tr2bl w:val="nil"/>
                  </w:tcBorders>
                  <w:vAlign w:val="center"/>
                </w:tcPr>
                <w:p w14:paraId="0A58118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西北</w:t>
                  </w:r>
                </w:p>
              </w:tc>
              <w:tc>
                <w:tcPr>
                  <w:tcW w:w="538" w:type="pct"/>
                  <w:tcBorders>
                    <w:tl2br w:val="nil"/>
                    <w:tr2bl w:val="nil"/>
                  </w:tcBorders>
                  <w:vAlign w:val="center"/>
                </w:tcPr>
                <w:p w14:paraId="59E0CC2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110</w:t>
                  </w:r>
                </w:p>
              </w:tc>
              <w:tc>
                <w:tcPr>
                  <w:tcW w:w="1156" w:type="pct"/>
                  <w:tcBorders>
                    <w:tl2br w:val="nil"/>
                    <w:tr2bl w:val="nil"/>
                  </w:tcBorders>
                  <w:vAlign w:val="center"/>
                </w:tcPr>
                <w:p w14:paraId="1C08EC6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住宅区，约1006户</w:t>
                  </w:r>
                </w:p>
              </w:tc>
            </w:tr>
            <w:tr w14:paraId="379D82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 w:hRule="atLeast"/>
              </w:trPr>
              <w:tc>
                <w:tcPr>
                  <w:tcW w:w="341" w:type="pct"/>
                  <w:tcBorders>
                    <w:tl2br w:val="nil"/>
                    <w:tr2bl w:val="nil"/>
                  </w:tcBorders>
                  <w:vAlign w:val="center"/>
                </w:tcPr>
                <w:p w14:paraId="376CF2E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6</w:t>
                  </w:r>
                </w:p>
              </w:tc>
              <w:tc>
                <w:tcPr>
                  <w:tcW w:w="1159" w:type="pct"/>
                  <w:tcBorders>
                    <w:tl2br w:val="nil"/>
                    <w:tr2bl w:val="nil"/>
                  </w:tcBorders>
                  <w:vAlign w:val="center"/>
                </w:tcPr>
                <w:p w14:paraId="35CD667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渝高香洲</w:t>
                  </w:r>
                </w:p>
              </w:tc>
              <w:tc>
                <w:tcPr>
                  <w:tcW w:w="375" w:type="pct"/>
                  <w:tcBorders>
                    <w:tl2br w:val="nil"/>
                    <w:tr2bl w:val="nil"/>
                  </w:tcBorders>
                  <w:vAlign w:val="center"/>
                </w:tcPr>
                <w:p w14:paraId="68941DA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rPr>
                    <w:t>154</w:t>
                  </w:r>
                </w:p>
              </w:tc>
              <w:tc>
                <w:tcPr>
                  <w:tcW w:w="376" w:type="pct"/>
                  <w:tcBorders>
                    <w:tl2br w:val="nil"/>
                    <w:tr2bl w:val="nil"/>
                  </w:tcBorders>
                  <w:vAlign w:val="center"/>
                </w:tcPr>
                <w:p w14:paraId="2F5611E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rPr>
                    <w:t>315</w:t>
                  </w:r>
                </w:p>
              </w:tc>
              <w:tc>
                <w:tcPr>
                  <w:tcW w:w="505" w:type="pct"/>
                  <w:vMerge w:val="continue"/>
                  <w:tcBorders>
                    <w:tl2br w:val="nil"/>
                    <w:tr2bl w:val="nil"/>
                  </w:tcBorders>
                  <w:vAlign w:val="center"/>
                </w:tcPr>
                <w:p w14:paraId="3B7802B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547" w:type="pct"/>
                  <w:tcBorders>
                    <w:tl2br w:val="nil"/>
                    <w:tr2bl w:val="nil"/>
                  </w:tcBorders>
                  <w:vAlign w:val="center"/>
                </w:tcPr>
                <w:p w14:paraId="6E42F14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北</w:t>
                  </w:r>
                </w:p>
              </w:tc>
              <w:tc>
                <w:tcPr>
                  <w:tcW w:w="538" w:type="pct"/>
                  <w:tcBorders>
                    <w:tl2br w:val="nil"/>
                    <w:tr2bl w:val="nil"/>
                  </w:tcBorders>
                  <w:vAlign w:val="center"/>
                </w:tcPr>
                <w:p w14:paraId="79CA654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165</w:t>
                  </w:r>
                </w:p>
              </w:tc>
              <w:tc>
                <w:tcPr>
                  <w:tcW w:w="1156" w:type="pct"/>
                  <w:tcBorders>
                    <w:tl2br w:val="nil"/>
                    <w:tr2bl w:val="nil"/>
                  </w:tcBorders>
                  <w:vAlign w:val="center"/>
                </w:tcPr>
                <w:p w14:paraId="4104915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住宅区，约1550户</w:t>
                  </w:r>
                </w:p>
              </w:tc>
            </w:tr>
            <w:tr w14:paraId="7E84D7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 w:hRule="atLeast"/>
              </w:trPr>
              <w:tc>
                <w:tcPr>
                  <w:tcW w:w="341" w:type="pct"/>
                  <w:tcBorders>
                    <w:tl2br w:val="nil"/>
                    <w:tr2bl w:val="nil"/>
                  </w:tcBorders>
                  <w:vAlign w:val="center"/>
                </w:tcPr>
                <w:p w14:paraId="3C39C79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7</w:t>
                  </w:r>
                </w:p>
              </w:tc>
              <w:tc>
                <w:tcPr>
                  <w:tcW w:w="1159" w:type="pct"/>
                  <w:tcBorders>
                    <w:tl2br w:val="nil"/>
                    <w:tr2bl w:val="nil"/>
                  </w:tcBorders>
                  <w:vAlign w:val="center"/>
                </w:tcPr>
                <w:p w14:paraId="16535B5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中海九龙天颂</w:t>
                  </w:r>
                </w:p>
              </w:tc>
              <w:tc>
                <w:tcPr>
                  <w:tcW w:w="375" w:type="pct"/>
                  <w:tcBorders>
                    <w:tl2br w:val="nil"/>
                    <w:tr2bl w:val="nil"/>
                  </w:tcBorders>
                  <w:vAlign w:val="center"/>
                </w:tcPr>
                <w:p w14:paraId="1141AF6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rPr>
                    <w:t>197</w:t>
                  </w:r>
                </w:p>
              </w:tc>
              <w:tc>
                <w:tcPr>
                  <w:tcW w:w="376" w:type="pct"/>
                  <w:tcBorders>
                    <w:tl2br w:val="nil"/>
                    <w:tr2bl w:val="nil"/>
                  </w:tcBorders>
                  <w:vAlign w:val="center"/>
                </w:tcPr>
                <w:p w14:paraId="43C731E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rPr>
                    <w:t>-88</w:t>
                  </w:r>
                </w:p>
              </w:tc>
              <w:tc>
                <w:tcPr>
                  <w:tcW w:w="505" w:type="pct"/>
                  <w:vMerge w:val="continue"/>
                  <w:tcBorders>
                    <w:tl2br w:val="nil"/>
                    <w:tr2bl w:val="nil"/>
                  </w:tcBorders>
                  <w:vAlign w:val="center"/>
                </w:tcPr>
                <w:p w14:paraId="3260B51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547" w:type="pct"/>
                  <w:tcBorders>
                    <w:tl2br w:val="nil"/>
                    <w:tr2bl w:val="nil"/>
                  </w:tcBorders>
                  <w:vAlign w:val="center"/>
                </w:tcPr>
                <w:p w14:paraId="284E0BB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东、东南</w:t>
                  </w:r>
                </w:p>
              </w:tc>
              <w:tc>
                <w:tcPr>
                  <w:tcW w:w="538" w:type="pct"/>
                  <w:tcBorders>
                    <w:tl2br w:val="nil"/>
                    <w:tr2bl w:val="nil"/>
                  </w:tcBorders>
                  <w:vAlign w:val="center"/>
                </w:tcPr>
                <w:p w14:paraId="0C9D033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120</w:t>
                  </w:r>
                </w:p>
              </w:tc>
              <w:tc>
                <w:tcPr>
                  <w:tcW w:w="1156" w:type="pct"/>
                  <w:tcBorders>
                    <w:tl2br w:val="nil"/>
                    <w:tr2bl w:val="nil"/>
                  </w:tcBorders>
                  <w:vAlign w:val="center"/>
                </w:tcPr>
                <w:p w14:paraId="48A86EC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住宅区，约456户</w:t>
                  </w:r>
                </w:p>
              </w:tc>
            </w:tr>
            <w:tr w14:paraId="1E0B7A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41" w:type="pct"/>
                  <w:tcBorders>
                    <w:tl2br w:val="nil"/>
                    <w:tr2bl w:val="nil"/>
                  </w:tcBorders>
                  <w:vAlign w:val="center"/>
                </w:tcPr>
                <w:p w14:paraId="6F28FBE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8</w:t>
                  </w:r>
                </w:p>
              </w:tc>
              <w:tc>
                <w:tcPr>
                  <w:tcW w:w="1159" w:type="pct"/>
                  <w:tcBorders>
                    <w:tl2br w:val="nil"/>
                    <w:tr2bl w:val="nil"/>
                  </w:tcBorders>
                  <w:vAlign w:val="center"/>
                </w:tcPr>
                <w:p w14:paraId="736CD59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杨家坪供电局</w:t>
                  </w:r>
                </w:p>
              </w:tc>
              <w:tc>
                <w:tcPr>
                  <w:tcW w:w="375" w:type="pct"/>
                  <w:tcBorders>
                    <w:tl2br w:val="nil"/>
                    <w:tr2bl w:val="nil"/>
                  </w:tcBorders>
                  <w:vAlign w:val="center"/>
                </w:tcPr>
                <w:p w14:paraId="73876A4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rPr>
                    <w:t>127</w:t>
                  </w:r>
                </w:p>
              </w:tc>
              <w:tc>
                <w:tcPr>
                  <w:tcW w:w="376" w:type="pct"/>
                  <w:tcBorders>
                    <w:tl2br w:val="nil"/>
                    <w:tr2bl w:val="nil"/>
                  </w:tcBorders>
                  <w:vAlign w:val="center"/>
                </w:tcPr>
                <w:p w14:paraId="3D3FA7F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rPr>
                    <w:t>-222</w:t>
                  </w:r>
                </w:p>
              </w:tc>
              <w:tc>
                <w:tcPr>
                  <w:tcW w:w="505" w:type="pct"/>
                  <w:vMerge w:val="continue"/>
                  <w:tcBorders>
                    <w:tl2br w:val="nil"/>
                    <w:tr2bl w:val="nil"/>
                  </w:tcBorders>
                  <w:vAlign w:val="center"/>
                </w:tcPr>
                <w:p w14:paraId="625D6D5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547" w:type="pct"/>
                  <w:tcBorders>
                    <w:tl2br w:val="nil"/>
                    <w:tr2bl w:val="nil"/>
                  </w:tcBorders>
                  <w:vAlign w:val="center"/>
                </w:tcPr>
                <w:p w14:paraId="557915E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东南</w:t>
                  </w:r>
                </w:p>
              </w:tc>
              <w:tc>
                <w:tcPr>
                  <w:tcW w:w="538" w:type="pct"/>
                  <w:tcBorders>
                    <w:tl2br w:val="nil"/>
                    <w:tr2bl w:val="nil"/>
                  </w:tcBorders>
                  <w:vAlign w:val="center"/>
                </w:tcPr>
                <w:p w14:paraId="0BD3345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150</w:t>
                  </w:r>
                </w:p>
              </w:tc>
              <w:tc>
                <w:tcPr>
                  <w:tcW w:w="1156" w:type="pct"/>
                  <w:tcBorders>
                    <w:tl2br w:val="nil"/>
                    <w:tr2bl w:val="nil"/>
                  </w:tcBorders>
                  <w:vAlign w:val="center"/>
                </w:tcPr>
                <w:p w14:paraId="727994F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行政办公</w:t>
                  </w:r>
                </w:p>
              </w:tc>
            </w:tr>
            <w:tr w14:paraId="00D7C4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 w:hRule="atLeast"/>
              </w:trPr>
              <w:tc>
                <w:tcPr>
                  <w:tcW w:w="341" w:type="pct"/>
                  <w:tcBorders>
                    <w:tl2br w:val="nil"/>
                    <w:tr2bl w:val="nil"/>
                  </w:tcBorders>
                  <w:vAlign w:val="center"/>
                </w:tcPr>
                <w:p w14:paraId="317EB59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9</w:t>
                  </w:r>
                </w:p>
              </w:tc>
              <w:tc>
                <w:tcPr>
                  <w:tcW w:w="1159" w:type="pct"/>
                  <w:tcBorders>
                    <w:tl2br w:val="nil"/>
                    <w:tr2bl w:val="nil"/>
                  </w:tcBorders>
                  <w:vAlign w:val="center"/>
                </w:tcPr>
                <w:p w14:paraId="1BB440B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千叶公园时代</w:t>
                  </w:r>
                </w:p>
              </w:tc>
              <w:tc>
                <w:tcPr>
                  <w:tcW w:w="375" w:type="pct"/>
                  <w:tcBorders>
                    <w:tl2br w:val="nil"/>
                    <w:tr2bl w:val="nil"/>
                  </w:tcBorders>
                  <w:vAlign w:val="center"/>
                </w:tcPr>
                <w:p w14:paraId="6F90287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rPr>
                    <w:t>-181</w:t>
                  </w:r>
                </w:p>
              </w:tc>
              <w:tc>
                <w:tcPr>
                  <w:tcW w:w="376" w:type="pct"/>
                  <w:tcBorders>
                    <w:tl2br w:val="nil"/>
                    <w:tr2bl w:val="nil"/>
                  </w:tcBorders>
                  <w:vAlign w:val="center"/>
                </w:tcPr>
                <w:p w14:paraId="6AEC776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rPr>
                    <w:t>378</w:t>
                  </w:r>
                </w:p>
              </w:tc>
              <w:tc>
                <w:tcPr>
                  <w:tcW w:w="505" w:type="pct"/>
                  <w:vMerge w:val="continue"/>
                  <w:tcBorders>
                    <w:tl2br w:val="nil"/>
                    <w:tr2bl w:val="nil"/>
                  </w:tcBorders>
                  <w:vAlign w:val="center"/>
                </w:tcPr>
                <w:p w14:paraId="191673F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547" w:type="pct"/>
                  <w:tcBorders>
                    <w:tl2br w:val="nil"/>
                    <w:tr2bl w:val="nil"/>
                  </w:tcBorders>
                  <w:vAlign w:val="center"/>
                </w:tcPr>
                <w:p w14:paraId="2E30847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西北</w:t>
                  </w:r>
                </w:p>
              </w:tc>
              <w:tc>
                <w:tcPr>
                  <w:tcW w:w="538" w:type="pct"/>
                  <w:tcBorders>
                    <w:tl2br w:val="nil"/>
                    <w:tr2bl w:val="nil"/>
                  </w:tcBorders>
                  <w:vAlign w:val="center"/>
                </w:tcPr>
                <w:p w14:paraId="0E92CF1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290</w:t>
                  </w:r>
                </w:p>
              </w:tc>
              <w:tc>
                <w:tcPr>
                  <w:tcW w:w="1156" w:type="pct"/>
                  <w:tcBorders>
                    <w:tl2br w:val="nil"/>
                    <w:tr2bl w:val="nil"/>
                  </w:tcBorders>
                  <w:vAlign w:val="center"/>
                </w:tcPr>
                <w:p w14:paraId="044AB68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住宅区，约648户</w:t>
                  </w:r>
                </w:p>
              </w:tc>
            </w:tr>
            <w:tr w14:paraId="73559F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 w:hRule="atLeast"/>
              </w:trPr>
              <w:tc>
                <w:tcPr>
                  <w:tcW w:w="341" w:type="pct"/>
                  <w:tcBorders>
                    <w:tl2br w:val="nil"/>
                    <w:tr2bl w:val="nil"/>
                  </w:tcBorders>
                  <w:vAlign w:val="center"/>
                </w:tcPr>
                <w:p w14:paraId="2EB3C3A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10</w:t>
                  </w:r>
                </w:p>
              </w:tc>
              <w:tc>
                <w:tcPr>
                  <w:tcW w:w="1159" w:type="pct"/>
                  <w:tcBorders>
                    <w:tl2br w:val="nil"/>
                    <w:tr2bl w:val="nil"/>
                  </w:tcBorders>
                  <w:vAlign w:val="center"/>
                </w:tcPr>
                <w:p w14:paraId="7C48967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大地幼儿园</w:t>
                  </w:r>
                </w:p>
              </w:tc>
              <w:tc>
                <w:tcPr>
                  <w:tcW w:w="375" w:type="pct"/>
                  <w:tcBorders>
                    <w:tl2br w:val="nil"/>
                    <w:tr2bl w:val="nil"/>
                  </w:tcBorders>
                  <w:vAlign w:val="center"/>
                </w:tcPr>
                <w:p w14:paraId="238EA79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rPr>
                    <w:t>-355</w:t>
                  </w:r>
                </w:p>
              </w:tc>
              <w:tc>
                <w:tcPr>
                  <w:tcW w:w="376" w:type="pct"/>
                  <w:tcBorders>
                    <w:tl2br w:val="nil"/>
                    <w:tr2bl w:val="nil"/>
                  </w:tcBorders>
                  <w:vAlign w:val="center"/>
                </w:tcPr>
                <w:p w14:paraId="74BBE85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rPr>
                    <w:t>-60</w:t>
                  </w:r>
                </w:p>
              </w:tc>
              <w:tc>
                <w:tcPr>
                  <w:tcW w:w="505" w:type="pct"/>
                  <w:vMerge w:val="continue"/>
                  <w:tcBorders>
                    <w:tl2br w:val="nil"/>
                    <w:tr2bl w:val="nil"/>
                  </w:tcBorders>
                  <w:vAlign w:val="center"/>
                </w:tcPr>
                <w:p w14:paraId="328BA88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547" w:type="pct"/>
                  <w:tcBorders>
                    <w:tl2br w:val="nil"/>
                    <w:tr2bl w:val="nil"/>
                  </w:tcBorders>
                  <w:vAlign w:val="center"/>
                </w:tcPr>
                <w:p w14:paraId="2B526C2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西</w:t>
                  </w:r>
                </w:p>
              </w:tc>
              <w:tc>
                <w:tcPr>
                  <w:tcW w:w="538" w:type="pct"/>
                  <w:tcBorders>
                    <w:tl2br w:val="nil"/>
                    <w:tr2bl w:val="nil"/>
                  </w:tcBorders>
                  <w:vAlign w:val="center"/>
                </w:tcPr>
                <w:p w14:paraId="3C2B6D4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350</w:t>
                  </w:r>
                </w:p>
              </w:tc>
              <w:tc>
                <w:tcPr>
                  <w:tcW w:w="1156" w:type="pct"/>
                  <w:tcBorders>
                    <w:tl2br w:val="nil"/>
                    <w:tr2bl w:val="nil"/>
                  </w:tcBorders>
                  <w:vAlign w:val="center"/>
                </w:tcPr>
                <w:p w14:paraId="67ECF74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学校，约300人</w:t>
                  </w:r>
                </w:p>
              </w:tc>
            </w:tr>
            <w:tr w14:paraId="28D56D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 w:hRule="atLeast"/>
              </w:trPr>
              <w:tc>
                <w:tcPr>
                  <w:tcW w:w="341" w:type="pct"/>
                  <w:tcBorders>
                    <w:tl2br w:val="nil"/>
                    <w:tr2bl w:val="nil"/>
                  </w:tcBorders>
                  <w:vAlign w:val="center"/>
                </w:tcPr>
                <w:p w14:paraId="06F2EBF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11</w:t>
                  </w:r>
                </w:p>
              </w:tc>
              <w:tc>
                <w:tcPr>
                  <w:tcW w:w="1159" w:type="pct"/>
                  <w:tcBorders>
                    <w:tl2br w:val="nil"/>
                    <w:tr2bl w:val="nil"/>
                  </w:tcBorders>
                  <w:vAlign w:val="center"/>
                </w:tcPr>
                <w:p w14:paraId="680159B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二郎医院</w:t>
                  </w:r>
                </w:p>
              </w:tc>
              <w:tc>
                <w:tcPr>
                  <w:tcW w:w="375" w:type="pct"/>
                  <w:tcBorders>
                    <w:tl2br w:val="nil"/>
                    <w:tr2bl w:val="nil"/>
                  </w:tcBorders>
                  <w:vAlign w:val="center"/>
                </w:tcPr>
                <w:p w14:paraId="54F354A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rPr>
                    <w:t>-440</w:t>
                  </w:r>
                </w:p>
              </w:tc>
              <w:tc>
                <w:tcPr>
                  <w:tcW w:w="376" w:type="pct"/>
                  <w:tcBorders>
                    <w:tl2br w:val="nil"/>
                    <w:tr2bl w:val="nil"/>
                  </w:tcBorders>
                  <w:vAlign w:val="center"/>
                </w:tcPr>
                <w:p w14:paraId="5EADC1A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rPr>
                    <w:t>28</w:t>
                  </w:r>
                </w:p>
              </w:tc>
              <w:tc>
                <w:tcPr>
                  <w:tcW w:w="505" w:type="pct"/>
                  <w:vMerge w:val="continue"/>
                  <w:tcBorders>
                    <w:tl2br w:val="nil"/>
                    <w:tr2bl w:val="nil"/>
                  </w:tcBorders>
                  <w:vAlign w:val="center"/>
                </w:tcPr>
                <w:p w14:paraId="7137937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547" w:type="pct"/>
                  <w:tcBorders>
                    <w:tl2br w:val="nil"/>
                    <w:tr2bl w:val="nil"/>
                  </w:tcBorders>
                  <w:vAlign w:val="center"/>
                </w:tcPr>
                <w:p w14:paraId="59666A9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西</w:t>
                  </w:r>
                </w:p>
              </w:tc>
              <w:tc>
                <w:tcPr>
                  <w:tcW w:w="538" w:type="pct"/>
                  <w:tcBorders>
                    <w:tl2br w:val="nil"/>
                    <w:tr2bl w:val="nil"/>
                  </w:tcBorders>
                  <w:vAlign w:val="center"/>
                </w:tcPr>
                <w:p w14:paraId="6BA3C25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420</w:t>
                  </w:r>
                </w:p>
              </w:tc>
              <w:tc>
                <w:tcPr>
                  <w:tcW w:w="1156" w:type="pct"/>
                  <w:tcBorders>
                    <w:tl2br w:val="nil"/>
                    <w:tr2bl w:val="nil"/>
                  </w:tcBorders>
                  <w:vAlign w:val="center"/>
                </w:tcPr>
                <w:p w14:paraId="6DC316C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医院</w:t>
                  </w:r>
                </w:p>
              </w:tc>
            </w:tr>
            <w:tr w14:paraId="10F74C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 w:hRule="atLeast"/>
              </w:trPr>
              <w:tc>
                <w:tcPr>
                  <w:tcW w:w="341" w:type="pct"/>
                  <w:tcBorders>
                    <w:tl2br w:val="nil"/>
                    <w:tr2bl w:val="nil"/>
                  </w:tcBorders>
                  <w:vAlign w:val="center"/>
                </w:tcPr>
                <w:p w14:paraId="5650244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12</w:t>
                  </w:r>
                </w:p>
              </w:tc>
              <w:tc>
                <w:tcPr>
                  <w:tcW w:w="1159" w:type="pct"/>
                  <w:tcBorders>
                    <w:tl2br w:val="nil"/>
                    <w:tr2bl w:val="nil"/>
                  </w:tcBorders>
                  <w:vAlign w:val="center"/>
                </w:tcPr>
                <w:p w14:paraId="109B0BC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云领天街</w:t>
                  </w:r>
                </w:p>
              </w:tc>
              <w:tc>
                <w:tcPr>
                  <w:tcW w:w="375" w:type="pct"/>
                  <w:tcBorders>
                    <w:tl2br w:val="nil"/>
                    <w:tr2bl w:val="nil"/>
                  </w:tcBorders>
                  <w:vAlign w:val="center"/>
                </w:tcPr>
                <w:p w14:paraId="0340A33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rPr>
                    <w:t>-370</w:t>
                  </w:r>
                </w:p>
              </w:tc>
              <w:tc>
                <w:tcPr>
                  <w:tcW w:w="376" w:type="pct"/>
                  <w:tcBorders>
                    <w:tl2br w:val="nil"/>
                    <w:tr2bl w:val="nil"/>
                  </w:tcBorders>
                  <w:vAlign w:val="center"/>
                </w:tcPr>
                <w:p w14:paraId="4DE7C75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rPr>
                    <w:t>312</w:t>
                  </w:r>
                </w:p>
              </w:tc>
              <w:tc>
                <w:tcPr>
                  <w:tcW w:w="505" w:type="pct"/>
                  <w:vMerge w:val="continue"/>
                  <w:tcBorders>
                    <w:tl2br w:val="nil"/>
                    <w:tr2bl w:val="nil"/>
                  </w:tcBorders>
                  <w:vAlign w:val="center"/>
                </w:tcPr>
                <w:p w14:paraId="696B9FA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547" w:type="pct"/>
                  <w:tcBorders>
                    <w:tl2br w:val="nil"/>
                    <w:tr2bl w:val="nil"/>
                  </w:tcBorders>
                  <w:vAlign w:val="center"/>
                </w:tcPr>
                <w:p w14:paraId="2E08AF5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西北</w:t>
                  </w:r>
                </w:p>
              </w:tc>
              <w:tc>
                <w:tcPr>
                  <w:tcW w:w="538" w:type="pct"/>
                  <w:tcBorders>
                    <w:tl2br w:val="nil"/>
                    <w:tr2bl w:val="nil"/>
                  </w:tcBorders>
                  <w:vAlign w:val="center"/>
                </w:tcPr>
                <w:p w14:paraId="578E783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305</w:t>
                  </w:r>
                </w:p>
              </w:tc>
              <w:tc>
                <w:tcPr>
                  <w:tcW w:w="1156" w:type="pct"/>
                  <w:tcBorders>
                    <w:tl2br w:val="nil"/>
                    <w:tr2bl w:val="nil"/>
                  </w:tcBorders>
                  <w:vAlign w:val="center"/>
                </w:tcPr>
                <w:p w14:paraId="36609FE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商业区</w:t>
                  </w:r>
                </w:p>
              </w:tc>
            </w:tr>
            <w:tr w14:paraId="55C630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 w:hRule="atLeast"/>
              </w:trPr>
              <w:tc>
                <w:tcPr>
                  <w:tcW w:w="341" w:type="pct"/>
                  <w:tcBorders>
                    <w:tl2br w:val="nil"/>
                    <w:tr2bl w:val="nil"/>
                  </w:tcBorders>
                  <w:vAlign w:val="center"/>
                </w:tcPr>
                <w:p w14:paraId="706404F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13</w:t>
                  </w:r>
                </w:p>
              </w:tc>
              <w:tc>
                <w:tcPr>
                  <w:tcW w:w="1159" w:type="pct"/>
                  <w:tcBorders>
                    <w:tl2br w:val="nil"/>
                    <w:tr2bl w:val="nil"/>
                  </w:tcBorders>
                  <w:vAlign w:val="center"/>
                </w:tcPr>
                <w:p w14:paraId="1176B81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巴国龙庭</w:t>
                  </w:r>
                </w:p>
              </w:tc>
              <w:tc>
                <w:tcPr>
                  <w:tcW w:w="375" w:type="pct"/>
                  <w:tcBorders>
                    <w:tl2br w:val="nil"/>
                    <w:tr2bl w:val="nil"/>
                  </w:tcBorders>
                  <w:vAlign w:val="center"/>
                </w:tcPr>
                <w:p w14:paraId="1D1D89F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rPr>
                    <w:t>226</w:t>
                  </w:r>
                </w:p>
              </w:tc>
              <w:tc>
                <w:tcPr>
                  <w:tcW w:w="376" w:type="pct"/>
                  <w:tcBorders>
                    <w:tl2br w:val="nil"/>
                    <w:tr2bl w:val="nil"/>
                  </w:tcBorders>
                  <w:vAlign w:val="center"/>
                </w:tcPr>
                <w:p w14:paraId="3D80026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rPr>
                    <w:t>-476</w:t>
                  </w:r>
                </w:p>
              </w:tc>
              <w:tc>
                <w:tcPr>
                  <w:tcW w:w="505" w:type="pct"/>
                  <w:vMerge w:val="continue"/>
                  <w:tcBorders>
                    <w:tl2br w:val="nil"/>
                    <w:tr2bl w:val="nil"/>
                  </w:tcBorders>
                  <w:vAlign w:val="center"/>
                </w:tcPr>
                <w:p w14:paraId="0FDD8A0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547" w:type="pct"/>
                  <w:tcBorders>
                    <w:tl2br w:val="nil"/>
                    <w:tr2bl w:val="nil"/>
                  </w:tcBorders>
                  <w:vAlign w:val="center"/>
                </w:tcPr>
                <w:p w14:paraId="4073B85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东南</w:t>
                  </w:r>
                </w:p>
              </w:tc>
              <w:tc>
                <w:tcPr>
                  <w:tcW w:w="538" w:type="pct"/>
                  <w:tcBorders>
                    <w:tl2br w:val="nil"/>
                    <w:tr2bl w:val="nil"/>
                  </w:tcBorders>
                  <w:vAlign w:val="center"/>
                </w:tcPr>
                <w:p w14:paraId="40397C7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335</w:t>
                  </w:r>
                </w:p>
              </w:tc>
              <w:tc>
                <w:tcPr>
                  <w:tcW w:w="1156" w:type="pct"/>
                  <w:tcBorders>
                    <w:tl2br w:val="nil"/>
                    <w:tr2bl w:val="nil"/>
                  </w:tcBorders>
                  <w:vAlign w:val="center"/>
                </w:tcPr>
                <w:p w14:paraId="1CD9167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住宅区，约1012户</w:t>
                  </w:r>
                </w:p>
              </w:tc>
            </w:tr>
            <w:tr w14:paraId="46780E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 w:hRule="atLeast"/>
              </w:trPr>
              <w:tc>
                <w:tcPr>
                  <w:tcW w:w="341" w:type="pct"/>
                  <w:tcBorders>
                    <w:tl2br w:val="nil"/>
                    <w:tr2bl w:val="nil"/>
                  </w:tcBorders>
                  <w:vAlign w:val="center"/>
                </w:tcPr>
                <w:p w14:paraId="0665709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14</w:t>
                  </w:r>
                </w:p>
              </w:tc>
              <w:tc>
                <w:tcPr>
                  <w:tcW w:w="1159" w:type="pct"/>
                  <w:tcBorders>
                    <w:tl2br w:val="nil"/>
                    <w:tr2bl w:val="nil"/>
                  </w:tcBorders>
                  <w:vAlign w:val="center"/>
                </w:tcPr>
                <w:p w14:paraId="7CD7D6A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巴人博物馆</w:t>
                  </w:r>
                </w:p>
              </w:tc>
              <w:tc>
                <w:tcPr>
                  <w:tcW w:w="375" w:type="pct"/>
                  <w:tcBorders>
                    <w:tl2br w:val="nil"/>
                    <w:tr2bl w:val="nil"/>
                  </w:tcBorders>
                  <w:vAlign w:val="center"/>
                </w:tcPr>
                <w:p w14:paraId="5E178B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rPr>
                    <w:t>421</w:t>
                  </w:r>
                </w:p>
              </w:tc>
              <w:tc>
                <w:tcPr>
                  <w:tcW w:w="376" w:type="pct"/>
                  <w:tcBorders>
                    <w:tl2br w:val="nil"/>
                    <w:tr2bl w:val="nil"/>
                  </w:tcBorders>
                  <w:vAlign w:val="center"/>
                </w:tcPr>
                <w:p w14:paraId="50B18C7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rPr>
                    <w:t>-267</w:t>
                  </w:r>
                </w:p>
              </w:tc>
              <w:tc>
                <w:tcPr>
                  <w:tcW w:w="505" w:type="pct"/>
                  <w:vMerge w:val="continue"/>
                  <w:tcBorders>
                    <w:tl2br w:val="nil"/>
                    <w:tr2bl w:val="nil"/>
                  </w:tcBorders>
                  <w:vAlign w:val="center"/>
                </w:tcPr>
                <w:p w14:paraId="4EC7CFA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547" w:type="pct"/>
                  <w:tcBorders>
                    <w:tl2br w:val="nil"/>
                    <w:tr2bl w:val="nil"/>
                  </w:tcBorders>
                  <w:vAlign w:val="center"/>
                </w:tcPr>
                <w:p w14:paraId="6F128F2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东南</w:t>
                  </w:r>
                </w:p>
              </w:tc>
              <w:tc>
                <w:tcPr>
                  <w:tcW w:w="538" w:type="pct"/>
                  <w:tcBorders>
                    <w:tl2br w:val="nil"/>
                    <w:tr2bl w:val="nil"/>
                  </w:tcBorders>
                  <w:vAlign w:val="center"/>
                </w:tcPr>
                <w:p w14:paraId="073078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400</w:t>
                  </w:r>
                </w:p>
              </w:tc>
              <w:tc>
                <w:tcPr>
                  <w:tcW w:w="1156" w:type="pct"/>
                  <w:tcBorders>
                    <w:tl2br w:val="nil"/>
                    <w:tr2bl w:val="nil"/>
                  </w:tcBorders>
                  <w:vAlign w:val="center"/>
                </w:tcPr>
                <w:p w14:paraId="5278D54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博物馆</w:t>
                  </w:r>
                </w:p>
              </w:tc>
            </w:tr>
            <w:tr w14:paraId="361D65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 w:hRule="atLeast"/>
              </w:trPr>
              <w:tc>
                <w:tcPr>
                  <w:tcW w:w="341" w:type="pct"/>
                  <w:tcBorders>
                    <w:tl2br w:val="nil"/>
                    <w:tr2bl w:val="nil"/>
                  </w:tcBorders>
                  <w:vAlign w:val="center"/>
                </w:tcPr>
                <w:p w14:paraId="0A2A39F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15</w:t>
                  </w:r>
                </w:p>
              </w:tc>
              <w:tc>
                <w:tcPr>
                  <w:tcW w:w="1159" w:type="pct"/>
                  <w:tcBorders>
                    <w:tl2br w:val="nil"/>
                    <w:tr2bl w:val="nil"/>
                  </w:tcBorders>
                  <w:vAlign w:val="center"/>
                </w:tcPr>
                <w:p w14:paraId="051CC2A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朗佑中西结合医院</w:t>
                  </w:r>
                </w:p>
              </w:tc>
              <w:tc>
                <w:tcPr>
                  <w:tcW w:w="375" w:type="pct"/>
                  <w:tcBorders>
                    <w:tl2br w:val="nil"/>
                    <w:tr2bl w:val="nil"/>
                  </w:tcBorders>
                  <w:vAlign w:val="center"/>
                </w:tcPr>
                <w:p w14:paraId="0DFAD9A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rPr>
                    <w:t>372</w:t>
                  </w:r>
                </w:p>
              </w:tc>
              <w:tc>
                <w:tcPr>
                  <w:tcW w:w="376" w:type="pct"/>
                  <w:tcBorders>
                    <w:tl2br w:val="nil"/>
                    <w:tr2bl w:val="nil"/>
                  </w:tcBorders>
                  <w:vAlign w:val="center"/>
                </w:tcPr>
                <w:p w14:paraId="1CBC21D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rPr>
                    <w:t>-128</w:t>
                  </w:r>
                </w:p>
              </w:tc>
              <w:tc>
                <w:tcPr>
                  <w:tcW w:w="505" w:type="pct"/>
                  <w:vMerge w:val="continue"/>
                  <w:tcBorders>
                    <w:tl2br w:val="nil"/>
                    <w:tr2bl w:val="nil"/>
                  </w:tcBorders>
                  <w:vAlign w:val="center"/>
                </w:tcPr>
                <w:p w14:paraId="60B7CB3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547" w:type="pct"/>
                  <w:tcBorders>
                    <w:tl2br w:val="nil"/>
                    <w:tr2bl w:val="nil"/>
                  </w:tcBorders>
                  <w:vAlign w:val="center"/>
                </w:tcPr>
                <w:p w14:paraId="1330ADF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东南</w:t>
                  </w:r>
                </w:p>
              </w:tc>
              <w:tc>
                <w:tcPr>
                  <w:tcW w:w="538" w:type="pct"/>
                  <w:tcBorders>
                    <w:tl2br w:val="nil"/>
                    <w:tr2bl w:val="nil"/>
                  </w:tcBorders>
                  <w:vAlign w:val="center"/>
                </w:tcPr>
                <w:p w14:paraId="3397807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385</w:t>
                  </w:r>
                </w:p>
              </w:tc>
              <w:tc>
                <w:tcPr>
                  <w:tcW w:w="1156" w:type="pct"/>
                  <w:tcBorders>
                    <w:tl2br w:val="nil"/>
                    <w:tr2bl w:val="nil"/>
                  </w:tcBorders>
                  <w:vAlign w:val="center"/>
                </w:tcPr>
                <w:p w14:paraId="42C04D7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医院</w:t>
                  </w:r>
                </w:p>
              </w:tc>
            </w:tr>
            <w:tr w14:paraId="68B834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341" w:type="pct"/>
                  <w:tcBorders>
                    <w:tl2br w:val="nil"/>
                    <w:tr2bl w:val="nil"/>
                  </w:tcBorders>
                  <w:vAlign w:val="center"/>
                </w:tcPr>
                <w:p w14:paraId="558D4D5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16</w:t>
                  </w:r>
                </w:p>
              </w:tc>
              <w:tc>
                <w:tcPr>
                  <w:tcW w:w="1159" w:type="pct"/>
                  <w:tcBorders>
                    <w:tl2br w:val="nil"/>
                    <w:tr2bl w:val="nil"/>
                  </w:tcBorders>
                  <w:vAlign w:val="center"/>
                </w:tcPr>
                <w:p w14:paraId="031DE6F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巴国锦苑等居住小区</w:t>
                  </w:r>
                </w:p>
              </w:tc>
              <w:tc>
                <w:tcPr>
                  <w:tcW w:w="375" w:type="pct"/>
                  <w:tcBorders>
                    <w:tl2br w:val="nil"/>
                    <w:tr2bl w:val="nil"/>
                  </w:tcBorders>
                  <w:vAlign w:val="center"/>
                </w:tcPr>
                <w:p w14:paraId="3E2B213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rPr>
                    <w:t>380</w:t>
                  </w:r>
                </w:p>
              </w:tc>
              <w:tc>
                <w:tcPr>
                  <w:tcW w:w="376" w:type="pct"/>
                  <w:tcBorders>
                    <w:tl2br w:val="nil"/>
                    <w:tr2bl w:val="nil"/>
                  </w:tcBorders>
                  <w:vAlign w:val="center"/>
                </w:tcPr>
                <w:p w14:paraId="7188FCE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rPr>
                    <w:t>128</w:t>
                  </w:r>
                </w:p>
              </w:tc>
              <w:tc>
                <w:tcPr>
                  <w:tcW w:w="505" w:type="pct"/>
                  <w:vMerge w:val="continue"/>
                  <w:tcBorders>
                    <w:tl2br w:val="nil"/>
                    <w:tr2bl w:val="nil"/>
                  </w:tcBorders>
                  <w:vAlign w:val="center"/>
                </w:tcPr>
                <w:p w14:paraId="3A7178D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547" w:type="pct"/>
                  <w:tcBorders>
                    <w:tl2br w:val="nil"/>
                    <w:tr2bl w:val="nil"/>
                  </w:tcBorders>
                  <w:vAlign w:val="center"/>
                </w:tcPr>
                <w:p w14:paraId="233C2E6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东北</w:t>
                  </w:r>
                </w:p>
              </w:tc>
              <w:tc>
                <w:tcPr>
                  <w:tcW w:w="538" w:type="pct"/>
                  <w:tcBorders>
                    <w:tl2br w:val="nil"/>
                    <w:tr2bl w:val="nil"/>
                  </w:tcBorders>
                  <w:shd w:val="clear" w:color="auto" w:fill="auto"/>
                  <w:vAlign w:val="center"/>
                </w:tcPr>
                <w:p w14:paraId="47B01BA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eastAsia" w:cs="Times New Roman"/>
                      <w:b w:val="0"/>
                      <w:bCs w:val="0"/>
                      <w:color w:val="auto"/>
                      <w:kern w:val="0"/>
                      <w:sz w:val="21"/>
                      <w:szCs w:val="21"/>
                      <w:highlight w:val="none"/>
                      <w:vertAlign w:val="baseline"/>
                      <w:lang w:val="en-US" w:eastAsia="zh-CN"/>
                    </w:rPr>
                    <w:t>190</w:t>
                  </w:r>
                </w:p>
              </w:tc>
              <w:tc>
                <w:tcPr>
                  <w:tcW w:w="1156" w:type="pct"/>
                  <w:tcBorders>
                    <w:tl2br w:val="nil"/>
                    <w:tr2bl w:val="nil"/>
                  </w:tcBorders>
                  <w:vAlign w:val="center"/>
                </w:tcPr>
                <w:p w14:paraId="37B8C41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住宅区，约1284户</w:t>
                  </w:r>
                </w:p>
              </w:tc>
            </w:tr>
          </w:tbl>
          <w:p w14:paraId="6FE8CFF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b w:val="0"/>
                <w:bCs w:val="0"/>
                <w:color w:val="auto"/>
                <w:kern w:val="0"/>
                <w:sz w:val="22"/>
                <w:szCs w:val="22"/>
                <w:highlight w:val="none"/>
                <w:lang w:val="en-US" w:eastAsia="zh-CN"/>
              </w:rPr>
            </w:pPr>
            <w:r>
              <w:rPr>
                <w:rFonts w:hint="default" w:ascii="Times New Roman" w:hAnsi="Times New Roman" w:eastAsia="宋体" w:cs="Times New Roman"/>
                <w:b w:val="0"/>
                <w:bCs w:val="0"/>
                <w:color w:val="auto"/>
                <w:kern w:val="0"/>
                <w:sz w:val="22"/>
                <w:szCs w:val="22"/>
                <w:highlight w:val="none"/>
                <w:lang w:val="en-US" w:eastAsia="zh-CN"/>
              </w:rPr>
              <w:t>注</w:t>
            </w:r>
            <w:r>
              <w:rPr>
                <w:rFonts w:hint="default" w:ascii="Times New Roman" w:hAnsi="Times New Roman" w:cs="Times New Roman"/>
                <w:b w:val="0"/>
                <w:bCs w:val="0"/>
                <w:color w:val="auto"/>
                <w:kern w:val="0"/>
                <w:sz w:val="22"/>
                <w:szCs w:val="22"/>
                <w:highlight w:val="none"/>
                <w:lang w:val="en-US" w:eastAsia="zh-CN"/>
              </w:rPr>
              <w:t>：</w:t>
            </w:r>
            <w:r>
              <w:rPr>
                <w:rFonts w:hint="default" w:ascii="Times New Roman" w:hAnsi="Times New Roman" w:eastAsia="宋体" w:cs="Times New Roman"/>
                <w:b w:val="0"/>
                <w:bCs w:val="0"/>
                <w:color w:val="auto"/>
                <w:kern w:val="0"/>
                <w:sz w:val="22"/>
                <w:szCs w:val="22"/>
                <w:highlight w:val="none"/>
                <w:lang w:val="en-US" w:eastAsia="zh-CN"/>
              </w:rPr>
              <w:t>以项目厂区中心为原点建立坐标轴</w:t>
            </w:r>
            <w:r>
              <w:rPr>
                <w:rFonts w:hint="default" w:ascii="Times New Roman" w:hAnsi="Times New Roman" w:cs="Times New Roman"/>
                <w:b w:val="0"/>
                <w:bCs w:val="0"/>
                <w:color w:val="auto"/>
                <w:kern w:val="0"/>
                <w:sz w:val="22"/>
                <w:szCs w:val="22"/>
                <w:highlight w:val="none"/>
                <w:lang w:val="en-US" w:eastAsia="zh-CN"/>
              </w:rPr>
              <w:t>（0，0）</w:t>
            </w:r>
            <w:r>
              <w:rPr>
                <w:rFonts w:hint="eastAsia" w:cs="Times New Roman"/>
                <w:b w:val="0"/>
                <w:bCs w:val="0"/>
                <w:color w:val="auto"/>
                <w:kern w:val="0"/>
                <w:sz w:val="22"/>
                <w:szCs w:val="22"/>
                <w:highlight w:val="none"/>
                <w:lang w:val="en-US" w:eastAsia="zh-CN"/>
              </w:rPr>
              <w:t>，各保护目标坐标为中心点坐标</w:t>
            </w:r>
            <w:r>
              <w:rPr>
                <w:rFonts w:hint="default" w:ascii="Times New Roman" w:hAnsi="Times New Roman" w:eastAsia="宋体" w:cs="Times New Roman"/>
                <w:b w:val="0"/>
                <w:bCs w:val="0"/>
                <w:color w:val="auto"/>
                <w:kern w:val="0"/>
                <w:sz w:val="22"/>
                <w:szCs w:val="22"/>
                <w:highlight w:val="none"/>
                <w:lang w:val="en-US" w:eastAsia="zh-CN"/>
              </w:rPr>
              <w:t>。</w:t>
            </w:r>
          </w:p>
          <w:p w14:paraId="023A0E2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jc w:val="left"/>
              <w:textAlignment w:val="auto"/>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cs="Times New Roman"/>
                <w:b w:val="0"/>
                <w:bCs w:val="0"/>
                <w:color w:val="auto"/>
                <w:kern w:val="0"/>
                <w:sz w:val="24"/>
                <w:szCs w:val="24"/>
                <w:highlight w:val="none"/>
                <w:lang w:val="en-US" w:eastAsia="zh-CN"/>
              </w:rPr>
              <w:t>（2）</w:t>
            </w:r>
            <w:r>
              <w:rPr>
                <w:rFonts w:hint="default" w:ascii="Times New Roman" w:hAnsi="Times New Roman" w:eastAsia="宋体" w:cs="Times New Roman"/>
                <w:b w:val="0"/>
                <w:bCs w:val="0"/>
                <w:color w:val="auto"/>
                <w:kern w:val="0"/>
                <w:sz w:val="24"/>
                <w:szCs w:val="24"/>
                <w:highlight w:val="none"/>
                <w:lang w:val="en-US" w:eastAsia="zh-CN"/>
              </w:rPr>
              <w:t>声环境保护目标</w:t>
            </w:r>
          </w:p>
          <w:p w14:paraId="5D97B9C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b/>
                <w:bCs/>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项目</w:t>
            </w:r>
            <w:r>
              <w:rPr>
                <w:rFonts w:hint="eastAsia" w:cs="Times New Roman"/>
                <w:b w:val="0"/>
                <w:bCs w:val="0"/>
                <w:color w:val="auto"/>
                <w:kern w:val="0"/>
                <w:sz w:val="24"/>
                <w:szCs w:val="24"/>
                <w:highlight w:val="none"/>
                <w:lang w:val="en-US" w:eastAsia="zh-CN"/>
              </w:rPr>
              <w:t>场界</w:t>
            </w:r>
            <w:r>
              <w:rPr>
                <w:rFonts w:hint="default" w:ascii="Times New Roman" w:hAnsi="Times New Roman" w:eastAsia="宋体" w:cs="Times New Roman"/>
                <w:b w:val="0"/>
                <w:bCs w:val="0"/>
                <w:color w:val="auto"/>
                <w:kern w:val="0"/>
                <w:sz w:val="24"/>
                <w:szCs w:val="24"/>
                <w:highlight w:val="none"/>
                <w:lang w:val="en-US" w:eastAsia="zh-CN"/>
              </w:rPr>
              <w:t>外50m范围内存在居住区</w:t>
            </w:r>
            <w:r>
              <w:rPr>
                <w:rFonts w:hint="eastAsia" w:cs="Times New Roman"/>
                <w:b w:val="0"/>
                <w:bCs w:val="0"/>
                <w:color w:val="auto"/>
                <w:kern w:val="0"/>
                <w:sz w:val="24"/>
                <w:szCs w:val="24"/>
                <w:highlight w:val="none"/>
                <w:lang w:val="en-US" w:eastAsia="zh-CN"/>
              </w:rPr>
              <w:t>和学校</w:t>
            </w:r>
            <w:r>
              <w:rPr>
                <w:rFonts w:hint="default" w:ascii="Times New Roman" w:hAnsi="Times New Roman" w:eastAsia="宋体" w:cs="Times New Roman"/>
                <w:b w:val="0"/>
                <w:bCs w:val="0"/>
                <w:color w:val="auto"/>
                <w:kern w:val="0"/>
                <w:sz w:val="24"/>
                <w:szCs w:val="24"/>
                <w:highlight w:val="none"/>
                <w:lang w:val="en-US" w:eastAsia="zh-CN"/>
              </w:rPr>
              <w:t>。项目50m范围内声环境保护目标详见表3.2-</w:t>
            </w:r>
            <w:r>
              <w:rPr>
                <w:rFonts w:hint="eastAsia" w:cs="Times New Roman"/>
                <w:b w:val="0"/>
                <w:bCs w:val="0"/>
                <w:color w:val="auto"/>
                <w:kern w:val="0"/>
                <w:sz w:val="24"/>
                <w:szCs w:val="24"/>
                <w:highlight w:val="none"/>
                <w:lang w:val="en-US" w:eastAsia="zh-CN"/>
              </w:rPr>
              <w:t>3</w:t>
            </w:r>
            <w:r>
              <w:rPr>
                <w:rFonts w:hint="default" w:ascii="Times New Roman" w:hAnsi="Times New Roman" w:eastAsia="宋体" w:cs="Times New Roman"/>
                <w:b w:val="0"/>
                <w:bCs w:val="0"/>
                <w:color w:val="auto"/>
                <w:kern w:val="0"/>
                <w:sz w:val="24"/>
                <w:szCs w:val="24"/>
                <w:highlight w:val="none"/>
                <w:lang w:val="en-US" w:eastAsia="zh-CN"/>
              </w:rPr>
              <w:t>。</w:t>
            </w:r>
          </w:p>
          <w:p w14:paraId="29C3C90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firstLine="0" w:firstLineChars="0"/>
              <w:jc w:val="center"/>
              <w:textAlignment w:val="auto"/>
              <w:rPr>
                <w:rFonts w:hint="default" w:ascii="Times New Roman" w:hAnsi="Times New Roman" w:eastAsia="宋体" w:cs="Times New Roman"/>
                <w:b/>
                <w:bCs/>
                <w:color w:val="auto"/>
                <w:kern w:val="0"/>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rPr>
              <w:t>表3.2-</w:t>
            </w:r>
            <w:r>
              <w:rPr>
                <w:rFonts w:hint="eastAsia" w:cs="Times New Roman"/>
                <w:b/>
                <w:bCs/>
                <w:color w:val="auto"/>
                <w:kern w:val="0"/>
                <w:sz w:val="24"/>
                <w:szCs w:val="24"/>
                <w:highlight w:val="none"/>
                <w:lang w:val="en-US" w:eastAsia="zh-CN"/>
              </w:rPr>
              <w:t>3</w:t>
            </w:r>
            <w:r>
              <w:rPr>
                <w:rFonts w:hint="default" w:ascii="Times New Roman" w:hAnsi="Times New Roman" w:eastAsia="宋体" w:cs="Times New Roman"/>
                <w:b/>
                <w:bCs/>
                <w:color w:val="auto"/>
                <w:kern w:val="0"/>
                <w:sz w:val="24"/>
                <w:szCs w:val="24"/>
                <w:highlight w:val="none"/>
                <w:lang w:val="en-US" w:eastAsia="zh-CN"/>
              </w:rPr>
              <w:t xml:space="preserve"> 项目声环境保护目标一览表</w:t>
            </w:r>
          </w:p>
          <w:tbl>
            <w:tblPr>
              <w:tblStyle w:val="21"/>
              <w:tblW w:w="5000" w:type="pct"/>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666"/>
              <w:gridCol w:w="944"/>
              <w:gridCol w:w="933"/>
              <w:gridCol w:w="1254"/>
              <w:gridCol w:w="1043"/>
              <w:gridCol w:w="914"/>
              <w:gridCol w:w="1174"/>
            </w:tblGrid>
            <w:tr w14:paraId="49CC39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7" w:type="pct"/>
                  <w:vMerge w:val="restart"/>
                  <w:tcBorders>
                    <w:tl2br w:val="nil"/>
                    <w:tr2bl w:val="nil"/>
                  </w:tcBorders>
                  <w:vAlign w:val="center"/>
                </w:tcPr>
                <w:p w14:paraId="17399A4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序号</w:t>
                  </w:r>
                </w:p>
              </w:tc>
              <w:tc>
                <w:tcPr>
                  <w:tcW w:w="998" w:type="pct"/>
                  <w:vMerge w:val="restart"/>
                  <w:tcBorders>
                    <w:tl2br w:val="nil"/>
                    <w:tr2bl w:val="nil"/>
                  </w:tcBorders>
                  <w:vAlign w:val="center"/>
                </w:tcPr>
                <w:p w14:paraId="1898562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名称</w:t>
                  </w:r>
                </w:p>
              </w:tc>
              <w:tc>
                <w:tcPr>
                  <w:tcW w:w="1125" w:type="pct"/>
                  <w:gridSpan w:val="2"/>
                  <w:tcBorders>
                    <w:tl2br w:val="nil"/>
                    <w:tr2bl w:val="nil"/>
                  </w:tcBorders>
                  <w:vAlign w:val="center"/>
                </w:tcPr>
                <w:p w14:paraId="6EFAC6F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坐标/m</w:t>
                  </w:r>
                </w:p>
              </w:tc>
              <w:tc>
                <w:tcPr>
                  <w:tcW w:w="751" w:type="pct"/>
                  <w:vMerge w:val="restart"/>
                  <w:tcBorders>
                    <w:tl2br w:val="nil"/>
                    <w:tr2bl w:val="nil"/>
                  </w:tcBorders>
                  <w:vAlign w:val="center"/>
                </w:tcPr>
                <w:p w14:paraId="7B0A756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环境功能区</w:t>
                  </w:r>
                </w:p>
              </w:tc>
              <w:tc>
                <w:tcPr>
                  <w:tcW w:w="625" w:type="pct"/>
                  <w:vMerge w:val="restart"/>
                  <w:tcBorders>
                    <w:tl2br w:val="nil"/>
                    <w:tr2bl w:val="nil"/>
                  </w:tcBorders>
                  <w:vAlign w:val="center"/>
                </w:tcPr>
                <w:p w14:paraId="5A43DD1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相对厂址方位</w:t>
                  </w:r>
                </w:p>
              </w:tc>
              <w:tc>
                <w:tcPr>
                  <w:tcW w:w="548" w:type="pct"/>
                  <w:vMerge w:val="restart"/>
                  <w:tcBorders>
                    <w:tl2br w:val="nil"/>
                    <w:tr2bl w:val="nil"/>
                  </w:tcBorders>
                  <w:vAlign w:val="center"/>
                </w:tcPr>
                <w:p w14:paraId="43FD864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最近距离</w:t>
                  </w:r>
                </w:p>
              </w:tc>
              <w:tc>
                <w:tcPr>
                  <w:tcW w:w="703" w:type="pct"/>
                  <w:vMerge w:val="restart"/>
                  <w:tcBorders>
                    <w:tl2br w:val="nil"/>
                    <w:tr2bl w:val="nil"/>
                  </w:tcBorders>
                  <w:vAlign w:val="center"/>
                </w:tcPr>
                <w:p w14:paraId="754B6FC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保护内容</w:t>
                  </w:r>
                </w:p>
              </w:tc>
            </w:tr>
            <w:tr w14:paraId="31ADCB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7" w:type="pct"/>
                  <w:vMerge w:val="continue"/>
                  <w:tcBorders>
                    <w:tl2br w:val="nil"/>
                    <w:tr2bl w:val="nil"/>
                  </w:tcBorders>
                  <w:vAlign w:val="center"/>
                </w:tcPr>
                <w:p w14:paraId="547333E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998" w:type="pct"/>
                  <w:vMerge w:val="continue"/>
                  <w:tcBorders>
                    <w:tl2br w:val="nil"/>
                    <w:tr2bl w:val="nil"/>
                  </w:tcBorders>
                  <w:vAlign w:val="center"/>
                </w:tcPr>
                <w:p w14:paraId="0CEC888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566" w:type="pct"/>
                  <w:tcBorders>
                    <w:tl2br w:val="nil"/>
                    <w:tr2bl w:val="nil"/>
                  </w:tcBorders>
                  <w:vAlign w:val="center"/>
                </w:tcPr>
                <w:p w14:paraId="191408E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X</w:t>
                  </w:r>
                </w:p>
              </w:tc>
              <w:tc>
                <w:tcPr>
                  <w:tcW w:w="558" w:type="pct"/>
                  <w:tcBorders>
                    <w:tl2br w:val="nil"/>
                    <w:tr2bl w:val="nil"/>
                  </w:tcBorders>
                  <w:vAlign w:val="center"/>
                </w:tcPr>
                <w:p w14:paraId="16C98B0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Y</w:t>
                  </w:r>
                </w:p>
              </w:tc>
              <w:tc>
                <w:tcPr>
                  <w:tcW w:w="751" w:type="pct"/>
                  <w:vMerge w:val="continue"/>
                  <w:tcBorders>
                    <w:tl2br w:val="nil"/>
                    <w:tr2bl w:val="nil"/>
                  </w:tcBorders>
                  <w:vAlign w:val="center"/>
                </w:tcPr>
                <w:p w14:paraId="1B4007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625" w:type="pct"/>
                  <w:vMerge w:val="continue"/>
                  <w:tcBorders>
                    <w:tl2br w:val="nil"/>
                    <w:tr2bl w:val="nil"/>
                  </w:tcBorders>
                  <w:vAlign w:val="center"/>
                </w:tcPr>
                <w:p w14:paraId="4A042F9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548" w:type="pct"/>
                  <w:vMerge w:val="continue"/>
                  <w:tcBorders>
                    <w:tl2br w:val="nil"/>
                    <w:tr2bl w:val="nil"/>
                  </w:tcBorders>
                  <w:vAlign w:val="center"/>
                </w:tcPr>
                <w:p w14:paraId="787BFB0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703" w:type="pct"/>
                  <w:vMerge w:val="continue"/>
                  <w:tcBorders>
                    <w:tl2br w:val="nil"/>
                    <w:tr2bl w:val="nil"/>
                  </w:tcBorders>
                  <w:vAlign w:val="center"/>
                </w:tcPr>
                <w:p w14:paraId="648306F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p>
              </w:tc>
            </w:tr>
            <w:tr w14:paraId="09FC3F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7" w:type="pct"/>
                  <w:tcBorders>
                    <w:tl2br w:val="nil"/>
                    <w:tr2bl w:val="nil"/>
                  </w:tcBorders>
                  <w:vAlign w:val="center"/>
                </w:tcPr>
                <w:p w14:paraId="3E69CE8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1</w:t>
                  </w:r>
                </w:p>
              </w:tc>
              <w:tc>
                <w:tcPr>
                  <w:tcW w:w="1666" w:type="dxa"/>
                  <w:tcBorders>
                    <w:tl2br w:val="nil"/>
                    <w:tr2bl w:val="nil"/>
                  </w:tcBorders>
                  <w:vAlign w:val="center"/>
                </w:tcPr>
                <w:p w14:paraId="328D69D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渝高中学</w:t>
                  </w:r>
                </w:p>
              </w:tc>
              <w:tc>
                <w:tcPr>
                  <w:tcW w:w="944" w:type="dxa"/>
                  <w:tcBorders>
                    <w:tl2br w:val="nil"/>
                    <w:tr2bl w:val="nil"/>
                  </w:tcBorders>
                  <w:vAlign w:val="center"/>
                </w:tcPr>
                <w:p w14:paraId="1DDD645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vertAlign w:val="baseline"/>
                      <w:lang w:val="en-US" w:eastAsia="zh-CN"/>
                    </w:rPr>
                  </w:pPr>
                  <w:r>
                    <w:rPr>
                      <w:rFonts w:hint="eastAsia"/>
                      <w:color w:val="auto"/>
                    </w:rPr>
                    <w:t>-19</w:t>
                  </w:r>
                </w:p>
              </w:tc>
              <w:tc>
                <w:tcPr>
                  <w:tcW w:w="933" w:type="dxa"/>
                  <w:tcBorders>
                    <w:tl2br w:val="nil"/>
                    <w:tr2bl w:val="nil"/>
                  </w:tcBorders>
                  <w:vAlign w:val="center"/>
                </w:tcPr>
                <w:p w14:paraId="49EF7FA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vertAlign w:val="baseline"/>
                      <w:lang w:val="en-US" w:eastAsia="zh-CN"/>
                    </w:rPr>
                  </w:pPr>
                  <w:r>
                    <w:rPr>
                      <w:rFonts w:hint="eastAsia"/>
                      <w:color w:val="auto"/>
                    </w:rPr>
                    <w:t>-179</w:t>
                  </w:r>
                </w:p>
              </w:tc>
              <w:tc>
                <w:tcPr>
                  <w:tcW w:w="751" w:type="pct"/>
                  <w:tcBorders>
                    <w:tl2br w:val="nil"/>
                    <w:tr2bl w:val="nil"/>
                  </w:tcBorders>
                  <w:vAlign w:val="center"/>
                </w:tcPr>
                <w:p w14:paraId="3052194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声环境</w:t>
                  </w:r>
                  <w:r>
                    <w:rPr>
                      <w:rFonts w:hint="eastAsia" w:cs="Times New Roman"/>
                      <w:b w:val="0"/>
                      <w:bCs w:val="0"/>
                      <w:color w:val="auto"/>
                      <w:kern w:val="0"/>
                      <w:sz w:val="21"/>
                      <w:szCs w:val="21"/>
                      <w:highlight w:val="none"/>
                      <w:vertAlign w:val="baseline"/>
                      <w:lang w:val="en-US" w:eastAsia="zh-CN"/>
                    </w:rPr>
                    <w:t>1</w:t>
                  </w:r>
                  <w:r>
                    <w:rPr>
                      <w:rFonts w:hint="default" w:ascii="Times New Roman" w:hAnsi="Times New Roman" w:cs="Times New Roman"/>
                      <w:b w:val="0"/>
                      <w:bCs w:val="0"/>
                      <w:color w:val="auto"/>
                      <w:kern w:val="0"/>
                      <w:sz w:val="21"/>
                      <w:szCs w:val="21"/>
                      <w:highlight w:val="none"/>
                      <w:vertAlign w:val="baseline"/>
                      <w:lang w:val="en-US" w:eastAsia="zh-CN"/>
                    </w:rPr>
                    <w:t>类</w:t>
                  </w:r>
                </w:p>
              </w:tc>
              <w:tc>
                <w:tcPr>
                  <w:tcW w:w="625" w:type="pct"/>
                  <w:tcBorders>
                    <w:tl2br w:val="nil"/>
                    <w:tr2bl w:val="nil"/>
                  </w:tcBorders>
                  <w:vAlign w:val="center"/>
                </w:tcPr>
                <w:p w14:paraId="18DF43A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西、南</w:t>
                  </w:r>
                </w:p>
              </w:tc>
              <w:tc>
                <w:tcPr>
                  <w:tcW w:w="548" w:type="pct"/>
                  <w:tcBorders>
                    <w:tl2br w:val="nil"/>
                    <w:tr2bl w:val="nil"/>
                  </w:tcBorders>
                  <w:vAlign w:val="center"/>
                </w:tcPr>
                <w:p w14:paraId="730C2F4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20</w:t>
                  </w:r>
                </w:p>
              </w:tc>
              <w:tc>
                <w:tcPr>
                  <w:tcW w:w="1174" w:type="dxa"/>
                  <w:tcBorders>
                    <w:tl2br w:val="nil"/>
                    <w:tr2bl w:val="nil"/>
                  </w:tcBorders>
                  <w:vAlign w:val="center"/>
                </w:tcPr>
                <w:p w14:paraId="3B19AC8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学校，约3000人</w:t>
                  </w:r>
                </w:p>
              </w:tc>
            </w:tr>
            <w:tr w14:paraId="0B9EBF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247" w:type="pct"/>
                  <w:tcBorders>
                    <w:tl2br w:val="nil"/>
                    <w:tr2bl w:val="nil"/>
                  </w:tcBorders>
                  <w:vAlign w:val="center"/>
                </w:tcPr>
                <w:p w14:paraId="4CCFA0D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2</w:t>
                  </w:r>
                </w:p>
              </w:tc>
              <w:tc>
                <w:tcPr>
                  <w:tcW w:w="1666" w:type="dxa"/>
                  <w:tcBorders>
                    <w:tl2br w:val="nil"/>
                    <w:tr2bl w:val="nil"/>
                  </w:tcBorders>
                  <w:vAlign w:val="center"/>
                </w:tcPr>
                <w:p w14:paraId="65F7B76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弘悦101住宅区</w:t>
                  </w:r>
                </w:p>
              </w:tc>
              <w:tc>
                <w:tcPr>
                  <w:tcW w:w="944" w:type="dxa"/>
                  <w:tcBorders>
                    <w:tl2br w:val="nil"/>
                    <w:tr2bl w:val="nil"/>
                  </w:tcBorders>
                  <w:vAlign w:val="center"/>
                </w:tcPr>
                <w:p w14:paraId="5257F13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vertAlign w:val="baseline"/>
                      <w:lang w:val="en-US" w:eastAsia="zh-CN"/>
                    </w:rPr>
                  </w:pPr>
                  <w:r>
                    <w:rPr>
                      <w:rFonts w:hint="eastAsia"/>
                      <w:color w:val="auto"/>
                    </w:rPr>
                    <w:t>69</w:t>
                  </w:r>
                </w:p>
              </w:tc>
              <w:tc>
                <w:tcPr>
                  <w:tcW w:w="933" w:type="dxa"/>
                  <w:tcBorders>
                    <w:tl2br w:val="nil"/>
                    <w:tr2bl w:val="nil"/>
                  </w:tcBorders>
                  <w:vAlign w:val="center"/>
                </w:tcPr>
                <w:p w14:paraId="6E10C0A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vertAlign w:val="baseline"/>
                      <w:lang w:val="en-US" w:eastAsia="zh-CN"/>
                    </w:rPr>
                  </w:pPr>
                  <w:r>
                    <w:rPr>
                      <w:rFonts w:hint="eastAsia"/>
                      <w:color w:val="auto"/>
                    </w:rPr>
                    <w:t>-45</w:t>
                  </w:r>
                </w:p>
              </w:tc>
              <w:tc>
                <w:tcPr>
                  <w:tcW w:w="751" w:type="pct"/>
                  <w:tcBorders>
                    <w:tl2br w:val="nil"/>
                    <w:tr2bl w:val="nil"/>
                  </w:tcBorders>
                  <w:vAlign w:val="center"/>
                </w:tcPr>
                <w:p w14:paraId="2288D99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声环境</w:t>
                  </w:r>
                  <w:r>
                    <w:rPr>
                      <w:rFonts w:hint="eastAsia" w:cs="Times New Roman"/>
                      <w:b w:val="0"/>
                      <w:bCs w:val="0"/>
                      <w:color w:val="auto"/>
                      <w:kern w:val="0"/>
                      <w:sz w:val="21"/>
                      <w:szCs w:val="21"/>
                      <w:highlight w:val="none"/>
                      <w:vertAlign w:val="baseline"/>
                      <w:lang w:val="en-US" w:eastAsia="zh-CN"/>
                    </w:rPr>
                    <w:t>2</w:t>
                  </w:r>
                  <w:r>
                    <w:rPr>
                      <w:rFonts w:hint="default" w:ascii="Times New Roman" w:hAnsi="Times New Roman" w:cs="Times New Roman"/>
                      <w:b w:val="0"/>
                      <w:bCs w:val="0"/>
                      <w:color w:val="auto"/>
                      <w:kern w:val="0"/>
                      <w:sz w:val="21"/>
                      <w:szCs w:val="21"/>
                      <w:highlight w:val="none"/>
                      <w:vertAlign w:val="baseline"/>
                      <w:lang w:val="en-US" w:eastAsia="zh-CN"/>
                    </w:rPr>
                    <w:t>类</w:t>
                  </w:r>
                </w:p>
              </w:tc>
              <w:tc>
                <w:tcPr>
                  <w:tcW w:w="625" w:type="pct"/>
                  <w:tcBorders>
                    <w:tl2br w:val="nil"/>
                    <w:tr2bl w:val="nil"/>
                  </w:tcBorders>
                  <w:vAlign w:val="center"/>
                </w:tcPr>
                <w:p w14:paraId="3789344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南</w:t>
                  </w:r>
                </w:p>
              </w:tc>
              <w:tc>
                <w:tcPr>
                  <w:tcW w:w="548" w:type="pct"/>
                  <w:tcBorders>
                    <w:tl2br w:val="nil"/>
                    <w:tr2bl w:val="nil"/>
                  </w:tcBorders>
                  <w:vAlign w:val="center"/>
                </w:tcPr>
                <w:p w14:paraId="01D17CA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25</w:t>
                  </w:r>
                </w:p>
              </w:tc>
              <w:tc>
                <w:tcPr>
                  <w:tcW w:w="1174" w:type="dxa"/>
                  <w:tcBorders>
                    <w:tl2br w:val="nil"/>
                    <w:tr2bl w:val="nil"/>
                  </w:tcBorders>
                  <w:vAlign w:val="center"/>
                </w:tcPr>
                <w:p w14:paraId="281A670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住宅区，约557户</w:t>
                  </w:r>
                </w:p>
              </w:tc>
            </w:tr>
          </w:tbl>
          <w:p w14:paraId="3A41B84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cs="Times New Roman"/>
                <w:b w:val="0"/>
                <w:bCs w:val="0"/>
                <w:color w:val="000000" w:themeColor="text1"/>
                <w:kern w:val="0"/>
                <w:sz w:val="22"/>
                <w:szCs w:val="22"/>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2"/>
                <w:szCs w:val="22"/>
                <w:highlight w:val="none"/>
                <w:lang w:val="en-US" w:eastAsia="zh-CN"/>
                <w14:textFill>
                  <w14:solidFill>
                    <w14:schemeClr w14:val="tx1"/>
                  </w14:solidFill>
                </w14:textFill>
              </w:rPr>
              <w:t>注</w:t>
            </w:r>
            <w:r>
              <w:rPr>
                <w:rFonts w:hint="default" w:ascii="Times New Roman" w:hAnsi="Times New Roman" w:cs="Times New Roman"/>
                <w:b w:val="0"/>
                <w:bCs w:val="0"/>
                <w:color w:val="000000" w:themeColor="text1"/>
                <w:kern w:val="0"/>
                <w:sz w:val="22"/>
                <w:szCs w:val="22"/>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2"/>
                <w:szCs w:val="22"/>
                <w:highlight w:val="none"/>
                <w:lang w:val="en-US" w:eastAsia="zh-CN"/>
                <w14:textFill>
                  <w14:solidFill>
                    <w14:schemeClr w14:val="tx1"/>
                  </w14:solidFill>
                </w14:textFill>
              </w:rPr>
              <w:t>以项目厂区中心为原点建立坐标轴</w:t>
            </w:r>
            <w:r>
              <w:rPr>
                <w:rFonts w:hint="default" w:ascii="Times New Roman" w:hAnsi="Times New Roman" w:cs="Times New Roman"/>
                <w:b w:val="0"/>
                <w:bCs w:val="0"/>
                <w:color w:val="000000" w:themeColor="text1"/>
                <w:kern w:val="0"/>
                <w:sz w:val="22"/>
                <w:szCs w:val="22"/>
                <w:highlight w:val="none"/>
                <w:lang w:val="en-US" w:eastAsia="zh-CN"/>
                <w14:textFill>
                  <w14:solidFill>
                    <w14:schemeClr w14:val="tx1"/>
                  </w14:solidFill>
                </w14:textFill>
              </w:rPr>
              <w:t>（0，0）</w:t>
            </w:r>
            <w:r>
              <w:rPr>
                <w:rFonts w:hint="eastAsia" w:cs="Times New Roman"/>
                <w:b w:val="0"/>
                <w:bCs w:val="0"/>
                <w:color w:val="000000" w:themeColor="text1"/>
                <w:kern w:val="0"/>
                <w:sz w:val="22"/>
                <w:szCs w:val="22"/>
                <w:highlight w:val="none"/>
                <w:lang w:val="en-US" w:eastAsia="zh-CN"/>
                <w14:textFill>
                  <w14:solidFill>
                    <w14:schemeClr w14:val="tx1"/>
                  </w14:solidFill>
                </w14:textFill>
              </w:rPr>
              <w:t>，各保护目标坐标为</w:t>
            </w:r>
            <w:r>
              <w:rPr>
                <w:rFonts w:hint="eastAsia" w:cs="Times New Roman"/>
                <w:b w:val="0"/>
                <w:bCs w:val="0"/>
                <w:color w:val="auto"/>
                <w:kern w:val="0"/>
                <w:sz w:val="22"/>
                <w:szCs w:val="22"/>
                <w:highlight w:val="none"/>
                <w:lang w:val="en-US" w:eastAsia="zh-CN"/>
              </w:rPr>
              <w:t>中心点</w:t>
            </w:r>
            <w:r>
              <w:rPr>
                <w:rFonts w:hint="eastAsia" w:cs="Times New Roman"/>
                <w:b w:val="0"/>
                <w:bCs w:val="0"/>
                <w:color w:val="000000" w:themeColor="text1"/>
                <w:kern w:val="0"/>
                <w:sz w:val="22"/>
                <w:szCs w:val="22"/>
                <w:highlight w:val="none"/>
                <w:lang w:val="en-US" w:eastAsia="zh-CN"/>
                <w14:textFill>
                  <w14:solidFill>
                    <w14:schemeClr w14:val="tx1"/>
                  </w14:solidFill>
                </w14:textFill>
              </w:rPr>
              <w:t>坐标。</w:t>
            </w:r>
          </w:p>
          <w:p w14:paraId="6B0A6E8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jc w:val="left"/>
              <w:textAlignment w:val="auto"/>
              <w:rPr>
                <w:rFonts w:hint="default" w:ascii="Times New Roman" w:hAnsi="Times New Roman" w:cs="Times New Roman"/>
                <w:b w:val="0"/>
                <w:bCs w:val="0"/>
                <w:color w:val="000000" w:themeColor="text1"/>
                <w:kern w:val="0"/>
                <w:sz w:val="24"/>
                <w:szCs w:val="24"/>
                <w:highlight w:val="none"/>
                <w:lang w:val="en-US" w:eastAsia="zh-CN"/>
                <w14:textFill>
                  <w14:solidFill>
                    <w14:schemeClr w14:val="tx1"/>
                  </w14:solidFill>
                </w14:textFill>
              </w:rPr>
            </w:pPr>
            <w:r>
              <w:rPr>
                <w:rFonts w:hint="eastAsia" w:cs="Times New Roman"/>
                <w:b w:val="0"/>
                <w:bCs w:val="0"/>
                <w:color w:val="000000" w:themeColor="text1"/>
                <w:kern w:val="0"/>
                <w:sz w:val="24"/>
                <w:szCs w:val="24"/>
                <w:highlight w:val="none"/>
                <w:lang w:val="en-US" w:eastAsia="zh-CN"/>
                <w14:textFill>
                  <w14:solidFill>
                    <w14:schemeClr w14:val="tx1"/>
                  </w14:solidFill>
                </w14:textFill>
              </w:rPr>
              <w:t>（3）</w:t>
            </w:r>
            <w:r>
              <w:rPr>
                <w:rFonts w:hint="default" w:ascii="Times New Roman" w:hAnsi="Times New Roman" w:cs="Times New Roman"/>
                <w:b w:val="0"/>
                <w:bCs w:val="0"/>
                <w:color w:val="000000" w:themeColor="text1"/>
                <w:kern w:val="0"/>
                <w:sz w:val="24"/>
                <w:szCs w:val="24"/>
                <w:highlight w:val="none"/>
                <w:lang w:val="en-US" w:eastAsia="zh-CN"/>
                <w14:textFill>
                  <w14:solidFill>
                    <w14:schemeClr w14:val="tx1"/>
                  </w14:solidFill>
                </w14:textFill>
              </w:rPr>
              <w:t>地下水环境</w:t>
            </w:r>
          </w:p>
          <w:p w14:paraId="47D5760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cs="Times New Roman"/>
                <w:b w:val="0"/>
                <w:bCs w:val="0"/>
                <w:color w:val="000000" w:themeColor="text1"/>
                <w:kern w:val="0"/>
                <w:sz w:val="24"/>
                <w:szCs w:val="24"/>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4"/>
                <w:szCs w:val="24"/>
                <w:highlight w:val="none"/>
                <w:lang w:val="en-US" w:eastAsia="zh-CN"/>
                <w14:textFill>
                  <w14:solidFill>
                    <w14:schemeClr w14:val="tx1"/>
                  </w14:solidFill>
                </w14:textFill>
              </w:rPr>
              <w:t>项目</w:t>
            </w:r>
            <w:r>
              <w:rPr>
                <w:rFonts w:hint="eastAsia" w:cs="Times New Roman"/>
                <w:b w:val="0"/>
                <w:bCs w:val="0"/>
                <w:color w:val="000000" w:themeColor="text1"/>
                <w:kern w:val="0"/>
                <w:sz w:val="24"/>
                <w:szCs w:val="24"/>
                <w:highlight w:val="none"/>
                <w:lang w:val="en-US" w:eastAsia="zh-CN"/>
                <w14:textFill>
                  <w14:solidFill>
                    <w14:schemeClr w14:val="tx1"/>
                  </w14:solidFill>
                </w14:textFill>
              </w:rPr>
              <w:t>场界</w:t>
            </w:r>
            <w:r>
              <w:rPr>
                <w:rFonts w:hint="default" w:ascii="Times New Roman" w:hAnsi="Times New Roman" w:cs="Times New Roman"/>
                <w:b w:val="0"/>
                <w:bCs w:val="0"/>
                <w:color w:val="000000" w:themeColor="text1"/>
                <w:kern w:val="0"/>
                <w:sz w:val="24"/>
                <w:szCs w:val="24"/>
                <w:highlight w:val="none"/>
                <w:lang w:val="en-US" w:eastAsia="zh-CN"/>
                <w14:textFill>
                  <w14:solidFill>
                    <w14:schemeClr w14:val="tx1"/>
                  </w14:solidFill>
                </w14:textFill>
              </w:rPr>
              <w:t>外500m范围内无地下水集中式饮用水水源和热水、矿泉水、温泉等特殊地下水资源。</w:t>
            </w:r>
          </w:p>
          <w:p w14:paraId="7CBBF81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jc w:val="left"/>
              <w:textAlignment w:val="auto"/>
              <w:rPr>
                <w:rFonts w:hint="default" w:ascii="Times New Roman" w:hAnsi="Times New Roman" w:cs="Times New Roman"/>
                <w:b w:val="0"/>
                <w:bCs w:val="0"/>
                <w:color w:val="000000" w:themeColor="text1"/>
                <w:kern w:val="0"/>
                <w:sz w:val="24"/>
                <w:szCs w:val="24"/>
                <w:highlight w:val="none"/>
                <w:lang w:val="en-US" w:eastAsia="zh-CN"/>
                <w14:textFill>
                  <w14:solidFill>
                    <w14:schemeClr w14:val="tx1"/>
                  </w14:solidFill>
                </w14:textFill>
              </w:rPr>
            </w:pPr>
            <w:r>
              <w:rPr>
                <w:rFonts w:hint="eastAsia" w:cs="Times New Roman"/>
                <w:b w:val="0"/>
                <w:bCs w:val="0"/>
                <w:color w:val="000000" w:themeColor="text1"/>
                <w:kern w:val="0"/>
                <w:sz w:val="24"/>
                <w:szCs w:val="24"/>
                <w:highlight w:val="none"/>
                <w:lang w:val="en-US" w:eastAsia="zh-CN"/>
                <w14:textFill>
                  <w14:solidFill>
                    <w14:schemeClr w14:val="tx1"/>
                  </w14:solidFill>
                </w14:textFill>
              </w:rPr>
              <w:t>（4）</w:t>
            </w:r>
            <w:r>
              <w:rPr>
                <w:rFonts w:hint="default" w:ascii="Times New Roman" w:hAnsi="Times New Roman" w:cs="Times New Roman"/>
                <w:b w:val="0"/>
                <w:bCs w:val="0"/>
                <w:color w:val="000000" w:themeColor="text1"/>
                <w:kern w:val="0"/>
                <w:sz w:val="24"/>
                <w:szCs w:val="24"/>
                <w:highlight w:val="none"/>
                <w:lang w:val="en-US" w:eastAsia="zh-CN"/>
                <w14:textFill>
                  <w14:solidFill>
                    <w14:schemeClr w14:val="tx1"/>
                  </w14:solidFill>
                </w14:textFill>
              </w:rPr>
              <w:t>生态环境</w:t>
            </w:r>
          </w:p>
          <w:p w14:paraId="0566999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cs="Times New Roman"/>
                <w:b w:val="0"/>
                <w:bCs w:val="0"/>
                <w:color w:val="FF0000"/>
                <w:kern w:val="0"/>
                <w:sz w:val="24"/>
                <w:szCs w:val="24"/>
                <w:highlight w:val="none"/>
                <w:lang w:val="en-US" w:eastAsia="zh-CN"/>
              </w:rPr>
            </w:pPr>
            <w:r>
              <w:rPr>
                <w:rFonts w:hint="default" w:ascii="Times New Roman" w:hAnsi="Times New Roman" w:cs="Times New Roman"/>
                <w:b w:val="0"/>
                <w:bCs w:val="0"/>
                <w:color w:val="000000" w:themeColor="text1"/>
                <w:kern w:val="0"/>
                <w:sz w:val="24"/>
                <w:szCs w:val="24"/>
                <w:highlight w:val="none"/>
                <w:lang w:val="en-US" w:eastAsia="zh-CN"/>
                <w14:textFill>
                  <w14:solidFill>
                    <w14:schemeClr w14:val="tx1"/>
                  </w14:solidFill>
                </w14:textFill>
              </w:rPr>
              <w:t>项目位于</w:t>
            </w:r>
            <w:r>
              <w:rPr>
                <w:rFonts w:hint="eastAsia" w:cs="Times New Roman"/>
                <w:b w:val="0"/>
                <w:bCs/>
                <w:color w:val="000000" w:themeColor="text1"/>
                <w:sz w:val="24"/>
                <w:szCs w:val="24"/>
                <w:highlight w:val="none"/>
                <w:lang w:val="en-US" w:eastAsia="zh-CN"/>
                <w14:textFill>
                  <w14:solidFill>
                    <w14:schemeClr w14:val="tx1"/>
                  </w14:solidFill>
                </w14:textFill>
              </w:rPr>
              <w:t>重庆市九龙坡区二郎街道火炬大道100号附24号及附23-2号</w:t>
            </w:r>
            <w:r>
              <w:rPr>
                <w:rFonts w:hint="default" w:ascii="Times New Roman" w:hAnsi="Times New Roman" w:cs="Times New Roman"/>
                <w:b w:val="0"/>
                <w:bCs w:val="0"/>
                <w:color w:val="000000" w:themeColor="text1"/>
                <w:kern w:val="0"/>
                <w:sz w:val="24"/>
                <w:szCs w:val="24"/>
                <w:highlight w:val="none"/>
                <w:lang w:val="en-US" w:eastAsia="zh-CN"/>
                <w14:textFill>
                  <w14:solidFill>
                    <w14:schemeClr w14:val="tx1"/>
                  </w14:solidFill>
                </w14:textFill>
              </w:rPr>
              <w:t>，属于城市建成区，用地范围内无生态环境保护目标。</w:t>
            </w:r>
          </w:p>
        </w:tc>
      </w:tr>
      <w:tr w14:paraId="090187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6" w:type="dxa"/>
            <w:noWrap w:val="0"/>
            <w:tcMar>
              <w:left w:w="28" w:type="dxa"/>
              <w:right w:w="28" w:type="dxa"/>
            </w:tcMar>
            <w:vAlign w:val="center"/>
          </w:tcPr>
          <w:p w14:paraId="57B8C11A">
            <w:pPr>
              <w:adjustRightInd w:val="0"/>
              <w:snapToGrid w:val="0"/>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污染</w:t>
            </w:r>
          </w:p>
          <w:p w14:paraId="23D29541">
            <w:pPr>
              <w:adjustRightInd w:val="0"/>
              <w:snapToGrid w:val="0"/>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物排</w:t>
            </w:r>
          </w:p>
          <w:p w14:paraId="53DB3898">
            <w:pPr>
              <w:adjustRightInd w:val="0"/>
              <w:snapToGrid w:val="0"/>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放控</w:t>
            </w:r>
          </w:p>
          <w:p w14:paraId="577B7394">
            <w:pPr>
              <w:adjustRightInd w:val="0"/>
              <w:snapToGrid w:val="0"/>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制标</w:t>
            </w:r>
          </w:p>
          <w:p w14:paraId="2E44B392">
            <w:pPr>
              <w:adjustRightInd w:val="0"/>
              <w:snapToGrid w:val="0"/>
              <w:jc w:val="center"/>
              <w:rPr>
                <w:rFonts w:hint="default" w:ascii="Times New Roman" w:hAnsi="Times New Roman" w:cs="Times New Roman"/>
                <w:color w:val="FF0000"/>
                <w:kern w:val="0"/>
                <w:szCs w:val="21"/>
                <w:highlight w:val="none"/>
              </w:rPr>
            </w:pPr>
            <w:r>
              <w:rPr>
                <w:rFonts w:hint="default" w:ascii="Times New Roman" w:hAnsi="Times New Roman" w:cs="Times New Roman"/>
                <w:color w:val="000000" w:themeColor="text1"/>
                <w:kern w:val="0"/>
                <w:szCs w:val="21"/>
                <w:highlight w:val="none"/>
                <w14:textFill>
                  <w14:solidFill>
                    <w14:schemeClr w14:val="tx1"/>
                  </w14:solidFill>
                </w14:textFill>
              </w:rPr>
              <w:t>准</w:t>
            </w:r>
          </w:p>
        </w:tc>
        <w:tc>
          <w:tcPr>
            <w:tcW w:w="8600" w:type="dxa"/>
            <w:noWrap w:val="0"/>
            <w:vAlign w:val="center"/>
          </w:tcPr>
          <w:p w14:paraId="29FAF8A7">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cs="Times New Roman"/>
                <w:b/>
                <w:bCs/>
                <w:color w:val="000000" w:themeColor="text1"/>
                <w:kern w:val="0"/>
                <w:sz w:val="24"/>
                <w:szCs w:val="24"/>
                <w:highlight w:val="none"/>
                <w14:textFill>
                  <w14:solidFill>
                    <w14:schemeClr w14:val="tx1"/>
                  </w14:solidFill>
                </w14:textFill>
              </w:rPr>
            </w:pPr>
            <w:r>
              <w:rPr>
                <w:rFonts w:hint="default" w:ascii="Times New Roman" w:hAnsi="Times New Roman" w:cs="Times New Roman"/>
                <w:b/>
                <w:bCs/>
                <w:color w:val="000000" w:themeColor="text1"/>
                <w:kern w:val="0"/>
                <w:sz w:val="24"/>
                <w:szCs w:val="24"/>
                <w:highlight w:val="none"/>
                <w14:textFill>
                  <w14:solidFill>
                    <w14:schemeClr w14:val="tx1"/>
                  </w14:solidFill>
                </w14:textFill>
              </w:rPr>
              <w:t>3.3污染物排放控制标准</w:t>
            </w:r>
          </w:p>
          <w:p w14:paraId="21179822">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cs="Times New Roman"/>
                <w:b/>
                <w:bCs/>
                <w:color w:val="000000" w:themeColor="text1"/>
                <w:kern w:val="0"/>
                <w:sz w:val="24"/>
                <w:szCs w:val="24"/>
                <w:highlight w:val="none"/>
                <w14:textFill>
                  <w14:solidFill>
                    <w14:schemeClr w14:val="tx1"/>
                  </w14:solidFill>
                </w14:textFill>
              </w:rPr>
            </w:pPr>
            <w:r>
              <w:rPr>
                <w:rFonts w:hint="default" w:ascii="Times New Roman" w:hAnsi="Times New Roman" w:cs="Times New Roman"/>
                <w:b/>
                <w:bCs/>
                <w:color w:val="000000" w:themeColor="text1"/>
                <w:kern w:val="0"/>
                <w:sz w:val="24"/>
                <w:szCs w:val="24"/>
                <w:highlight w:val="none"/>
                <w14:textFill>
                  <w14:solidFill>
                    <w14:schemeClr w14:val="tx1"/>
                  </w14:solidFill>
                </w14:textFill>
              </w:rPr>
              <w:t>3.3.1大气污染物排放标准</w:t>
            </w:r>
          </w:p>
          <w:p w14:paraId="7B8E982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000000" w:themeColor="text1"/>
                <w:kern w:val="0"/>
                <w:sz w:val="24"/>
                <w:szCs w:val="24"/>
                <w:highlight w:val="none"/>
                <w14:textFill>
                  <w14:solidFill>
                    <w14:schemeClr w14:val="tx1"/>
                  </w14:solidFill>
                </w14:textFill>
              </w:rPr>
            </w:pPr>
            <w:r>
              <w:rPr>
                <w:rFonts w:hint="default" w:ascii="Times New Roman" w:hAnsi="Times New Roman" w:cs="Times New Roman"/>
                <w:b w:val="0"/>
                <w:bCs w:val="0"/>
                <w:color w:val="000000" w:themeColor="text1"/>
                <w:kern w:val="0"/>
                <w:sz w:val="24"/>
                <w:szCs w:val="24"/>
                <w:highlight w:val="none"/>
                <w:lang w:eastAsia="zh-CN"/>
                <w14:textFill>
                  <w14:solidFill>
                    <w14:schemeClr w14:val="tx1"/>
                  </w14:solidFill>
                </w14:textFill>
              </w:rPr>
              <w:t>（</w:t>
            </w:r>
            <w:r>
              <w:rPr>
                <w:rFonts w:hint="default" w:ascii="Times New Roman" w:hAnsi="Times New Roman" w:cs="Times New Roman"/>
                <w:b w:val="0"/>
                <w:bCs w:val="0"/>
                <w:color w:val="000000" w:themeColor="text1"/>
                <w:kern w:val="0"/>
                <w:sz w:val="24"/>
                <w:szCs w:val="24"/>
                <w:highlight w:val="none"/>
                <w:lang w:val="en-US" w:eastAsia="zh-CN"/>
                <w14:textFill>
                  <w14:solidFill>
                    <w14:schemeClr w14:val="tx1"/>
                  </w14:solidFill>
                </w14:textFill>
              </w:rPr>
              <w:t>1</w:t>
            </w:r>
            <w:r>
              <w:rPr>
                <w:rFonts w:hint="default" w:ascii="Times New Roman" w:hAnsi="Times New Roman" w:cs="Times New Roman"/>
                <w:b w:val="0"/>
                <w:bCs w:val="0"/>
                <w:color w:val="000000" w:themeColor="text1"/>
                <w:kern w:val="0"/>
                <w:sz w:val="24"/>
                <w:szCs w:val="24"/>
                <w:highlight w:val="none"/>
                <w:lang w:eastAsia="zh-CN"/>
                <w14:textFill>
                  <w14:solidFill>
                    <w14:schemeClr w14:val="tx1"/>
                  </w14:solidFill>
                </w14:textFill>
              </w:rPr>
              <w:t>）</w:t>
            </w:r>
            <w:r>
              <w:rPr>
                <w:rFonts w:hint="default" w:ascii="Times New Roman" w:hAnsi="Times New Roman" w:cs="Times New Roman"/>
                <w:b w:val="0"/>
                <w:bCs w:val="0"/>
                <w:color w:val="000000" w:themeColor="text1"/>
                <w:kern w:val="0"/>
                <w:sz w:val="24"/>
                <w:szCs w:val="24"/>
                <w:highlight w:val="none"/>
                <w14:textFill>
                  <w14:solidFill>
                    <w14:schemeClr w14:val="tx1"/>
                  </w14:solidFill>
                </w14:textFill>
              </w:rPr>
              <w:t>废气</w:t>
            </w:r>
          </w:p>
          <w:p w14:paraId="6F311E5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000000" w:themeColor="text1"/>
                <w:kern w:val="0"/>
                <w:sz w:val="24"/>
                <w:szCs w:val="24"/>
                <w:highlight w:val="none"/>
                <w14:textFill>
                  <w14:solidFill>
                    <w14:schemeClr w14:val="tx1"/>
                  </w14:solidFill>
                </w14:textFill>
              </w:rPr>
            </w:pPr>
            <w:r>
              <w:rPr>
                <w:rFonts w:hint="default" w:ascii="Times New Roman" w:hAnsi="Times New Roman" w:cs="Times New Roman"/>
                <w:b w:val="0"/>
                <w:bCs w:val="0"/>
                <w:color w:val="000000" w:themeColor="text1"/>
                <w:kern w:val="0"/>
                <w:sz w:val="24"/>
                <w:szCs w:val="24"/>
                <w:highlight w:val="none"/>
                <w14:textFill>
                  <w14:solidFill>
                    <w14:schemeClr w14:val="tx1"/>
                  </w14:solidFill>
                </w14:textFill>
              </w:rPr>
              <w:t>项目臭气主要来自动物住院过程，产生的臭气量较小，执行《恶臭污染物排放标准》</w:t>
            </w:r>
            <w:r>
              <w:rPr>
                <w:rFonts w:hint="default" w:ascii="Times New Roman" w:hAnsi="Times New Roman" w:cs="Times New Roman"/>
                <w:b w:val="0"/>
                <w:bCs w:val="0"/>
                <w:color w:val="000000" w:themeColor="text1"/>
                <w:kern w:val="0"/>
                <w:sz w:val="24"/>
                <w:szCs w:val="24"/>
                <w:highlight w:val="none"/>
                <w:lang w:eastAsia="zh-CN"/>
                <w14:textFill>
                  <w14:solidFill>
                    <w14:schemeClr w14:val="tx1"/>
                  </w14:solidFill>
                </w14:textFill>
              </w:rPr>
              <w:t>（</w:t>
            </w:r>
            <w:r>
              <w:rPr>
                <w:rFonts w:hint="default" w:ascii="Times New Roman" w:hAnsi="Times New Roman" w:cs="Times New Roman"/>
                <w:b w:val="0"/>
                <w:bCs w:val="0"/>
                <w:color w:val="000000" w:themeColor="text1"/>
                <w:kern w:val="0"/>
                <w:sz w:val="24"/>
                <w:szCs w:val="24"/>
                <w:highlight w:val="none"/>
                <w14:textFill>
                  <w14:solidFill>
                    <w14:schemeClr w14:val="tx1"/>
                  </w14:solidFill>
                </w14:textFill>
              </w:rPr>
              <w:t>GB14554-93</w:t>
            </w:r>
            <w:r>
              <w:rPr>
                <w:rFonts w:hint="default" w:ascii="Times New Roman" w:hAnsi="Times New Roman" w:cs="Times New Roman"/>
                <w:b w:val="0"/>
                <w:bCs w:val="0"/>
                <w:color w:val="000000" w:themeColor="text1"/>
                <w:kern w:val="0"/>
                <w:sz w:val="24"/>
                <w:szCs w:val="24"/>
                <w:highlight w:val="none"/>
                <w:lang w:eastAsia="zh-CN"/>
                <w14:textFill>
                  <w14:solidFill>
                    <w14:schemeClr w14:val="tx1"/>
                  </w14:solidFill>
                </w14:textFill>
              </w:rPr>
              <w:t>）</w:t>
            </w:r>
            <w:r>
              <w:rPr>
                <w:rFonts w:hint="default" w:ascii="Times New Roman" w:hAnsi="Times New Roman" w:cs="Times New Roman"/>
                <w:b w:val="0"/>
                <w:bCs w:val="0"/>
                <w:color w:val="000000" w:themeColor="text1"/>
                <w:kern w:val="0"/>
                <w:sz w:val="24"/>
                <w:szCs w:val="24"/>
                <w:highlight w:val="none"/>
                <w14:textFill>
                  <w14:solidFill>
                    <w14:schemeClr w14:val="tx1"/>
                  </w14:solidFill>
                </w14:textFill>
              </w:rPr>
              <w:t>具体标准值见表3-3-1。</w:t>
            </w:r>
          </w:p>
          <w:p w14:paraId="0D3EC01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000000" w:themeColor="text1"/>
                <w:kern w:val="0"/>
                <w:sz w:val="24"/>
                <w:szCs w:val="24"/>
                <w:highlight w:val="none"/>
                <w:vertAlign w:val="baseline"/>
                <w14:textFill>
                  <w14:solidFill>
                    <w14:schemeClr w14:val="tx1"/>
                  </w14:solidFill>
                </w14:textFill>
              </w:rPr>
            </w:pPr>
            <w:r>
              <w:rPr>
                <w:rFonts w:hint="default" w:ascii="Times New Roman" w:hAnsi="Times New Roman" w:cs="Times New Roman"/>
                <w:b/>
                <w:bCs/>
                <w:color w:val="000000" w:themeColor="text1"/>
                <w:kern w:val="0"/>
                <w:sz w:val="24"/>
                <w:szCs w:val="24"/>
                <w:highlight w:val="none"/>
                <w14:textFill>
                  <w14:solidFill>
                    <w14:schemeClr w14:val="tx1"/>
                  </w14:solidFill>
                </w14:textFill>
              </w:rPr>
              <w:t>表3.3-1 恶臭污染物排放标准</w:t>
            </w:r>
          </w:p>
          <w:tbl>
            <w:tblPr>
              <w:tblStyle w:val="2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696"/>
              <w:gridCol w:w="3361"/>
              <w:gridCol w:w="3297"/>
            </w:tblGrid>
            <w:tr w14:paraId="448C1A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15" w:type="pct"/>
                  <w:tcBorders>
                    <w:tl2br w:val="nil"/>
                    <w:tr2bl w:val="nil"/>
                  </w:tcBorders>
                  <w:vAlign w:val="center"/>
                </w:tcPr>
                <w:p w14:paraId="2BEDD24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t>序号</w:t>
                  </w:r>
                </w:p>
              </w:tc>
              <w:tc>
                <w:tcPr>
                  <w:tcW w:w="2011" w:type="pct"/>
                  <w:tcBorders>
                    <w:tl2br w:val="nil"/>
                    <w:tr2bl w:val="nil"/>
                  </w:tcBorders>
                  <w:vAlign w:val="center"/>
                </w:tcPr>
                <w:p w14:paraId="393FB86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t>污染物名称</w:t>
                  </w:r>
                </w:p>
              </w:tc>
              <w:tc>
                <w:tcPr>
                  <w:tcW w:w="1973" w:type="pct"/>
                  <w:tcBorders>
                    <w:tl2br w:val="nil"/>
                    <w:tr2bl w:val="nil"/>
                  </w:tcBorders>
                  <w:vAlign w:val="center"/>
                </w:tcPr>
                <w:p w14:paraId="3678127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t>标准值（二级）</w:t>
                  </w:r>
                </w:p>
              </w:tc>
            </w:tr>
            <w:tr w14:paraId="4F6F23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15" w:type="pct"/>
                  <w:tcBorders>
                    <w:tl2br w:val="nil"/>
                    <w:tr2bl w:val="nil"/>
                  </w:tcBorders>
                  <w:vAlign w:val="center"/>
                </w:tcPr>
                <w:p w14:paraId="769DA68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t>1</w:t>
                  </w:r>
                </w:p>
              </w:tc>
              <w:tc>
                <w:tcPr>
                  <w:tcW w:w="2011" w:type="pct"/>
                  <w:tcBorders>
                    <w:tl2br w:val="nil"/>
                    <w:tr2bl w:val="nil"/>
                  </w:tcBorders>
                  <w:vAlign w:val="center"/>
                </w:tcPr>
                <w:p w14:paraId="249B9A9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t>臭气浓度</w:t>
                  </w:r>
                </w:p>
              </w:tc>
              <w:tc>
                <w:tcPr>
                  <w:tcW w:w="1973" w:type="pct"/>
                  <w:tcBorders>
                    <w:tl2br w:val="nil"/>
                    <w:tr2bl w:val="nil"/>
                  </w:tcBorders>
                  <w:vAlign w:val="center"/>
                </w:tcPr>
                <w:p w14:paraId="35AE643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t>20（无量纲）</w:t>
                  </w:r>
                </w:p>
              </w:tc>
            </w:tr>
          </w:tbl>
          <w:p w14:paraId="4A3A1B8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000000" w:themeColor="text1"/>
                <w:kern w:val="0"/>
                <w:sz w:val="24"/>
                <w:szCs w:val="24"/>
                <w:highlight w:val="none"/>
                <w14:textFill>
                  <w14:solidFill>
                    <w14:schemeClr w14:val="tx1"/>
                  </w14:solidFill>
                </w14:textFill>
              </w:rPr>
            </w:pPr>
            <w:r>
              <w:rPr>
                <w:rFonts w:hint="default" w:ascii="Times New Roman" w:hAnsi="Times New Roman" w:cs="Times New Roman"/>
                <w:b w:val="0"/>
                <w:bCs w:val="0"/>
                <w:color w:val="000000" w:themeColor="text1"/>
                <w:kern w:val="0"/>
                <w:sz w:val="24"/>
                <w:szCs w:val="24"/>
                <w:highlight w:val="none"/>
                <w14:textFill>
                  <w14:solidFill>
                    <w14:schemeClr w14:val="tx1"/>
                  </w14:solidFill>
                </w14:textFill>
              </w:rPr>
              <w:t>项目会使用到酒精进行消毒，该过程可能会产生少量有机废气</w:t>
            </w:r>
            <w:r>
              <w:rPr>
                <w:rFonts w:hint="default" w:ascii="Times New Roman" w:hAnsi="Times New Roman" w:cs="Times New Roman"/>
                <w:b w:val="0"/>
                <w:bCs w:val="0"/>
                <w:color w:val="000000" w:themeColor="text1"/>
                <w:kern w:val="0"/>
                <w:sz w:val="24"/>
                <w:szCs w:val="24"/>
                <w:highlight w:val="none"/>
                <w:lang w:eastAsia="zh-CN"/>
                <w14:textFill>
                  <w14:solidFill>
                    <w14:schemeClr w14:val="tx1"/>
                  </w14:solidFill>
                </w14:textFill>
              </w:rPr>
              <w:t>（</w:t>
            </w:r>
            <w:r>
              <w:rPr>
                <w:rFonts w:hint="default" w:ascii="Times New Roman" w:hAnsi="Times New Roman" w:cs="Times New Roman"/>
                <w:b w:val="0"/>
                <w:bCs w:val="0"/>
                <w:color w:val="000000" w:themeColor="text1"/>
                <w:kern w:val="0"/>
                <w:sz w:val="24"/>
                <w:szCs w:val="24"/>
                <w:highlight w:val="none"/>
                <w14:textFill>
                  <w14:solidFill>
                    <w14:schemeClr w14:val="tx1"/>
                  </w14:solidFill>
                </w14:textFill>
              </w:rPr>
              <w:t>本评价以非甲烷总烃计</w:t>
            </w:r>
            <w:r>
              <w:rPr>
                <w:rFonts w:hint="default" w:ascii="Times New Roman" w:hAnsi="Times New Roman" w:cs="Times New Roman"/>
                <w:b w:val="0"/>
                <w:bCs w:val="0"/>
                <w:color w:val="000000" w:themeColor="text1"/>
                <w:kern w:val="0"/>
                <w:sz w:val="24"/>
                <w:szCs w:val="24"/>
                <w:highlight w:val="none"/>
                <w:lang w:eastAsia="zh-CN"/>
                <w14:textFill>
                  <w14:solidFill>
                    <w14:schemeClr w14:val="tx1"/>
                  </w14:solidFill>
                </w14:textFill>
              </w:rPr>
              <w:t>）</w:t>
            </w:r>
            <w:r>
              <w:rPr>
                <w:rFonts w:hint="default" w:ascii="Times New Roman" w:hAnsi="Times New Roman" w:cs="Times New Roman"/>
                <w:b w:val="0"/>
                <w:bCs w:val="0"/>
                <w:color w:val="000000" w:themeColor="text1"/>
                <w:kern w:val="0"/>
                <w:sz w:val="24"/>
                <w:szCs w:val="24"/>
                <w:highlight w:val="none"/>
                <w14:textFill>
                  <w14:solidFill>
                    <w14:schemeClr w14:val="tx1"/>
                  </w14:solidFill>
                </w14:textFill>
              </w:rPr>
              <w:t>，无组织排放，执行重庆市地方标准《大气污染物综合排放标准》</w:t>
            </w:r>
            <w:r>
              <w:rPr>
                <w:rFonts w:hint="default" w:ascii="Times New Roman" w:hAnsi="Times New Roman" w:cs="Times New Roman"/>
                <w:b w:val="0"/>
                <w:bCs w:val="0"/>
                <w:color w:val="000000" w:themeColor="text1"/>
                <w:kern w:val="0"/>
                <w:sz w:val="24"/>
                <w:szCs w:val="24"/>
                <w:highlight w:val="none"/>
                <w:lang w:eastAsia="zh-CN"/>
                <w14:textFill>
                  <w14:solidFill>
                    <w14:schemeClr w14:val="tx1"/>
                  </w14:solidFill>
                </w14:textFill>
              </w:rPr>
              <w:t>（</w:t>
            </w:r>
            <w:r>
              <w:rPr>
                <w:rFonts w:hint="default" w:ascii="Times New Roman" w:hAnsi="Times New Roman" w:cs="Times New Roman"/>
                <w:b w:val="0"/>
                <w:bCs w:val="0"/>
                <w:color w:val="000000" w:themeColor="text1"/>
                <w:kern w:val="0"/>
                <w:sz w:val="24"/>
                <w:szCs w:val="24"/>
                <w:highlight w:val="none"/>
                <w14:textFill>
                  <w14:solidFill>
                    <w14:schemeClr w14:val="tx1"/>
                  </w14:solidFill>
                </w14:textFill>
              </w:rPr>
              <w:t>DB50/418-2016</w:t>
            </w:r>
            <w:r>
              <w:rPr>
                <w:rFonts w:hint="default" w:ascii="Times New Roman" w:hAnsi="Times New Roman" w:cs="Times New Roman"/>
                <w:b w:val="0"/>
                <w:bCs w:val="0"/>
                <w:color w:val="000000" w:themeColor="text1"/>
                <w:kern w:val="0"/>
                <w:sz w:val="24"/>
                <w:szCs w:val="24"/>
                <w:highlight w:val="none"/>
                <w:lang w:eastAsia="zh-CN"/>
                <w14:textFill>
                  <w14:solidFill>
                    <w14:schemeClr w14:val="tx1"/>
                  </w14:solidFill>
                </w14:textFill>
              </w:rPr>
              <w:t>）</w:t>
            </w:r>
            <w:r>
              <w:rPr>
                <w:rFonts w:hint="default" w:ascii="Times New Roman" w:hAnsi="Times New Roman" w:cs="Times New Roman"/>
                <w:b w:val="0"/>
                <w:bCs w:val="0"/>
                <w:color w:val="000000" w:themeColor="text1"/>
                <w:kern w:val="0"/>
                <w:sz w:val="24"/>
                <w:szCs w:val="24"/>
                <w:highlight w:val="none"/>
                <w14:textFill>
                  <w14:solidFill>
                    <w14:schemeClr w14:val="tx1"/>
                  </w14:solidFill>
                </w14:textFill>
              </w:rPr>
              <w:t>。具体标准值见表3.3-2。</w:t>
            </w:r>
          </w:p>
          <w:p w14:paraId="277CA77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00" w:themeColor="text1"/>
                <w:kern w:val="0"/>
                <w:szCs w:val="21"/>
                <w:highlight w:val="none"/>
                <w:vertAlign w:val="baseline"/>
                <w:lang w:val="en-US" w:eastAsia="zh-CN"/>
                <w14:textFill>
                  <w14:solidFill>
                    <w14:schemeClr w14:val="tx1"/>
                  </w14:solidFill>
                </w14:textFill>
              </w:rPr>
            </w:pPr>
            <w:r>
              <w:rPr>
                <w:rFonts w:hint="default" w:ascii="Times New Roman" w:hAnsi="Times New Roman" w:cs="Times New Roman"/>
                <w:b/>
                <w:bCs/>
                <w:color w:val="000000" w:themeColor="text1"/>
                <w:kern w:val="0"/>
                <w:sz w:val="24"/>
                <w:szCs w:val="24"/>
                <w:highlight w:val="none"/>
                <w14:textFill>
                  <w14:solidFill>
                    <w14:schemeClr w14:val="tx1"/>
                  </w14:solidFill>
                </w14:textFill>
              </w:rPr>
              <w:t>表3.3-</w:t>
            </w:r>
            <w:r>
              <w:rPr>
                <w:rFonts w:hint="default" w:ascii="Times New Roman" w:hAnsi="Times New Roman" w:cs="Times New Roman"/>
                <w:b/>
                <w:bCs/>
                <w:color w:val="000000" w:themeColor="text1"/>
                <w:kern w:val="0"/>
                <w:sz w:val="24"/>
                <w:szCs w:val="24"/>
                <w:highlight w:val="none"/>
                <w:lang w:val="en-US" w:eastAsia="zh-CN"/>
                <w14:textFill>
                  <w14:solidFill>
                    <w14:schemeClr w14:val="tx1"/>
                  </w14:solidFill>
                </w14:textFill>
              </w:rPr>
              <w:t>2</w:t>
            </w:r>
            <w:r>
              <w:rPr>
                <w:rFonts w:hint="default" w:ascii="Times New Roman" w:hAnsi="Times New Roman" w:cs="Times New Roman"/>
                <w:b/>
                <w:bCs/>
                <w:color w:val="000000" w:themeColor="text1"/>
                <w:kern w:val="0"/>
                <w:sz w:val="24"/>
                <w:szCs w:val="24"/>
                <w:highlight w:val="none"/>
                <w14:textFill>
                  <w14:solidFill>
                    <w14:schemeClr w14:val="tx1"/>
                  </w14:solidFill>
                </w14:textFill>
              </w:rPr>
              <w:t xml:space="preserve"> 大气污染综合排放标准</w:t>
            </w:r>
            <w:r>
              <w:rPr>
                <w:rFonts w:hint="default" w:ascii="Times New Roman" w:hAnsi="Times New Roman" w:cs="Times New Roman"/>
                <w:b/>
                <w:bCs/>
                <w:color w:val="000000" w:themeColor="text1"/>
                <w:kern w:val="0"/>
                <w:sz w:val="24"/>
                <w:szCs w:val="24"/>
                <w:highlight w:val="none"/>
                <w:lang w:val="en-US" w:eastAsia="zh-CN"/>
                <w14:textFill>
                  <w14:solidFill>
                    <w14:schemeClr w14:val="tx1"/>
                  </w14:solidFill>
                </w14:textFill>
              </w:rPr>
              <w:t xml:space="preserve"> </w:t>
            </w:r>
            <w:r>
              <w:rPr>
                <w:rFonts w:hint="default" w:ascii="Times New Roman" w:hAnsi="Times New Roman" w:cs="Times New Roman"/>
                <w:b/>
                <w:bCs/>
                <w:color w:val="000000" w:themeColor="text1"/>
                <w:kern w:val="0"/>
                <w:sz w:val="24"/>
                <w:szCs w:val="24"/>
                <w:highlight w:val="none"/>
                <w14:textFill>
                  <w14:solidFill>
                    <w14:schemeClr w14:val="tx1"/>
                  </w14:solidFill>
                </w14:textFill>
              </w:rPr>
              <w:t>单位</w:t>
            </w:r>
            <w:r>
              <w:rPr>
                <w:rFonts w:hint="default" w:ascii="Times New Roman" w:hAnsi="Times New Roman" w:cs="Times New Roman"/>
                <w:b/>
                <w:bCs/>
                <w:color w:val="000000" w:themeColor="text1"/>
                <w:kern w:val="0"/>
                <w:sz w:val="24"/>
                <w:szCs w:val="24"/>
                <w:highlight w:val="none"/>
                <w:lang w:eastAsia="zh-CN"/>
                <w14:textFill>
                  <w14:solidFill>
                    <w14:schemeClr w14:val="tx1"/>
                  </w14:solidFill>
                </w14:textFill>
              </w:rPr>
              <w:t>：</w:t>
            </w:r>
            <w:r>
              <w:rPr>
                <w:rFonts w:hint="default" w:ascii="Times New Roman" w:hAnsi="Times New Roman" w:cs="Times New Roman"/>
                <w:b/>
                <w:bCs/>
                <w:color w:val="000000" w:themeColor="text1"/>
                <w:kern w:val="0"/>
                <w:sz w:val="24"/>
                <w:szCs w:val="24"/>
                <w:highlight w:val="none"/>
                <w14:textFill>
                  <w14:solidFill>
                    <w14:schemeClr w14:val="tx1"/>
                  </w14:solidFill>
                </w14:textFill>
              </w:rPr>
              <w:t>mg/m</w:t>
            </w:r>
            <w:r>
              <w:rPr>
                <w:rFonts w:hint="default" w:ascii="Times New Roman" w:hAnsi="Times New Roman" w:cs="Times New Roman"/>
                <w:b/>
                <w:bCs/>
                <w:color w:val="000000" w:themeColor="text1"/>
                <w:kern w:val="0"/>
                <w:sz w:val="24"/>
                <w:szCs w:val="24"/>
                <w:highlight w:val="none"/>
                <w:vertAlign w:val="superscript"/>
                <w:lang w:val="en-US" w:eastAsia="zh-CN"/>
                <w14:textFill>
                  <w14:solidFill>
                    <w14:schemeClr w14:val="tx1"/>
                  </w14:solidFill>
                </w14:textFill>
              </w:rPr>
              <w:t>3</w:t>
            </w:r>
          </w:p>
          <w:tbl>
            <w:tblPr>
              <w:tblStyle w:val="2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182"/>
              <w:gridCol w:w="5172"/>
            </w:tblGrid>
            <w:tr w14:paraId="5448BB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04" w:type="pct"/>
                  <w:tcBorders>
                    <w:tl2br w:val="nil"/>
                    <w:tr2bl w:val="nil"/>
                  </w:tcBorders>
                  <w:vAlign w:val="center"/>
                </w:tcPr>
                <w:p w14:paraId="2BF6DB2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t>污染物项目</w:t>
                  </w:r>
                </w:p>
              </w:tc>
              <w:tc>
                <w:tcPr>
                  <w:tcW w:w="3095" w:type="pct"/>
                  <w:tcBorders>
                    <w:tl2br w:val="nil"/>
                    <w:tr2bl w:val="nil"/>
                  </w:tcBorders>
                  <w:vAlign w:val="center"/>
                </w:tcPr>
                <w:p w14:paraId="4157599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无组织排放监控点浓度限值</w:t>
                  </w:r>
                  <w:r>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mg/m</w:t>
                  </w:r>
                  <w:r>
                    <w:rPr>
                      <w:rFonts w:hint="default" w:ascii="Times New Roman" w:hAnsi="Times New Roman" w:cs="Times New Roman"/>
                      <w:b w:val="0"/>
                      <w:bCs w:val="0"/>
                      <w:color w:val="000000" w:themeColor="text1"/>
                      <w:kern w:val="0"/>
                      <w:sz w:val="21"/>
                      <w:szCs w:val="21"/>
                      <w:highlight w:val="none"/>
                      <w:vertAlign w:val="superscript"/>
                      <w:lang w:val="en-US" w:eastAsia="zh-CN"/>
                      <w14:textFill>
                        <w14:solidFill>
                          <w14:schemeClr w14:val="tx1"/>
                        </w14:solidFill>
                      </w14:textFill>
                    </w:rPr>
                    <w:t>3</w:t>
                  </w:r>
                  <w:r>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t>）</w:t>
                  </w:r>
                </w:p>
              </w:tc>
            </w:tr>
            <w:tr w14:paraId="41C506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04" w:type="pct"/>
                  <w:tcBorders>
                    <w:tl2br w:val="nil"/>
                    <w:tr2bl w:val="nil"/>
                  </w:tcBorders>
                  <w:vAlign w:val="center"/>
                </w:tcPr>
                <w:p w14:paraId="64B0086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t>非甲烷总烃（NMHC）</w:t>
                  </w:r>
                </w:p>
              </w:tc>
              <w:tc>
                <w:tcPr>
                  <w:tcW w:w="3095" w:type="pct"/>
                  <w:tcBorders>
                    <w:tl2br w:val="nil"/>
                    <w:tr2bl w:val="nil"/>
                  </w:tcBorders>
                  <w:vAlign w:val="center"/>
                </w:tcPr>
                <w:p w14:paraId="23F842C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t>4.0</w:t>
                  </w:r>
                </w:p>
              </w:tc>
            </w:tr>
          </w:tbl>
          <w:p w14:paraId="53B49198">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cs="Times New Roman"/>
                <w:b/>
                <w:bCs/>
                <w:color w:val="000000" w:themeColor="text1"/>
                <w:kern w:val="0"/>
                <w:sz w:val="24"/>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kern w:val="0"/>
                <w:sz w:val="24"/>
                <w:szCs w:val="24"/>
                <w:highlight w:val="none"/>
                <w:lang w:val="en-US" w:eastAsia="zh-CN"/>
                <w14:textFill>
                  <w14:solidFill>
                    <w14:schemeClr w14:val="tx1"/>
                  </w14:solidFill>
                </w14:textFill>
              </w:rPr>
              <w:t>3.3.2 废水污染物排放标准</w:t>
            </w:r>
          </w:p>
          <w:p w14:paraId="75CDFA9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000000" w:themeColor="text1"/>
                <w:kern w:val="0"/>
                <w:sz w:val="24"/>
                <w:szCs w:val="24"/>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4"/>
                <w:szCs w:val="24"/>
                <w:highlight w:val="none"/>
                <w:lang w:val="en-US" w:eastAsia="zh-CN"/>
                <w14:textFill>
                  <w14:solidFill>
                    <w14:schemeClr w14:val="tx1"/>
                  </w14:solidFill>
                </w14:textFill>
              </w:rPr>
              <w:t>项目为宠物医院，接诊量较小，参照《医疗废物管理条例（2011修订）》中</w:t>
            </w:r>
            <w:r>
              <w:rPr>
                <w:rFonts w:hint="eastAsia" w:cs="Times New Roman"/>
                <w:b w:val="0"/>
                <w:bCs w:val="0"/>
                <w:color w:val="000000" w:themeColor="text1"/>
                <w:kern w:val="0"/>
                <w:sz w:val="24"/>
                <w:szCs w:val="24"/>
                <w:highlight w:val="none"/>
                <w:lang w:val="en-US" w:eastAsia="zh-CN"/>
                <w14:textFill>
                  <w14:solidFill>
                    <w14:schemeClr w14:val="tx1"/>
                  </w14:solidFill>
                </w14:textFill>
              </w:rPr>
              <w:t>“</w:t>
            </w:r>
            <w:r>
              <w:rPr>
                <w:rFonts w:hint="default" w:ascii="Times New Roman" w:hAnsi="Times New Roman" w:cs="Times New Roman"/>
                <w:b w:val="0"/>
                <w:bCs w:val="0"/>
                <w:color w:val="000000" w:themeColor="text1"/>
                <w:kern w:val="0"/>
                <w:sz w:val="24"/>
                <w:szCs w:val="24"/>
                <w:highlight w:val="none"/>
                <w:lang w:val="en-US" w:eastAsia="zh-CN"/>
                <w14:textFill>
                  <w14:solidFill>
                    <w14:schemeClr w14:val="tx1"/>
                  </w14:solidFill>
                </w14:textFill>
              </w:rPr>
              <w:t>第二十条 医疗卫生机构产生的污水、传染病病人或者疑似传染病病人的排泄物，应当按照国家规定严格消毒</w:t>
            </w:r>
            <w:r>
              <w:rPr>
                <w:rFonts w:hint="eastAsia" w:cs="Times New Roman"/>
                <w:b w:val="0"/>
                <w:bCs w:val="0"/>
                <w:color w:val="000000" w:themeColor="text1"/>
                <w:kern w:val="0"/>
                <w:sz w:val="24"/>
                <w:szCs w:val="24"/>
                <w:highlight w:val="none"/>
                <w:lang w:val="en-US" w:eastAsia="zh-CN"/>
                <w14:textFill>
                  <w14:solidFill>
                    <w14:schemeClr w14:val="tx1"/>
                  </w14:solidFill>
                </w14:textFill>
              </w:rPr>
              <w:t>；</w:t>
            </w:r>
            <w:r>
              <w:rPr>
                <w:rFonts w:hint="default" w:ascii="Times New Roman" w:hAnsi="Times New Roman" w:cs="Times New Roman"/>
                <w:b w:val="0"/>
                <w:bCs w:val="0"/>
                <w:color w:val="000000" w:themeColor="text1"/>
                <w:kern w:val="0"/>
                <w:sz w:val="24"/>
                <w:szCs w:val="24"/>
                <w:highlight w:val="none"/>
                <w:lang w:val="en-US" w:eastAsia="zh-CN"/>
                <w14:textFill>
                  <w14:solidFill>
                    <w14:schemeClr w14:val="tx1"/>
                  </w14:solidFill>
                </w14:textFill>
              </w:rPr>
              <w:t>达到国家规定的排放标准后，方可排入污水处理系统。</w:t>
            </w:r>
            <w:r>
              <w:rPr>
                <w:rFonts w:hint="eastAsia" w:cs="Times New Roman"/>
                <w:b w:val="0"/>
                <w:bCs w:val="0"/>
                <w:color w:val="000000" w:themeColor="text1"/>
                <w:kern w:val="0"/>
                <w:sz w:val="24"/>
                <w:szCs w:val="24"/>
                <w:highlight w:val="none"/>
                <w:lang w:val="en-US" w:eastAsia="zh-CN"/>
                <w14:textFill>
                  <w14:solidFill>
                    <w14:schemeClr w14:val="tx1"/>
                  </w14:solidFill>
                </w14:textFill>
              </w:rPr>
              <w:t>”</w:t>
            </w:r>
            <w:r>
              <w:rPr>
                <w:rFonts w:hint="default" w:ascii="Times New Roman" w:hAnsi="Times New Roman" w:cs="Times New Roman"/>
                <w:b w:val="0"/>
                <w:bCs w:val="0"/>
                <w:color w:val="000000" w:themeColor="text1"/>
                <w:kern w:val="0"/>
                <w:sz w:val="24"/>
                <w:szCs w:val="24"/>
                <w:highlight w:val="none"/>
                <w:lang w:val="en-US" w:eastAsia="zh-CN"/>
                <w14:textFill>
                  <w14:solidFill>
                    <w14:schemeClr w14:val="tx1"/>
                  </w14:solidFill>
                </w14:textFill>
              </w:rPr>
              <w:t>和《动物诊疗机构管理办法》</w:t>
            </w:r>
            <w:r>
              <w:rPr>
                <w:rFonts w:hint="eastAsia" w:cs="Times New Roman"/>
                <w:b w:val="0"/>
                <w:bCs w:val="0"/>
                <w:color w:val="000000" w:themeColor="text1"/>
                <w:kern w:val="0"/>
                <w:sz w:val="24"/>
                <w:szCs w:val="24"/>
                <w:highlight w:val="none"/>
                <w:lang w:val="en-US" w:eastAsia="zh-CN"/>
                <w14:textFill>
                  <w14:solidFill>
                    <w14:schemeClr w14:val="tx1"/>
                  </w14:solidFill>
                </w14:textFill>
              </w:rPr>
              <w:t>（</w:t>
            </w:r>
            <w:r>
              <w:rPr>
                <w:rFonts w:hint="default" w:ascii="Times New Roman" w:hAnsi="Times New Roman" w:cs="Times New Roman"/>
                <w:b w:val="0"/>
                <w:bCs w:val="0"/>
                <w:color w:val="000000" w:themeColor="text1"/>
                <w:kern w:val="0"/>
                <w:sz w:val="24"/>
                <w:szCs w:val="24"/>
                <w:highlight w:val="none"/>
                <w:lang w:val="en-US" w:eastAsia="zh-CN"/>
                <w14:textFill>
                  <w14:solidFill>
                    <w14:schemeClr w14:val="tx1"/>
                  </w14:solidFill>
                </w14:textFill>
              </w:rPr>
              <w:t>中华人民共和国农业农村部令2022年第5号</w:t>
            </w:r>
            <w:r>
              <w:rPr>
                <w:rFonts w:hint="eastAsia" w:cs="Times New Roman"/>
                <w:b w:val="0"/>
                <w:bCs w:val="0"/>
                <w:color w:val="000000" w:themeColor="text1"/>
                <w:kern w:val="0"/>
                <w:sz w:val="24"/>
                <w:szCs w:val="24"/>
                <w:highlight w:val="none"/>
                <w:lang w:val="en-US" w:eastAsia="zh-CN"/>
                <w14:textFill>
                  <w14:solidFill>
                    <w14:schemeClr w14:val="tx1"/>
                  </w14:solidFill>
                </w14:textFill>
              </w:rPr>
              <w:t>）</w:t>
            </w:r>
            <w:r>
              <w:rPr>
                <w:rFonts w:hint="default" w:ascii="Times New Roman" w:hAnsi="Times New Roman" w:cs="Times New Roman"/>
                <w:b w:val="0"/>
                <w:bCs w:val="0"/>
                <w:color w:val="000000" w:themeColor="text1"/>
                <w:kern w:val="0"/>
                <w:sz w:val="24"/>
                <w:szCs w:val="24"/>
                <w:highlight w:val="none"/>
                <w:lang w:val="en-US" w:eastAsia="zh-CN"/>
                <w14:textFill>
                  <w14:solidFill>
                    <w14:schemeClr w14:val="tx1"/>
                  </w14:solidFill>
                </w14:textFill>
              </w:rPr>
              <w:t>中</w:t>
            </w:r>
            <w:r>
              <w:rPr>
                <w:rFonts w:hint="eastAsia" w:cs="Times New Roman"/>
                <w:b w:val="0"/>
                <w:bCs w:val="0"/>
                <w:color w:val="000000" w:themeColor="text1"/>
                <w:kern w:val="0"/>
                <w:sz w:val="24"/>
                <w:szCs w:val="24"/>
                <w:highlight w:val="none"/>
                <w:lang w:val="en-US" w:eastAsia="zh-CN"/>
                <w14:textFill>
                  <w14:solidFill>
                    <w14:schemeClr w14:val="tx1"/>
                  </w14:solidFill>
                </w14:textFill>
              </w:rPr>
              <w:t>“</w:t>
            </w:r>
            <w:r>
              <w:rPr>
                <w:rFonts w:hint="default" w:ascii="Times New Roman" w:hAnsi="Times New Roman" w:cs="Times New Roman"/>
                <w:b w:val="0"/>
                <w:bCs w:val="0"/>
                <w:color w:val="000000" w:themeColor="text1"/>
                <w:kern w:val="0"/>
                <w:sz w:val="24"/>
                <w:szCs w:val="24"/>
                <w:highlight w:val="none"/>
                <w:lang w:val="en-US" w:eastAsia="zh-CN"/>
                <w14:textFill>
                  <w14:solidFill>
                    <w14:schemeClr w14:val="tx1"/>
                  </w14:solidFill>
                </w14:textFill>
              </w:rPr>
              <w:t>第二十六条 ……动物诊疗机构应当参照《医疗废物管理条例》的有关规定处理诊疗废弃物，不得随意丢弃诊疗废弃物，排放未经无害化处理的</w:t>
            </w:r>
            <w:r>
              <w:rPr>
                <w:rFonts w:hint="eastAsia" w:cs="Times New Roman"/>
                <w:b w:val="0"/>
                <w:bCs w:val="0"/>
                <w:color w:val="000000" w:themeColor="text1"/>
                <w:kern w:val="0"/>
                <w:sz w:val="24"/>
                <w:szCs w:val="24"/>
                <w:highlight w:val="none"/>
                <w:lang w:val="en-US" w:eastAsia="zh-CN"/>
                <w14:textFill>
                  <w14:solidFill>
                    <w14:schemeClr w14:val="tx1"/>
                  </w14:solidFill>
                </w14:textFill>
              </w:rPr>
              <w:t>化验废水</w:t>
            </w:r>
            <w:r>
              <w:rPr>
                <w:rFonts w:hint="default" w:ascii="Times New Roman" w:hAnsi="Times New Roman" w:cs="Times New Roman"/>
                <w:b w:val="0"/>
                <w:bCs w:val="0"/>
                <w:color w:val="000000" w:themeColor="text1"/>
                <w:kern w:val="0"/>
                <w:sz w:val="24"/>
                <w:szCs w:val="24"/>
                <w:highlight w:val="none"/>
                <w:lang w:val="en-US" w:eastAsia="zh-CN"/>
                <w14:textFill>
                  <w14:solidFill>
                    <w14:schemeClr w14:val="tx1"/>
                  </w14:solidFill>
                </w14:textFill>
              </w:rPr>
              <w:t>。</w:t>
            </w:r>
            <w:r>
              <w:rPr>
                <w:rFonts w:hint="eastAsia" w:cs="Times New Roman"/>
                <w:b w:val="0"/>
                <w:bCs w:val="0"/>
                <w:color w:val="000000" w:themeColor="text1"/>
                <w:kern w:val="0"/>
                <w:sz w:val="24"/>
                <w:szCs w:val="24"/>
                <w:highlight w:val="none"/>
                <w:lang w:val="en-US" w:eastAsia="zh-CN"/>
                <w14:textFill>
                  <w14:solidFill>
                    <w14:schemeClr w14:val="tx1"/>
                  </w14:solidFill>
                </w14:textFill>
              </w:rPr>
              <w:t>”</w:t>
            </w:r>
          </w:p>
          <w:p w14:paraId="2372598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000000" w:themeColor="text1"/>
                <w:kern w:val="0"/>
                <w:sz w:val="24"/>
                <w:szCs w:val="24"/>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4"/>
                <w:szCs w:val="24"/>
                <w:highlight w:val="none"/>
                <w:lang w:val="en-US" w:eastAsia="zh-CN"/>
                <w14:textFill>
                  <w14:solidFill>
                    <w14:schemeClr w14:val="tx1"/>
                  </w14:solidFill>
                </w14:textFill>
              </w:rPr>
              <w:t>项目营运期废水为生活污水、医疗废水及</w:t>
            </w:r>
            <w:r>
              <w:rPr>
                <w:rFonts w:hint="eastAsia" w:cs="Times New Roman"/>
                <w:b w:val="0"/>
                <w:bCs w:val="0"/>
                <w:color w:val="000000" w:themeColor="text1"/>
                <w:kern w:val="0"/>
                <w:sz w:val="24"/>
                <w:szCs w:val="24"/>
                <w:highlight w:val="none"/>
                <w:lang w:val="en-US" w:eastAsia="zh-CN"/>
                <w14:textFill>
                  <w14:solidFill>
                    <w14:schemeClr w14:val="tx1"/>
                  </w14:solidFill>
                </w14:textFill>
              </w:rPr>
              <w:t>其他废水</w:t>
            </w:r>
            <w:r>
              <w:rPr>
                <w:rFonts w:hint="default" w:ascii="Times New Roman" w:hAnsi="Times New Roman" w:cs="Times New Roman"/>
                <w:b w:val="0"/>
                <w:bCs w:val="0"/>
                <w:color w:val="000000" w:themeColor="text1"/>
                <w:kern w:val="0"/>
                <w:sz w:val="24"/>
                <w:szCs w:val="24"/>
                <w:highlight w:val="none"/>
                <w:lang w:val="en-US" w:eastAsia="zh-CN"/>
                <w14:textFill>
                  <w14:solidFill>
                    <w14:schemeClr w14:val="tx1"/>
                  </w14:solidFill>
                </w14:textFill>
              </w:rPr>
              <w:t>，医疗废水经</w:t>
            </w:r>
            <w:r>
              <w:rPr>
                <w:rFonts w:hint="eastAsia" w:cs="Times New Roman"/>
                <w:b w:val="0"/>
                <w:bCs w:val="0"/>
                <w:color w:val="000000" w:themeColor="text1"/>
                <w:kern w:val="0"/>
                <w:sz w:val="24"/>
                <w:szCs w:val="24"/>
                <w:highlight w:val="none"/>
                <w:lang w:val="en-US" w:eastAsia="zh-CN"/>
                <w14:textFill>
                  <w14:solidFill>
                    <w14:schemeClr w14:val="tx1"/>
                  </w14:solidFill>
                </w14:textFill>
              </w:rPr>
              <w:t>消毒设施消毒（</w:t>
            </w:r>
            <w:r>
              <w:rPr>
                <w:rFonts w:hint="eastAsia" w:ascii="Times New Roman" w:hAnsi="Times New Roman" w:cs="Times New Roman"/>
                <w:b w:val="0"/>
                <w:bCs w:val="0"/>
                <w:color w:val="000000" w:themeColor="text1"/>
                <w:kern w:val="0"/>
                <w:sz w:val="24"/>
                <w:szCs w:val="24"/>
                <w:highlight w:val="none"/>
                <w:lang w:val="en-US" w:eastAsia="zh-CN"/>
                <w14:textFill>
                  <w14:solidFill>
                    <w14:schemeClr w14:val="tx1"/>
                  </w14:solidFill>
                </w14:textFill>
              </w:rPr>
              <w:t>本项目使用</w:t>
            </w:r>
            <w:r>
              <w:rPr>
                <w:rFonts w:hint="eastAsia" w:cs="Times New Roman"/>
                <w:b w:val="0"/>
                <w:bCs w:val="0"/>
                <w:color w:val="000000" w:themeColor="text1"/>
                <w:kern w:val="0"/>
                <w:sz w:val="24"/>
                <w:szCs w:val="24"/>
                <w:highlight w:val="none"/>
                <w:lang w:val="en-US" w:eastAsia="zh-CN"/>
                <w14:textFill>
                  <w14:solidFill>
                    <w14:schemeClr w14:val="tx1"/>
                  </w14:solidFill>
                </w14:textFill>
              </w:rPr>
              <w:t>二氧化氯</w:t>
            </w:r>
            <w:r>
              <w:rPr>
                <w:rFonts w:hint="eastAsia" w:ascii="Times New Roman" w:hAnsi="Times New Roman" w:cs="Times New Roman"/>
                <w:b w:val="0"/>
                <w:bCs w:val="0"/>
                <w:color w:val="000000" w:themeColor="text1"/>
                <w:kern w:val="0"/>
                <w:sz w:val="24"/>
                <w:szCs w:val="24"/>
                <w:highlight w:val="none"/>
                <w:lang w:val="en-US" w:eastAsia="zh-CN"/>
                <w14:textFill>
                  <w14:solidFill>
                    <w14:schemeClr w14:val="tx1"/>
                  </w14:solidFill>
                </w14:textFill>
              </w:rPr>
              <w:t>消毒片</w:t>
            </w:r>
            <w:r>
              <w:rPr>
                <w:rFonts w:hint="eastAsia" w:cs="Times New Roman"/>
                <w:b w:val="0"/>
                <w:bCs w:val="0"/>
                <w:color w:val="000000" w:themeColor="text1"/>
                <w:kern w:val="0"/>
                <w:sz w:val="24"/>
                <w:szCs w:val="24"/>
                <w:highlight w:val="none"/>
                <w:lang w:val="en-US" w:eastAsia="zh-CN"/>
                <w14:textFill>
                  <w14:solidFill>
                    <w14:schemeClr w14:val="tx1"/>
                  </w14:solidFill>
                </w14:textFill>
              </w:rPr>
              <w:t>、</w:t>
            </w:r>
            <w:r>
              <w:rPr>
                <w:rFonts w:hint="eastAsia" w:ascii="Times New Roman" w:hAnsi="Times New Roman" w:eastAsia="宋体" w:cs="Times New Roman"/>
                <w:b w:val="0"/>
                <w:color w:val="auto"/>
                <w:sz w:val="24"/>
                <w:szCs w:val="24"/>
                <w:lang w:val="en-US" w:eastAsia="zh-CN" w:bidi="ar-SA"/>
              </w:rPr>
              <w:t>三氯异氰尿酸消毒片</w:t>
            </w:r>
            <w:r>
              <w:rPr>
                <w:rFonts w:hint="eastAsia" w:ascii="Times New Roman" w:hAnsi="Times New Roman" w:cs="Times New Roman"/>
                <w:b w:val="0"/>
                <w:bCs w:val="0"/>
                <w:color w:val="000000" w:themeColor="text1"/>
                <w:kern w:val="0"/>
                <w:sz w:val="24"/>
                <w:szCs w:val="24"/>
                <w:highlight w:val="none"/>
                <w:lang w:val="en-US" w:eastAsia="zh-CN"/>
                <w14:textFill>
                  <w14:solidFill>
                    <w14:schemeClr w14:val="tx1"/>
                  </w14:solidFill>
                </w14:textFill>
              </w:rPr>
              <w:t>对医疗废水进行消毒处理，对消毒设施出口粪大肠菌群、总余氯排放限值作出要求，粪大肠菌群、总余氯参照《医疗机构水污染物排放标准》（GB 18466-2005）表2预处理标准</w:t>
            </w:r>
            <w:r>
              <w:rPr>
                <w:rFonts w:hint="eastAsia" w:cs="Times New Roman"/>
                <w:b w:val="0"/>
                <w:bCs w:val="0"/>
                <w:color w:val="000000" w:themeColor="text1"/>
                <w:kern w:val="0"/>
                <w:sz w:val="24"/>
                <w:szCs w:val="24"/>
                <w:highlight w:val="none"/>
                <w:lang w:val="en-US" w:eastAsia="zh-CN"/>
                <w14:textFill>
                  <w14:solidFill>
                    <w14:schemeClr w14:val="tx1"/>
                  </w14:solidFill>
                </w14:textFill>
              </w:rPr>
              <w:t>），美容洗浴废水经滤网过滤后，</w:t>
            </w:r>
            <w:r>
              <w:rPr>
                <w:rFonts w:hint="default" w:ascii="Times New Roman" w:hAnsi="Times New Roman" w:cs="Times New Roman"/>
                <w:b w:val="0"/>
                <w:bCs w:val="0"/>
                <w:color w:val="000000" w:themeColor="text1"/>
                <w:kern w:val="0"/>
                <w:sz w:val="24"/>
                <w:szCs w:val="24"/>
                <w:highlight w:val="none"/>
                <w:lang w:val="en-US" w:eastAsia="zh-CN"/>
                <w14:textFill>
                  <w14:solidFill>
                    <w14:schemeClr w14:val="tx1"/>
                  </w14:solidFill>
                </w14:textFill>
              </w:rPr>
              <w:t>与生活污水、</w:t>
            </w:r>
            <w:r>
              <w:rPr>
                <w:rFonts w:hint="eastAsia" w:cs="Times New Roman"/>
                <w:b w:val="0"/>
                <w:bCs w:val="0"/>
                <w:color w:val="000000" w:themeColor="text1"/>
                <w:kern w:val="0"/>
                <w:sz w:val="24"/>
                <w:szCs w:val="24"/>
                <w:highlight w:val="none"/>
                <w:lang w:val="en-US" w:eastAsia="zh-CN"/>
                <w14:textFill>
                  <w14:solidFill>
                    <w14:schemeClr w14:val="tx1"/>
                  </w14:solidFill>
                </w14:textFill>
              </w:rPr>
              <w:t>其他废水</w:t>
            </w:r>
            <w:r>
              <w:rPr>
                <w:rFonts w:hint="default" w:ascii="Times New Roman" w:hAnsi="Times New Roman" w:cs="Times New Roman"/>
                <w:b w:val="0"/>
                <w:bCs w:val="0"/>
                <w:color w:val="000000" w:themeColor="text1"/>
                <w:kern w:val="0"/>
                <w:sz w:val="24"/>
                <w:szCs w:val="24"/>
                <w:highlight w:val="none"/>
                <w:lang w:val="en-US" w:eastAsia="zh-CN"/>
                <w14:textFill>
                  <w14:solidFill>
                    <w14:schemeClr w14:val="tx1"/>
                  </w14:solidFill>
                </w14:textFill>
              </w:rPr>
              <w:t>一起进入</w:t>
            </w:r>
            <w:r>
              <w:rPr>
                <w:rFonts w:hint="eastAsia" w:cs="Times New Roman"/>
                <w:b w:val="0"/>
                <w:bCs/>
                <w:color w:val="000000" w:themeColor="text1"/>
                <w:sz w:val="24"/>
                <w:szCs w:val="24"/>
                <w:highlight w:val="none"/>
                <w:lang w:val="en-US" w:eastAsia="zh-CN"/>
                <w14:textFill>
                  <w14:solidFill>
                    <w14:schemeClr w14:val="tx1"/>
                  </w14:solidFill>
                </w14:textFill>
              </w:rPr>
              <w:t>弘悦101已建生化池</w:t>
            </w:r>
            <w:r>
              <w:rPr>
                <w:rFonts w:hint="default" w:ascii="Times New Roman" w:hAnsi="Times New Roman" w:cs="Times New Roman"/>
                <w:b w:val="0"/>
                <w:bCs w:val="0"/>
                <w:color w:val="000000" w:themeColor="text1"/>
                <w:kern w:val="0"/>
                <w:sz w:val="24"/>
                <w:szCs w:val="24"/>
                <w:highlight w:val="none"/>
                <w:lang w:val="en-US" w:eastAsia="zh-CN"/>
                <w14:textFill>
                  <w14:solidFill>
                    <w14:schemeClr w14:val="tx1"/>
                  </w14:solidFill>
                </w14:textFill>
              </w:rPr>
              <w:t>，处理达《污水综合排放标准》（GB8978-1996）三级标准，汇入市政污水管网进入彩云湖污水处理厂进一步处理达彩云湖污水处理厂出水水质标准后作为彩云湖湿地公园和桃花溪景观补水，最终排入长江。污水排放标准详见表3.3-3。</w:t>
            </w:r>
          </w:p>
          <w:p w14:paraId="028C651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000000" w:themeColor="text1"/>
                <w:kern w:val="0"/>
                <w:sz w:val="24"/>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kern w:val="0"/>
                <w:sz w:val="24"/>
                <w:szCs w:val="24"/>
                <w:highlight w:val="none"/>
                <w:lang w:val="en-US" w:eastAsia="zh-CN"/>
                <w14:textFill>
                  <w14:solidFill>
                    <w14:schemeClr w14:val="tx1"/>
                  </w14:solidFill>
                </w14:textFill>
              </w:rPr>
              <w:t>表3.3-3 项目废水污染物排放标准 单位：mg/L</w:t>
            </w:r>
          </w:p>
          <w:tbl>
            <w:tblPr>
              <w:tblStyle w:val="21"/>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943"/>
              <w:gridCol w:w="702"/>
              <w:gridCol w:w="702"/>
              <w:gridCol w:w="728"/>
              <w:gridCol w:w="687"/>
              <w:gridCol w:w="733"/>
              <w:gridCol w:w="676"/>
              <w:gridCol w:w="705"/>
              <w:gridCol w:w="705"/>
              <w:gridCol w:w="768"/>
            </w:tblGrid>
            <w:tr w14:paraId="15FDA3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63" w:type="pct"/>
                  <w:tcBorders>
                    <w:tl2br w:val="nil"/>
                    <w:tr2bl w:val="nil"/>
                  </w:tcBorders>
                  <w:vAlign w:val="center"/>
                </w:tcPr>
                <w:p w14:paraId="74E475E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t>内容</w:t>
                  </w:r>
                </w:p>
              </w:tc>
              <w:tc>
                <w:tcPr>
                  <w:tcW w:w="421" w:type="pct"/>
                  <w:tcBorders>
                    <w:tl2br w:val="nil"/>
                    <w:tr2bl w:val="nil"/>
                  </w:tcBorders>
                  <w:vAlign w:val="center"/>
                </w:tcPr>
                <w:p w14:paraId="472F0A2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t>pH</w:t>
                  </w:r>
                </w:p>
              </w:tc>
              <w:tc>
                <w:tcPr>
                  <w:tcW w:w="421" w:type="pct"/>
                  <w:tcBorders>
                    <w:tl2br w:val="nil"/>
                    <w:tr2bl w:val="nil"/>
                  </w:tcBorders>
                  <w:vAlign w:val="center"/>
                </w:tcPr>
                <w:p w14:paraId="1E788D5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t>COD</w:t>
                  </w:r>
                </w:p>
              </w:tc>
              <w:tc>
                <w:tcPr>
                  <w:tcW w:w="435" w:type="pct"/>
                  <w:tcBorders>
                    <w:tl2br w:val="nil"/>
                    <w:tr2bl w:val="nil"/>
                  </w:tcBorders>
                  <w:vAlign w:val="center"/>
                </w:tcPr>
                <w:p w14:paraId="76C9DCA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t>BOD</w:t>
                  </w:r>
                  <w:r>
                    <w:rPr>
                      <w:rFonts w:hint="default" w:ascii="Times New Roman" w:hAnsi="Times New Roman" w:cs="Times New Roman"/>
                      <w:b w:val="0"/>
                      <w:bCs w:val="0"/>
                      <w:color w:val="000000" w:themeColor="text1"/>
                      <w:kern w:val="0"/>
                      <w:sz w:val="21"/>
                      <w:szCs w:val="21"/>
                      <w:highlight w:val="none"/>
                      <w:vertAlign w:val="subscript"/>
                      <w:lang w:val="en-US" w:eastAsia="zh-CN"/>
                      <w14:textFill>
                        <w14:solidFill>
                          <w14:schemeClr w14:val="tx1"/>
                        </w14:solidFill>
                      </w14:textFill>
                    </w:rPr>
                    <w:t>5</w:t>
                  </w:r>
                </w:p>
              </w:tc>
              <w:tc>
                <w:tcPr>
                  <w:tcW w:w="412" w:type="pct"/>
                  <w:tcBorders>
                    <w:tl2br w:val="nil"/>
                    <w:tr2bl w:val="nil"/>
                  </w:tcBorders>
                  <w:vAlign w:val="center"/>
                </w:tcPr>
                <w:p w14:paraId="5BD961E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t>SS</w:t>
                  </w:r>
                </w:p>
              </w:tc>
              <w:tc>
                <w:tcPr>
                  <w:tcW w:w="439" w:type="pct"/>
                  <w:tcBorders>
                    <w:tl2br w:val="nil"/>
                    <w:tr2bl w:val="nil"/>
                  </w:tcBorders>
                  <w:vAlign w:val="center"/>
                </w:tcPr>
                <w:p w14:paraId="416B46C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t>氨氮</w:t>
                  </w:r>
                </w:p>
              </w:tc>
              <w:tc>
                <w:tcPr>
                  <w:tcW w:w="405" w:type="pct"/>
                  <w:tcBorders>
                    <w:tl2br w:val="nil"/>
                    <w:tr2bl w:val="nil"/>
                  </w:tcBorders>
                  <w:vAlign w:val="center"/>
                </w:tcPr>
                <w:p w14:paraId="412887F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t>总磷</w:t>
                  </w:r>
                </w:p>
              </w:tc>
              <w:tc>
                <w:tcPr>
                  <w:tcW w:w="422" w:type="pct"/>
                  <w:tcBorders>
                    <w:tl2br w:val="nil"/>
                    <w:tr2bl w:val="nil"/>
                  </w:tcBorders>
                  <w:vAlign w:val="center"/>
                </w:tcPr>
                <w:p w14:paraId="1CA339C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t>LAS</w:t>
                  </w:r>
                </w:p>
              </w:tc>
              <w:tc>
                <w:tcPr>
                  <w:tcW w:w="422" w:type="pct"/>
                  <w:tcBorders>
                    <w:tl2br w:val="nil"/>
                    <w:tr2bl w:val="nil"/>
                  </w:tcBorders>
                  <w:vAlign w:val="center"/>
                </w:tcPr>
                <w:p w14:paraId="43E9B00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t>粪大肠菌群</w:t>
                  </w:r>
                </w:p>
              </w:tc>
              <w:tc>
                <w:tcPr>
                  <w:tcW w:w="455" w:type="pct"/>
                  <w:tcBorders>
                    <w:tl2br w:val="nil"/>
                    <w:tr2bl w:val="nil"/>
                  </w:tcBorders>
                  <w:vAlign w:val="center"/>
                </w:tcPr>
                <w:p w14:paraId="0761128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t>总余氯</w:t>
                  </w:r>
                </w:p>
              </w:tc>
            </w:tr>
            <w:tr w14:paraId="0F136D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63" w:type="pct"/>
                  <w:tcBorders>
                    <w:tl2br w:val="nil"/>
                    <w:tr2bl w:val="nil"/>
                  </w:tcBorders>
                  <w:vAlign w:val="center"/>
                </w:tcPr>
                <w:p w14:paraId="3B973E3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t>《污水综合排放标准》（GB8978-1996）三级标准</w:t>
                  </w:r>
                </w:p>
              </w:tc>
              <w:tc>
                <w:tcPr>
                  <w:tcW w:w="421" w:type="pct"/>
                  <w:tcBorders>
                    <w:tl2br w:val="nil"/>
                    <w:tr2bl w:val="nil"/>
                  </w:tcBorders>
                  <w:vAlign w:val="center"/>
                </w:tcPr>
                <w:p w14:paraId="1B128A2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t>6~9</w:t>
                  </w:r>
                </w:p>
              </w:tc>
              <w:tc>
                <w:tcPr>
                  <w:tcW w:w="421" w:type="pct"/>
                  <w:tcBorders>
                    <w:tl2br w:val="nil"/>
                    <w:tr2bl w:val="nil"/>
                  </w:tcBorders>
                  <w:vAlign w:val="center"/>
                </w:tcPr>
                <w:p w14:paraId="58191FA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t>500</w:t>
                  </w:r>
                </w:p>
              </w:tc>
              <w:tc>
                <w:tcPr>
                  <w:tcW w:w="435" w:type="pct"/>
                  <w:tcBorders>
                    <w:tl2br w:val="nil"/>
                    <w:tr2bl w:val="nil"/>
                  </w:tcBorders>
                  <w:vAlign w:val="center"/>
                </w:tcPr>
                <w:p w14:paraId="3780EF0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t>300</w:t>
                  </w:r>
                </w:p>
              </w:tc>
              <w:tc>
                <w:tcPr>
                  <w:tcW w:w="412" w:type="pct"/>
                  <w:tcBorders>
                    <w:tl2br w:val="nil"/>
                    <w:tr2bl w:val="nil"/>
                  </w:tcBorders>
                  <w:vAlign w:val="center"/>
                </w:tcPr>
                <w:p w14:paraId="2468A81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t>400</w:t>
                  </w:r>
                </w:p>
              </w:tc>
              <w:tc>
                <w:tcPr>
                  <w:tcW w:w="439" w:type="pct"/>
                  <w:tcBorders>
                    <w:tl2br w:val="nil"/>
                    <w:tr2bl w:val="nil"/>
                  </w:tcBorders>
                  <w:vAlign w:val="center"/>
                </w:tcPr>
                <w:p w14:paraId="27AC35D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t>45*</w:t>
                  </w:r>
                </w:p>
              </w:tc>
              <w:tc>
                <w:tcPr>
                  <w:tcW w:w="405" w:type="pct"/>
                  <w:tcBorders>
                    <w:tl2br w:val="nil"/>
                    <w:tr2bl w:val="nil"/>
                  </w:tcBorders>
                  <w:vAlign w:val="center"/>
                </w:tcPr>
                <w:p w14:paraId="3164901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t>8*</w:t>
                  </w:r>
                </w:p>
              </w:tc>
              <w:tc>
                <w:tcPr>
                  <w:tcW w:w="422" w:type="pct"/>
                  <w:tcBorders>
                    <w:tl2br w:val="nil"/>
                    <w:tr2bl w:val="nil"/>
                  </w:tcBorders>
                  <w:vAlign w:val="center"/>
                </w:tcPr>
                <w:p w14:paraId="695A7F7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t>20</w:t>
                  </w:r>
                </w:p>
              </w:tc>
              <w:tc>
                <w:tcPr>
                  <w:tcW w:w="422" w:type="pct"/>
                  <w:tcBorders>
                    <w:tl2br w:val="nil"/>
                    <w:tr2bl w:val="nil"/>
                  </w:tcBorders>
                  <w:vAlign w:val="center"/>
                </w:tcPr>
                <w:p w14:paraId="692609A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t>5000个/L</w:t>
                  </w:r>
                </w:p>
              </w:tc>
              <w:tc>
                <w:tcPr>
                  <w:tcW w:w="455" w:type="pct"/>
                  <w:tcBorders>
                    <w:tl2br w:val="nil"/>
                    <w:tr2bl w:val="nil"/>
                  </w:tcBorders>
                  <w:vAlign w:val="center"/>
                </w:tcPr>
                <w:p w14:paraId="64D428D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t>&gt;2（接触时间≥1h）</w:t>
                  </w:r>
                </w:p>
              </w:tc>
            </w:tr>
            <w:tr w14:paraId="095166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63" w:type="pct"/>
                  <w:tcBorders>
                    <w:tl2br w:val="nil"/>
                    <w:tr2bl w:val="nil"/>
                  </w:tcBorders>
                  <w:vAlign w:val="center"/>
                </w:tcPr>
                <w:p w14:paraId="3008B48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t>《医疗废水排放标准》（GB18466-2005）</w:t>
                  </w:r>
                </w:p>
                <w:p w14:paraId="5BA29DF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t>表2预处理标准</w:t>
                  </w:r>
                </w:p>
              </w:tc>
              <w:tc>
                <w:tcPr>
                  <w:tcW w:w="421" w:type="pct"/>
                  <w:tcBorders>
                    <w:tl2br w:val="nil"/>
                    <w:tr2bl w:val="nil"/>
                  </w:tcBorders>
                  <w:vAlign w:val="center"/>
                </w:tcPr>
                <w:p w14:paraId="64047E5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kern w:val="0"/>
                      <w:sz w:val="21"/>
                      <w:szCs w:val="21"/>
                      <w:highlight w:val="none"/>
                      <w:vertAlign w:val="baseline"/>
                      <w:lang w:val="en-US" w:eastAsia="zh-CN"/>
                      <w14:textFill>
                        <w14:solidFill>
                          <w14:schemeClr w14:val="tx1"/>
                        </w14:solidFill>
                      </w14:textFill>
                    </w:rPr>
                    <w:t>/</w:t>
                  </w:r>
                </w:p>
              </w:tc>
              <w:tc>
                <w:tcPr>
                  <w:tcW w:w="421" w:type="pct"/>
                  <w:tcBorders>
                    <w:tl2br w:val="nil"/>
                    <w:tr2bl w:val="nil"/>
                  </w:tcBorders>
                  <w:vAlign w:val="center"/>
                </w:tcPr>
                <w:p w14:paraId="1557B4D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kern w:val="0"/>
                      <w:sz w:val="21"/>
                      <w:szCs w:val="21"/>
                      <w:highlight w:val="none"/>
                      <w:vertAlign w:val="baseline"/>
                      <w:lang w:val="en-US" w:eastAsia="zh-CN"/>
                      <w14:textFill>
                        <w14:solidFill>
                          <w14:schemeClr w14:val="tx1"/>
                        </w14:solidFill>
                      </w14:textFill>
                    </w:rPr>
                    <w:t>/</w:t>
                  </w:r>
                </w:p>
              </w:tc>
              <w:tc>
                <w:tcPr>
                  <w:tcW w:w="435" w:type="pct"/>
                  <w:tcBorders>
                    <w:tl2br w:val="nil"/>
                    <w:tr2bl w:val="nil"/>
                  </w:tcBorders>
                  <w:vAlign w:val="center"/>
                </w:tcPr>
                <w:p w14:paraId="6D1625F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kern w:val="0"/>
                      <w:sz w:val="21"/>
                      <w:szCs w:val="21"/>
                      <w:highlight w:val="none"/>
                      <w:vertAlign w:val="baseline"/>
                      <w:lang w:val="en-US" w:eastAsia="zh-CN"/>
                      <w14:textFill>
                        <w14:solidFill>
                          <w14:schemeClr w14:val="tx1"/>
                        </w14:solidFill>
                      </w14:textFill>
                    </w:rPr>
                    <w:t>/</w:t>
                  </w:r>
                </w:p>
              </w:tc>
              <w:tc>
                <w:tcPr>
                  <w:tcW w:w="412" w:type="pct"/>
                  <w:tcBorders>
                    <w:tl2br w:val="nil"/>
                    <w:tr2bl w:val="nil"/>
                  </w:tcBorders>
                  <w:vAlign w:val="center"/>
                </w:tcPr>
                <w:p w14:paraId="74B7D6A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kern w:val="0"/>
                      <w:sz w:val="21"/>
                      <w:szCs w:val="21"/>
                      <w:highlight w:val="none"/>
                      <w:vertAlign w:val="baseline"/>
                      <w:lang w:val="en-US" w:eastAsia="zh-CN"/>
                      <w14:textFill>
                        <w14:solidFill>
                          <w14:schemeClr w14:val="tx1"/>
                        </w14:solidFill>
                      </w14:textFill>
                    </w:rPr>
                    <w:t>/</w:t>
                  </w:r>
                </w:p>
              </w:tc>
              <w:tc>
                <w:tcPr>
                  <w:tcW w:w="439" w:type="pct"/>
                  <w:tcBorders>
                    <w:tl2br w:val="nil"/>
                    <w:tr2bl w:val="nil"/>
                  </w:tcBorders>
                  <w:vAlign w:val="center"/>
                </w:tcPr>
                <w:p w14:paraId="201F25C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kern w:val="0"/>
                      <w:sz w:val="21"/>
                      <w:szCs w:val="21"/>
                      <w:highlight w:val="none"/>
                      <w:vertAlign w:val="baseline"/>
                      <w:lang w:val="en-US" w:eastAsia="zh-CN"/>
                      <w14:textFill>
                        <w14:solidFill>
                          <w14:schemeClr w14:val="tx1"/>
                        </w14:solidFill>
                      </w14:textFill>
                    </w:rPr>
                    <w:t>/</w:t>
                  </w:r>
                </w:p>
              </w:tc>
              <w:tc>
                <w:tcPr>
                  <w:tcW w:w="405" w:type="pct"/>
                  <w:tcBorders>
                    <w:tl2br w:val="nil"/>
                    <w:tr2bl w:val="nil"/>
                  </w:tcBorders>
                  <w:vAlign w:val="center"/>
                </w:tcPr>
                <w:p w14:paraId="250BD2F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kern w:val="0"/>
                      <w:sz w:val="21"/>
                      <w:szCs w:val="21"/>
                      <w:highlight w:val="none"/>
                      <w:vertAlign w:val="baseline"/>
                      <w:lang w:val="en-US" w:eastAsia="zh-CN"/>
                      <w14:textFill>
                        <w14:solidFill>
                          <w14:schemeClr w14:val="tx1"/>
                        </w14:solidFill>
                      </w14:textFill>
                    </w:rPr>
                    <w:t>/</w:t>
                  </w:r>
                </w:p>
              </w:tc>
              <w:tc>
                <w:tcPr>
                  <w:tcW w:w="422" w:type="pct"/>
                  <w:tcBorders>
                    <w:tl2br w:val="nil"/>
                    <w:tr2bl w:val="nil"/>
                  </w:tcBorders>
                  <w:vAlign w:val="center"/>
                </w:tcPr>
                <w:p w14:paraId="7DAA011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kern w:val="0"/>
                      <w:sz w:val="21"/>
                      <w:szCs w:val="21"/>
                      <w:highlight w:val="none"/>
                      <w:vertAlign w:val="baseline"/>
                      <w:lang w:val="en-US" w:eastAsia="zh-CN"/>
                      <w14:textFill>
                        <w14:solidFill>
                          <w14:schemeClr w14:val="tx1"/>
                        </w14:solidFill>
                      </w14:textFill>
                    </w:rPr>
                    <w:t>/</w:t>
                  </w:r>
                </w:p>
              </w:tc>
              <w:tc>
                <w:tcPr>
                  <w:tcW w:w="422" w:type="pct"/>
                  <w:tcBorders>
                    <w:tl2br w:val="nil"/>
                    <w:tr2bl w:val="nil"/>
                  </w:tcBorders>
                  <w:vAlign w:val="center"/>
                </w:tcPr>
                <w:p w14:paraId="43CD774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t>5000个/L</w:t>
                  </w:r>
                </w:p>
              </w:tc>
              <w:tc>
                <w:tcPr>
                  <w:tcW w:w="455" w:type="pct"/>
                  <w:tcBorders>
                    <w:tl2br w:val="nil"/>
                    <w:tr2bl w:val="nil"/>
                  </w:tcBorders>
                  <w:vAlign w:val="center"/>
                </w:tcPr>
                <w:p w14:paraId="0C87A33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t>2~8</w:t>
                  </w:r>
                  <w:r>
                    <w:rPr>
                      <w:rFonts w:hint="default" w:ascii="Times New Roman" w:hAnsi="Times New Roman" w:cs="Times New Roman"/>
                      <w:b w:val="0"/>
                      <w:bCs w:val="0"/>
                      <w:color w:val="000000" w:themeColor="text1"/>
                      <w:kern w:val="0"/>
                      <w:sz w:val="21"/>
                      <w:szCs w:val="21"/>
                      <w:highlight w:val="none"/>
                      <w:vertAlign w:val="superscript"/>
                      <w:lang w:val="en-US" w:eastAsia="zh-CN"/>
                      <w14:textFill>
                        <w14:solidFill>
                          <w14:schemeClr w14:val="tx1"/>
                        </w14:solidFill>
                      </w14:textFill>
                    </w:rPr>
                    <w:t>③</w:t>
                  </w:r>
                </w:p>
              </w:tc>
            </w:tr>
            <w:tr w14:paraId="2F54E2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63" w:type="pct"/>
                  <w:tcBorders>
                    <w:tl2br w:val="nil"/>
                    <w:tr2bl w:val="nil"/>
                  </w:tcBorders>
                  <w:vAlign w:val="center"/>
                </w:tcPr>
                <w:p w14:paraId="474DD25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彩云湖污水处理厂出水水质标准</w:t>
                  </w:r>
                </w:p>
              </w:tc>
              <w:tc>
                <w:tcPr>
                  <w:tcW w:w="421" w:type="pct"/>
                  <w:tcBorders>
                    <w:tl2br w:val="nil"/>
                    <w:tr2bl w:val="nil"/>
                  </w:tcBorders>
                  <w:vAlign w:val="center"/>
                </w:tcPr>
                <w:p w14:paraId="706BD97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6~9</w:t>
                  </w:r>
                </w:p>
              </w:tc>
              <w:tc>
                <w:tcPr>
                  <w:tcW w:w="421" w:type="pct"/>
                  <w:tcBorders>
                    <w:tl2br w:val="nil"/>
                    <w:tr2bl w:val="nil"/>
                  </w:tcBorders>
                  <w:vAlign w:val="center"/>
                </w:tcPr>
                <w:p w14:paraId="210E287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30</w:t>
                  </w:r>
                </w:p>
              </w:tc>
              <w:tc>
                <w:tcPr>
                  <w:tcW w:w="435" w:type="pct"/>
                  <w:tcBorders>
                    <w:tl2br w:val="nil"/>
                    <w:tr2bl w:val="nil"/>
                  </w:tcBorders>
                  <w:vAlign w:val="center"/>
                </w:tcPr>
                <w:p w14:paraId="1F71523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6</w:t>
                  </w:r>
                </w:p>
              </w:tc>
              <w:tc>
                <w:tcPr>
                  <w:tcW w:w="412" w:type="pct"/>
                  <w:tcBorders>
                    <w:tl2br w:val="nil"/>
                    <w:tr2bl w:val="nil"/>
                  </w:tcBorders>
                  <w:vAlign w:val="center"/>
                </w:tcPr>
                <w:p w14:paraId="044425D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10</w:t>
                  </w:r>
                </w:p>
              </w:tc>
              <w:tc>
                <w:tcPr>
                  <w:tcW w:w="439" w:type="pct"/>
                  <w:tcBorders>
                    <w:tl2br w:val="nil"/>
                    <w:tr2bl w:val="nil"/>
                  </w:tcBorders>
                  <w:vAlign w:val="center"/>
                </w:tcPr>
                <w:p w14:paraId="2FCCF4F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1.5</w:t>
                  </w:r>
                </w:p>
              </w:tc>
              <w:tc>
                <w:tcPr>
                  <w:tcW w:w="405" w:type="pct"/>
                  <w:tcBorders>
                    <w:tl2br w:val="nil"/>
                    <w:tr2bl w:val="nil"/>
                  </w:tcBorders>
                  <w:vAlign w:val="center"/>
                </w:tcPr>
                <w:p w14:paraId="0500AD9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0.3</w:t>
                  </w:r>
                </w:p>
              </w:tc>
              <w:tc>
                <w:tcPr>
                  <w:tcW w:w="422" w:type="pct"/>
                  <w:tcBorders>
                    <w:tl2br w:val="nil"/>
                    <w:tr2bl w:val="nil"/>
                  </w:tcBorders>
                  <w:vAlign w:val="center"/>
                </w:tcPr>
                <w:p w14:paraId="5D9767B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0.5</w:t>
                  </w:r>
                </w:p>
              </w:tc>
              <w:tc>
                <w:tcPr>
                  <w:tcW w:w="422" w:type="pct"/>
                  <w:tcBorders>
                    <w:tl2br w:val="nil"/>
                    <w:tr2bl w:val="nil"/>
                  </w:tcBorders>
                  <w:vAlign w:val="center"/>
                </w:tcPr>
                <w:p w14:paraId="18F0277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1000个/L</w:t>
                  </w:r>
                </w:p>
              </w:tc>
              <w:tc>
                <w:tcPr>
                  <w:tcW w:w="455" w:type="pct"/>
                  <w:tcBorders>
                    <w:tl2br w:val="nil"/>
                    <w:tr2bl w:val="nil"/>
                  </w:tcBorders>
                  <w:vAlign w:val="center"/>
                </w:tcPr>
                <w:p w14:paraId="2F9BB8C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w:t>
                  </w:r>
                </w:p>
              </w:tc>
            </w:tr>
            <w:tr w14:paraId="52C0E8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10"/>
                  <w:tcBorders>
                    <w:tl2br w:val="nil"/>
                    <w:tr2bl w:val="nil"/>
                  </w:tcBorders>
                  <w:vAlign w:val="center"/>
                </w:tcPr>
                <w:p w14:paraId="25FA572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t>注：①*：氨氮、TP 执行《污水排入城镇下水道水质标准》（GB/T31962-2015）B级标</w:t>
                  </w:r>
                </w:p>
                <w:p w14:paraId="7B6366BB">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t>准</w:t>
                  </w:r>
                  <w:r>
                    <w:rPr>
                      <w:rFonts w:hint="eastAsia" w:cs="Times New Roman"/>
                      <w:b w:val="0"/>
                      <w:bCs w:val="0"/>
                      <w:color w:val="000000" w:themeColor="text1"/>
                      <w:kern w:val="0"/>
                      <w:sz w:val="21"/>
                      <w:szCs w:val="21"/>
                      <w:highlight w:val="none"/>
                      <w:vertAlign w:val="baseline"/>
                      <w:lang w:val="en-US" w:eastAsia="zh-CN"/>
                      <w14:textFill>
                        <w14:solidFill>
                          <w14:schemeClr w14:val="tx1"/>
                        </w14:solidFill>
                      </w14:textFill>
                    </w:rPr>
                    <w:t>；</w:t>
                  </w:r>
                </w:p>
                <w:p w14:paraId="202AF49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t>②括号外数值为水温&gt;12℃时的控制指标，括号内数值为水温&lt;12℃时的控制指标</w:t>
                  </w:r>
                  <w:r>
                    <w:rPr>
                      <w:rFonts w:hint="eastAsia" w:cs="Times New Roman"/>
                      <w:b w:val="0"/>
                      <w:bCs w:val="0"/>
                      <w:color w:val="000000" w:themeColor="text1"/>
                      <w:kern w:val="0"/>
                      <w:sz w:val="21"/>
                      <w:szCs w:val="21"/>
                      <w:highlight w:val="none"/>
                      <w:vertAlign w:val="baseline"/>
                      <w:lang w:val="en-US" w:eastAsia="zh-CN"/>
                      <w14:textFill>
                        <w14:solidFill>
                          <w14:schemeClr w14:val="tx1"/>
                        </w14:solidFill>
                      </w14:textFill>
                    </w:rPr>
                    <w:t>；</w:t>
                  </w:r>
                </w:p>
                <w:p w14:paraId="0124893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t>③注：含氯消毒剂消毒的工艺控制要求为：排放标准：消毒接触池接触时间≥1h，接触池出口总余氯3~10mgL。预处理标准：消毒接触池接触时间</w:t>
                  </w:r>
                  <w:r>
                    <w:rPr>
                      <w:rFonts w:hint="eastAsia" w:cs="Times New Roman"/>
                      <w:b w:val="0"/>
                      <w:bCs w:val="0"/>
                      <w:color w:val="000000" w:themeColor="text1"/>
                      <w:kern w:val="0"/>
                      <w:sz w:val="21"/>
                      <w:szCs w:val="21"/>
                      <w:highlight w:val="none"/>
                      <w:vertAlign w:val="baseline"/>
                      <w:lang w:val="en-US" w:eastAsia="zh-CN"/>
                      <w14:textFill>
                        <w14:solidFill>
                          <w14:schemeClr w14:val="tx1"/>
                        </w14:solidFill>
                      </w14:textFill>
                    </w:rPr>
                    <w:t>不</w:t>
                  </w:r>
                  <w:r>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t>小于1h，接触池出口总余氯2~8mg/L。采用其他消毒剂对总余氯不做要求。</w:t>
                  </w:r>
                </w:p>
              </w:tc>
            </w:tr>
          </w:tbl>
          <w:p w14:paraId="0D9FD466">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cs="Times New Roman"/>
                <w:b/>
                <w:bCs/>
                <w:color w:val="000000" w:themeColor="text1"/>
                <w:kern w:val="0"/>
                <w:sz w:val="24"/>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kern w:val="0"/>
                <w:sz w:val="24"/>
                <w:szCs w:val="24"/>
                <w:highlight w:val="none"/>
                <w:lang w:val="en-US" w:eastAsia="zh-CN"/>
                <w14:textFill>
                  <w14:solidFill>
                    <w14:schemeClr w14:val="tx1"/>
                  </w14:solidFill>
                </w14:textFill>
              </w:rPr>
              <w:t>3.3.3 噪声标准</w:t>
            </w:r>
          </w:p>
          <w:p w14:paraId="62546EC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000000" w:themeColor="text1"/>
                <w:kern w:val="0"/>
                <w:sz w:val="24"/>
                <w:szCs w:val="24"/>
                <w:highlight w:val="none"/>
                <w:lang w:val="en-US" w:eastAsia="zh-CN"/>
                <w14:textFill>
                  <w14:solidFill>
                    <w14:schemeClr w14:val="tx1"/>
                  </w14:solidFill>
                </w14:textFill>
              </w:rPr>
            </w:pPr>
            <w:r>
              <w:rPr>
                <w:rFonts w:hint="default" w:cs="Times New Roman"/>
                <w:b w:val="0"/>
                <w:bCs w:val="0"/>
                <w:color w:val="000000" w:themeColor="text1"/>
                <w:kern w:val="0"/>
                <w:sz w:val="24"/>
                <w:szCs w:val="24"/>
                <w:lang w:val="en-US" w:eastAsia="zh-CN"/>
                <w14:textFill>
                  <w14:solidFill>
                    <w14:schemeClr w14:val="tx1"/>
                  </w14:solidFill>
                </w14:textFill>
              </w:rPr>
              <w:t>项目位</w:t>
            </w:r>
            <w:r>
              <w:rPr>
                <w:rFonts w:hint="default" w:cs="Times New Roman"/>
                <w:b w:val="0"/>
                <w:bCs w:val="0"/>
                <w:color w:val="000000" w:themeColor="text1"/>
                <w:kern w:val="0"/>
                <w:sz w:val="24"/>
                <w:szCs w:val="24"/>
                <w:highlight w:val="none"/>
                <w:lang w:val="en-US" w:eastAsia="zh-CN"/>
                <w14:textFill>
                  <w14:solidFill>
                    <w14:schemeClr w14:val="tx1"/>
                  </w14:solidFill>
                </w14:textFill>
              </w:rPr>
              <w:t>于</w:t>
            </w:r>
            <w:r>
              <w:rPr>
                <w:rFonts w:hint="eastAsia" w:cs="Times New Roman"/>
                <w:b w:val="0"/>
                <w:bCs/>
                <w:color w:val="000000" w:themeColor="text1"/>
                <w:sz w:val="24"/>
                <w:szCs w:val="24"/>
                <w:highlight w:val="none"/>
                <w:lang w:val="en-US" w:eastAsia="zh-CN"/>
                <w14:textFill>
                  <w14:solidFill>
                    <w14:schemeClr w14:val="tx1"/>
                  </w14:solidFill>
                </w14:textFill>
              </w:rPr>
              <w:t>重庆市九龙坡区二郎街道火炬大道100号附24号及附23-2号</w:t>
            </w:r>
            <w:r>
              <w:rPr>
                <w:rFonts w:hint="eastAsia" w:cs="Times New Roman"/>
                <w:b w:val="0"/>
                <w:bCs w:val="0"/>
                <w:color w:val="000000" w:themeColor="text1"/>
                <w:kern w:val="0"/>
                <w:sz w:val="24"/>
                <w:szCs w:val="24"/>
                <w:highlight w:val="none"/>
                <w:lang w:val="en-US" w:eastAsia="zh-CN"/>
                <w14:textFill>
                  <w14:solidFill>
                    <w14:schemeClr w14:val="tx1"/>
                  </w14:solidFill>
                </w14:textFill>
              </w:rPr>
              <w:t>，</w:t>
            </w:r>
            <w:r>
              <w:rPr>
                <w:rFonts w:hint="default" w:cs="Times New Roman"/>
                <w:b w:val="0"/>
                <w:bCs w:val="0"/>
                <w:color w:val="000000" w:themeColor="text1"/>
                <w:kern w:val="0"/>
                <w:sz w:val="24"/>
                <w:szCs w:val="24"/>
                <w:lang w:val="en-US" w:eastAsia="zh-CN"/>
                <w14:textFill>
                  <w14:solidFill>
                    <w14:schemeClr w14:val="tx1"/>
                  </w14:solidFill>
                </w14:textFill>
              </w:rPr>
              <w:t>项目所在区域为</w:t>
            </w:r>
            <w:r>
              <w:rPr>
                <w:rFonts w:hint="eastAsia" w:cs="Times New Roman"/>
                <w:b w:val="0"/>
                <w:bCs w:val="0"/>
                <w:color w:val="000000" w:themeColor="text1"/>
                <w:kern w:val="0"/>
                <w:sz w:val="24"/>
                <w:szCs w:val="24"/>
                <w:lang w:val="en-US" w:eastAsia="zh-CN"/>
                <w14:textFill>
                  <w14:solidFill>
                    <w14:schemeClr w14:val="tx1"/>
                  </w14:solidFill>
                </w14:textFill>
              </w:rPr>
              <w:t>2</w:t>
            </w:r>
            <w:r>
              <w:rPr>
                <w:rFonts w:hint="default" w:cs="Times New Roman"/>
                <w:b w:val="0"/>
                <w:bCs w:val="0"/>
                <w:color w:val="000000" w:themeColor="text1"/>
                <w:kern w:val="0"/>
                <w:sz w:val="24"/>
                <w:szCs w:val="24"/>
                <w:lang w:val="en-US" w:eastAsia="zh-CN"/>
                <w14:textFill>
                  <w14:solidFill>
                    <w14:schemeClr w14:val="tx1"/>
                  </w14:solidFill>
                </w14:textFill>
              </w:rPr>
              <w:t>类声环境功能区</w:t>
            </w:r>
            <w:r>
              <w:rPr>
                <w:rFonts w:hint="eastAsia" w:cs="Times New Roman"/>
                <w:b w:val="0"/>
                <w:bCs w:val="0"/>
                <w:color w:val="000000" w:themeColor="text1"/>
                <w:kern w:val="0"/>
                <w:sz w:val="24"/>
                <w:szCs w:val="24"/>
                <w:lang w:val="en-US" w:eastAsia="zh-CN"/>
                <w14:textFill>
                  <w14:solidFill>
                    <w14:schemeClr w14:val="tx1"/>
                  </w14:solidFill>
                </w14:textFill>
              </w:rPr>
              <w:t>，北厂界靠近火炬大道为4a</w:t>
            </w:r>
            <w:r>
              <w:rPr>
                <w:rFonts w:hint="default" w:cs="Times New Roman"/>
                <w:b w:val="0"/>
                <w:bCs w:val="0"/>
                <w:color w:val="000000" w:themeColor="text1"/>
                <w:kern w:val="0"/>
                <w:sz w:val="24"/>
                <w:szCs w:val="24"/>
                <w:lang w:val="en-US" w:eastAsia="zh-CN"/>
                <w14:textFill>
                  <w14:solidFill>
                    <w14:schemeClr w14:val="tx1"/>
                  </w14:solidFill>
                </w14:textFill>
              </w:rPr>
              <w:t>类声环境功能区</w:t>
            </w:r>
            <w:r>
              <w:rPr>
                <w:rFonts w:hint="eastAsia" w:cs="Times New Roman"/>
                <w:b w:val="0"/>
                <w:bCs w:val="0"/>
                <w:color w:val="000000" w:themeColor="text1"/>
                <w:kern w:val="0"/>
                <w:sz w:val="24"/>
                <w:szCs w:val="24"/>
                <w:lang w:val="en-US" w:eastAsia="zh-CN"/>
                <w14:textFill>
                  <w14:solidFill>
                    <w14:schemeClr w14:val="tx1"/>
                  </w14:solidFill>
                </w14:textFill>
              </w:rPr>
              <w:t>，旁边学校属于1</w:t>
            </w:r>
            <w:r>
              <w:rPr>
                <w:rFonts w:hint="default" w:cs="Times New Roman"/>
                <w:b w:val="0"/>
                <w:bCs w:val="0"/>
                <w:color w:val="000000" w:themeColor="text1"/>
                <w:kern w:val="0"/>
                <w:sz w:val="24"/>
                <w:szCs w:val="24"/>
                <w:lang w:val="en-US" w:eastAsia="zh-CN"/>
                <w14:textFill>
                  <w14:solidFill>
                    <w14:schemeClr w14:val="tx1"/>
                  </w14:solidFill>
                </w14:textFill>
              </w:rPr>
              <w:t>类声环境功能区</w:t>
            </w:r>
            <w:r>
              <w:rPr>
                <w:rFonts w:hint="eastAsia" w:cs="Times New Roman"/>
                <w:b w:val="0"/>
                <w:bCs w:val="0"/>
                <w:color w:val="000000" w:themeColor="text1"/>
                <w:kern w:val="0"/>
                <w:sz w:val="24"/>
                <w:szCs w:val="24"/>
                <w:lang w:val="en-US" w:eastAsia="zh-CN"/>
                <w14:textFill>
                  <w14:solidFill>
                    <w14:schemeClr w14:val="tx1"/>
                  </w14:solidFill>
                </w14:textFill>
              </w:rPr>
              <w:t>。</w:t>
            </w:r>
          </w:p>
          <w:p w14:paraId="4BF202E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000000" w:themeColor="text1"/>
                <w:kern w:val="0"/>
                <w:sz w:val="24"/>
                <w:szCs w:val="24"/>
                <w:highlight w:val="none"/>
                <w:vertAlign w:val="baseline"/>
                <w:lang w:val="en-US" w:eastAsia="zh-CN"/>
                <w14:textFill>
                  <w14:solidFill>
                    <w14:schemeClr w14:val="tx1"/>
                  </w14:solidFill>
                </w14:textFill>
              </w:rPr>
            </w:pPr>
            <w:r>
              <w:rPr>
                <w:rFonts w:hint="default" w:ascii="Times New Roman" w:hAnsi="Times New Roman" w:cs="Times New Roman"/>
                <w:b/>
                <w:bCs/>
                <w:color w:val="000000" w:themeColor="text1"/>
                <w:kern w:val="0"/>
                <w:sz w:val="24"/>
                <w:szCs w:val="24"/>
                <w:highlight w:val="none"/>
                <w:lang w:val="en-US" w:eastAsia="zh-CN"/>
                <w14:textFill>
                  <w14:solidFill>
                    <w14:schemeClr w14:val="tx1"/>
                  </w14:solidFill>
                </w14:textFill>
              </w:rPr>
              <w:t>表3.3-6噪声排放限值 单位：dB（A）</w:t>
            </w:r>
          </w:p>
          <w:tbl>
            <w:tblPr>
              <w:tblStyle w:val="2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527"/>
              <w:gridCol w:w="814"/>
              <w:gridCol w:w="1671"/>
              <w:gridCol w:w="1671"/>
              <w:gridCol w:w="1671"/>
            </w:tblGrid>
            <w:tr w14:paraId="16539A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99" w:type="pct"/>
                  <w:gridSpan w:val="2"/>
                  <w:tcBorders>
                    <w:tl2br w:val="nil"/>
                    <w:tr2bl w:val="nil"/>
                  </w:tcBorders>
                  <w:vAlign w:val="center"/>
                </w:tcPr>
                <w:p w14:paraId="5B059FE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t>执行标准</w:t>
                  </w:r>
                </w:p>
              </w:tc>
              <w:tc>
                <w:tcPr>
                  <w:tcW w:w="1000" w:type="pct"/>
                  <w:tcBorders>
                    <w:tl2br w:val="nil"/>
                    <w:tr2bl w:val="nil"/>
                  </w:tcBorders>
                  <w:vAlign w:val="center"/>
                </w:tcPr>
                <w:p w14:paraId="1880680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t>昼间</w:t>
                  </w:r>
                </w:p>
              </w:tc>
              <w:tc>
                <w:tcPr>
                  <w:tcW w:w="1000" w:type="pct"/>
                  <w:tcBorders>
                    <w:tl2br w:val="nil"/>
                    <w:tr2bl w:val="nil"/>
                  </w:tcBorders>
                  <w:vAlign w:val="center"/>
                </w:tcPr>
                <w:p w14:paraId="0D6ACD7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t>夜间</w:t>
                  </w:r>
                </w:p>
              </w:tc>
              <w:tc>
                <w:tcPr>
                  <w:tcW w:w="1000" w:type="pct"/>
                  <w:tcBorders>
                    <w:tl2br w:val="nil"/>
                    <w:tr2bl w:val="nil"/>
                  </w:tcBorders>
                  <w:vAlign w:val="center"/>
                </w:tcPr>
                <w:p w14:paraId="12BBE11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t>执行阶段</w:t>
                  </w:r>
                </w:p>
              </w:tc>
            </w:tr>
            <w:tr w14:paraId="5C03FC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12" w:type="pct"/>
                  <w:vMerge w:val="restart"/>
                  <w:tcBorders>
                    <w:tl2br w:val="nil"/>
                    <w:tr2bl w:val="nil"/>
                  </w:tcBorders>
                  <w:vAlign w:val="center"/>
                </w:tcPr>
                <w:p w14:paraId="009043E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t>《工业企业场界环境噪声排放标准》（GB12348-2008）</w:t>
                  </w:r>
                </w:p>
              </w:tc>
              <w:tc>
                <w:tcPr>
                  <w:tcW w:w="487" w:type="pct"/>
                  <w:tcBorders>
                    <w:tl2br w:val="nil"/>
                    <w:tr2bl w:val="nil"/>
                  </w:tcBorders>
                  <w:vAlign w:val="center"/>
                </w:tcPr>
                <w:p w14:paraId="0908597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kern w:val="0"/>
                      <w:sz w:val="21"/>
                      <w:szCs w:val="21"/>
                      <w:highlight w:val="none"/>
                      <w:vertAlign w:val="baseline"/>
                      <w:lang w:val="en-US" w:eastAsia="zh-CN"/>
                      <w14:textFill>
                        <w14:solidFill>
                          <w14:schemeClr w14:val="tx1"/>
                        </w14:solidFill>
                      </w14:textFill>
                    </w:rPr>
                    <w:t>2类</w:t>
                  </w:r>
                </w:p>
              </w:tc>
              <w:tc>
                <w:tcPr>
                  <w:tcW w:w="1000" w:type="pct"/>
                  <w:tcBorders>
                    <w:tl2br w:val="nil"/>
                    <w:tr2bl w:val="nil"/>
                  </w:tcBorders>
                  <w:vAlign w:val="center"/>
                </w:tcPr>
                <w:p w14:paraId="4AD1539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kern w:val="0"/>
                      <w:sz w:val="21"/>
                      <w:szCs w:val="21"/>
                      <w:highlight w:val="none"/>
                      <w:vertAlign w:val="baseline"/>
                      <w:lang w:val="en-US" w:eastAsia="zh-CN"/>
                      <w14:textFill>
                        <w14:solidFill>
                          <w14:schemeClr w14:val="tx1"/>
                        </w14:solidFill>
                      </w14:textFill>
                    </w:rPr>
                    <w:t>60</w:t>
                  </w:r>
                </w:p>
              </w:tc>
              <w:tc>
                <w:tcPr>
                  <w:tcW w:w="1000" w:type="pct"/>
                  <w:tcBorders>
                    <w:tl2br w:val="nil"/>
                    <w:tr2bl w:val="nil"/>
                  </w:tcBorders>
                  <w:vAlign w:val="center"/>
                </w:tcPr>
                <w:p w14:paraId="1EF596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kern w:val="0"/>
                      <w:sz w:val="21"/>
                      <w:szCs w:val="21"/>
                      <w:highlight w:val="none"/>
                      <w:vertAlign w:val="baseline"/>
                      <w:lang w:val="en-US" w:eastAsia="zh-CN"/>
                      <w14:textFill>
                        <w14:solidFill>
                          <w14:schemeClr w14:val="tx1"/>
                        </w14:solidFill>
                      </w14:textFill>
                    </w:rPr>
                    <w:t>50</w:t>
                  </w:r>
                </w:p>
              </w:tc>
              <w:tc>
                <w:tcPr>
                  <w:tcW w:w="1000" w:type="pct"/>
                  <w:tcBorders>
                    <w:tl2br w:val="nil"/>
                    <w:tr2bl w:val="nil"/>
                  </w:tcBorders>
                  <w:vAlign w:val="center"/>
                </w:tcPr>
                <w:p w14:paraId="576E959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t>营运期</w:t>
                  </w:r>
                </w:p>
              </w:tc>
            </w:tr>
            <w:tr w14:paraId="22937B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12" w:type="pct"/>
                  <w:vMerge w:val="continue"/>
                  <w:tcBorders>
                    <w:tl2br w:val="nil"/>
                    <w:tr2bl w:val="nil"/>
                  </w:tcBorders>
                  <w:vAlign w:val="center"/>
                </w:tcPr>
                <w:p w14:paraId="2C366D3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pPr>
                </w:p>
              </w:tc>
              <w:tc>
                <w:tcPr>
                  <w:tcW w:w="487" w:type="pct"/>
                  <w:tcBorders>
                    <w:tl2br w:val="nil"/>
                    <w:tr2bl w:val="nil"/>
                  </w:tcBorders>
                  <w:vAlign w:val="center"/>
                </w:tcPr>
                <w:p w14:paraId="713F3A4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kern w:val="0"/>
                      <w:sz w:val="21"/>
                      <w:szCs w:val="21"/>
                      <w:highlight w:val="none"/>
                      <w:vertAlign w:val="baseline"/>
                      <w:lang w:val="en-US" w:eastAsia="zh-CN"/>
                      <w14:textFill>
                        <w14:solidFill>
                          <w14:schemeClr w14:val="tx1"/>
                        </w14:solidFill>
                      </w14:textFill>
                    </w:rPr>
                    <w:t>1类</w:t>
                  </w:r>
                </w:p>
              </w:tc>
              <w:tc>
                <w:tcPr>
                  <w:tcW w:w="1000" w:type="pct"/>
                  <w:tcBorders>
                    <w:tl2br w:val="nil"/>
                    <w:tr2bl w:val="nil"/>
                  </w:tcBorders>
                  <w:vAlign w:val="center"/>
                </w:tcPr>
                <w:p w14:paraId="7EFAE52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kern w:val="0"/>
                      <w:sz w:val="21"/>
                      <w:szCs w:val="21"/>
                      <w:highlight w:val="none"/>
                      <w:vertAlign w:val="baseline"/>
                      <w:lang w:val="en-US" w:eastAsia="zh-CN"/>
                      <w14:textFill>
                        <w14:solidFill>
                          <w14:schemeClr w14:val="tx1"/>
                        </w14:solidFill>
                      </w14:textFill>
                    </w:rPr>
                    <w:t>55</w:t>
                  </w:r>
                </w:p>
              </w:tc>
              <w:tc>
                <w:tcPr>
                  <w:tcW w:w="1000" w:type="pct"/>
                  <w:tcBorders>
                    <w:tl2br w:val="nil"/>
                    <w:tr2bl w:val="nil"/>
                  </w:tcBorders>
                  <w:vAlign w:val="center"/>
                </w:tcPr>
                <w:p w14:paraId="18AC2D6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kern w:val="0"/>
                      <w:sz w:val="21"/>
                      <w:szCs w:val="21"/>
                      <w:highlight w:val="none"/>
                      <w:vertAlign w:val="baseline"/>
                      <w:lang w:val="en-US" w:eastAsia="zh-CN"/>
                      <w14:textFill>
                        <w14:solidFill>
                          <w14:schemeClr w14:val="tx1"/>
                        </w14:solidFill>
                      </w14:textFill>
                    </w:rPr>
                    <w:t>45</w:t>
                  </w:r>
                </w:p>
              </w:tc>
              <w:tc>
                <w:tcPr>
                  <w:tcW w:w="1000" w:type="pct"/>
                  <w:tcBorders>
                    <w:tl2br w:val="nil"/>
                    <w:tr2bl w:val="nil"/>
                  </w:tcBorders>
                  <w:vAlign w:val="center"/>
                </w:tcPr>
                <w:p w14:paraId="0B8FF87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t>营运期</w:t>
                  </w:r>
                </w:p>
              </w:tc>
            </w:tr>
            <w:tr w14:paraId="639433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12" w:type="pct"/>
                  <w:vMerge w:val="continue"/>
                  <w:tcBorders>
                    <w:tl2br w:val="nil"/>
                    <w:tr2bl w:val="nil"/>
                  </w:tcBorders>
                  <w:vAlign w:val="center"/>
                </w:tcPr>
                <w:p w14:paraId="10A721D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pPr>
                </w:p>
              </w:tc>
              <w:tc>
                <w:tcPr>
                  <w:tcW w:w="487" w:type="pct"/>
                  <w:tcBorders>
                    <w:tl2br w:val="nil"/>
                    <w:tr2bl w:val="nil"/>
                  </w:tcBorders>
                  <w:vAlign w:val="center"/>
                </w:tcPr>
                <w:p w14:paraId="28288D1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kern w:val="0"/>
                      <w:sz w:val="21"/>
                      <w:szCs w:val="21"/>
                      <w:highlight w:val="none"/>
                      <w:vertAlign w:val="baseline"/>
                      <w:lang w:val="en-US" w:eastAsia="zh-CN"/>
                      <w14:textFill>
                        <w14:solidFill>
                          <w14:schemeClr w14:val="tx1"/>
                        </w14:solidFill>
                      </w14:textFill>
                    </w:rPr>
                    <w:t>4类</w:t>
                  </w:r>
                </w:p>
              </w:tc>
              <w:tc>
                <w:tcPr>
                  <w:tcW w:w="1671" w:type="dxa"/>
                  <w:tcBorders>
                    <w:tl2br w:val="nil"/>
                    <w:tr2bl w:val="nil"/>
                  </w:tcBorders>
                  <w:vAlign w:val="center"/>
                </w:tcPr>
                <w:p w14:paraId="25A3D85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kern w:val="0"/>
                      <w:sz w:val="21"/>
                      <w:szCs w:val="21"/>
                      <w:highlight w:val="none"/>
                      <w:vertAlign w:val="baseline"/>
                      <w:lang w:val="en-US" w:eastAsia="zh-CN"/>
                      <w14:textFill>
                        <w14:solidFill>
                          <w14:schemeClr w14:val="tx1"/>
                        </w14:solidFill>
                      </w14:textFill>
                    </w:rPr>
                    <w:t>70</w:t>
                  </w:r>
                </w:p>
              </w:tc>
              <w:tc>
                <w:tcPr>
                  <w:tcW w:w="1671" w:type="dxa"/>
                  <w:tcBorders>
                    <w:tl2br w:val="nil"/>
                    <w:tr2bl w:val="nil"/>
                  </w:tcBorders>
                  <w:vAlign w:val="center"/>
                </w:tcPr>
                <w:p w14:paraId="51E10B2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kern w:val="0"/>
                      <w:sz w:val="21"/>
                      <w:szCs w:val="21"/>
                      <w:highlight w:val="none"/>
                      <w:vertAlign w:val="baseline"/>
                      <w:lang w:val="en-US" w:eastAsia="zh-CN"/>
                      <w14:textFill>
                        <w14:solidFill>
                          <w14:schemeClr w14:val="tx1"/>
                        </w14:solidFill>
                      </w14:textFill>
                    </w:rPr>
                    <w:t>55</w:t>
                  </w:r>
                </w:p>
              </w:tc>
              <w:tc>
                <w:tcPr>
                  <w:tcW w:w="1000" w:type="pct"/>
                  <w:tcBorders>
                    <w:tl2br w:val="nil"/>
                    <w:tr2bl w:val="nil"/>
                  </w:tcBorders>
                  <w:vAlign w:val="center"/>
                </w:tcPr>
                <w:p w14:paraId="23F4AEE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t>营运期</w:t>
                  </w:r>
                </w:p>
              </w:tc>
            </w:tr>
          </w:tbl>
          <w:p w14:paraId="09920301">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cs="Times New Roman"/>
                <w:b/>
                <w:bCs/>
                <w:color w:val="000000" w:themeColor="text1"/>
                <w:kern w:val="0"/>
                <w:sz w:val="24"/>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kern w:val="0"/>
                <w:sz w:val="24"/>
                <w:szCs w:val="24"/>
                <w:highlight w:val="none"/>
                <w:lang w:val="en-US" w:eastAsia="zh-CN"/>
                <w14:textFill>
                  <w14:solidFill>
                    <w14:schemeClr w14:val="tx1"/>
                  </w14:solidFill>
                </w14:textFill>
              </w:rPr>
              <w:t>3.3.4 固废</w:t>
            </w:r>
          </w:p>
          <w:p w14:paraId="391F650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000000" w:themeColor="text1"/>
                <w:kern w:val="0"/>
                <w:sz w:val="24"/>
                <w:szCs w:val="24"/>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4"/>
                <w:szCs w:val="24"/>
                <w:highlight w:val="none"/>
                <w:lang w:val="en-US" w:eastAsia="zh-CN"/>
                <w14:textFill>
                  <w14:solidFill>
                    <w14:schemeClr w14:val="tx1"/>
                  </w14:solidFill>
                </w14:textFill>
              </w:rPr>
              <w:t>一般固体废物：根据《一般工业固体废物贮存和填埋污染控制标准》（GB 18599-2020）中要求，“采用库房、包装工具（罐、桶、包装袋等）贮存一般工业固体废物过程的污染控制，不适用（GB 18599-2020）标准，贮存过程中应满足相应的防渗漏、防雨淋、防扬尘等环境保护要求”</w:t>
            </w:r>
            <w:r>
              <w:rPr>
                <w:rFonts w:hint="eastAsia" w:ascii="Times New Roman" w:hAnsi="Times New Roman" w:cs="Times New Roman"/>
                <w:b w:val="0"/>
                <w:bCs w:val="0"/>
                <w:color w:val="000000" w:themeColor="text1"/>
                <w:kern w:val="0"/>
                <w:sz w:val="24"/>
                <w:szCs w:val="24"/>
                <w:highlight w:val="none"/>
                <w:lang w:val="en-US" w:eastAsia="zh-CN"/>
                <w14:textFill>
                  <w14:solidFill>
                    <w14:schemeClr w14:val="tx1"/>
                  </w14:solidFill>
                </w14:textFill>
              </w:rPr>
              <w:t>；</w:t>
            </w:r>
            <w:r>
              <w:rPr>
                <w:rFonts w:hint="default" w:ascii="Times New Roman" w:hAnsi="Times New Roman" w:cs="Times New Roman"/>
                <w:b w:val="0"/>
                <w:bCs w:val="0"/>
                <w:color w:val="000000" w:themeColor="text1"/>
                <w:kern w:val="0"/>
                <w:sz w:val="24"/>
                <w:szCs w:val="24"/>
                <w:highlight w:val="none"/>
                <w:lang w:val="en-US" w:eastAsia="zh-CN"/>
                <w14:textFill>
                  <w14:solidFill>
                    <w14:schemeClr w14:val="tx1"/>
                  </w14:solidFill>
                </w14:textFill>
              </w:rPr>
              <w:t>一般固体废物分类执行《固体废物分类与代码目录》（2024）相关要求。</w:t>
            </w:r>
          </w:p>
          <w:p w14:paraId="32F3693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000000" w:themeColor="text1"/>
                <w:kern w:val="0"/>
                <w:sz w:val="24"/>
                <w:szCs w:val="24"/>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4"/>
                <w:szCs w:val="24"/>
                <w:highlight w:val="none"/>
                <w:lang w:val="en-US" w:eastAsia="zh-CN"/>
                <w14:textFill>
                  <w14:solidFill>
                    <w14:schemeClr w14:val="tx1"/>
                  </w14:solidFill>
                </w14:textFill>
              </w:rPr>
              <w:t>危险废物：《医疗卫生机构医疗废物管理办法》、《医疗废物集中处置技术规范》（环发</w:t>
            </w:r>
            <w:r>
              <w:rPr>
                <w:rFonts w:hint="eastAsia" w:cs="Times New Roman"/>
                <w:b w:val="0"/>
                <w:bCs w:val="0"/>
                <w:color w:val="000000" w:themeColor="text1"/>
                <w:kern w:val="0"/>
                <w:sz w:val="24"/>
                <w:szCs w:val="24"/>
                <w:highlight w:val="none"/>
                <w:lang w:val="en-US" w:eastAsia="zh-CN"/>
                <w14:textFill>
                  <w14:solidFill>
                    <w14:schemeClr w14:val="tx1"/>
                  </w14:solidFill>
                </w14:textFill>
              </w:rPr>
              <w:t>〔2003〕206号</w:t>
            </w:r>
            <w:r>
              <w:rPr>
                <w:rFonts w:hint="default" w:ascii="Times New Roman" w:hAnsi="Times New Roman" w:cs="Times New Roman"/>
                <w:b w:val="0"/>
                <w:bCs w:val="0"/>
                <w:color w:val="000000" w:themeColor="text1"/>
                <w:kern w:val="0"/>
                <w:sz w:val="24"/>
                <w:szCs w:val="24"/>
                <w:highlight w:val="none"/>
                <w:lang w:val="en-US" w:eastAsia="zh-CN"/>
                <w14:textFill>
                  <w14:solidFill>
                    <w14:schemeClr w14:val="tx1"/>
                  </w14:solidFill>
                </w14:textFill>
              </w:rPr>
              <w:t>）、《医疗废物专用包装袋、容器和警示标志标准》（HJ421-2008）、《危险废物贮存污染控制标准》（GB18597-2023）。</w:t>
            </w:r>
          </w:p>
          <w:p w14:paraId="282F1AC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000000" w:themeColor="text1"/>
                <w:kern w:val="0"/>
                <w:sz w:val="24"/>
                <w:szCs w:val="24"/>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4"/>
                <w:szCs w:val="24"/>
                <w:highlight w:val="none"/>
                <w:lang w:val="en-US" w:eastAsia="zh-CN"/>
                <w14:textFill>
                  <w14:solidFill>
                    <w14:schemeClr w14:val="tx1"/>
                  </w14:solidFill>
                </w14:textFill>
              </w:rPr>
              <w:t>动物尸体和动物病理组织：《中华人民共和国动物防疫法》（2021年）、《重庆市动物防疫条例》。</w:t>
            </w:r>
          </w:p>
          <w:p w14:paraId="2BFA68B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FF0000"/>
                <w:kern w:val="0"/>
                <w:sz w:val="24"/>
                <w:szCs w:val="24"/>
                <w:highlight w:val="none"/>
                <w:lang w:val="en-US" w:eastAsia="zh-CN"/>
              </w:rPr>
            </w:pPr>
            <w:r>
              <w:rPr>
                <w:rFonts w:hint="default" w:ascii="Times New Roman" w:hAnsi="Times New Roman" w:cs="Times New Roman"/>
                <w:b w:val="0"/>
                <w:bCs w:val="0"/>
                <w:color w:val="000000" w:themeColor="text1"/>
                <w:kern w:val="0"/>
                <w:sz w:val="24"/>
                <w:szCs w:val="24"/>
                <w:highlight w:val="none"/>
                <w:lang w:val="en-US" w:eastAsia="zh-CN"/>
                <w14:textFill>
                  <w14:solidFill>
                    <w14:schemeClr w14:val="tx1"/>
                  </w14:solidFill>
                </w14:textFill>
              </w:rPr>
              <w:t>生活垃圾实行分类收集，由环卫部门统一收集处置</w:t>
            </w:r>
            <w:r>
              <w:rPr>
                <w:rFonts w:hint="eastAsia" w:cs="Times New Roman"/>
                <w:b w:val="0"/>
                <w:bCs w:val="0"/>
                <w:color w:val="000000" w:themeColor="text1"/>
                <w:kern w:val="0"/>
                <w:sz w:val="24"/>
                <w:szCs w:val="24"/>
                <w:highlight w:val="none"/>
                <w:lang w:val="en-US" w:eastAsia="zh-CN"/>
                <w14:textFill>
                  <w14:solidFill>
                    <w14:schemeClr w14:val="tx1"/>
                  </w14:solidFill>
                </w14:textFill>
              </w:rPr>
              <w:t>。</w:t>
            </w:r>
          </w:p>
        </w:tc>
      </w:tr>
      <w:tr w14:paraId="06ED5C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25" w:hRule="atLeast"/>
          <w:jc w:val="center"/>
        </w:trPr>
        <w:tc>
          <w:tcPr>
            <w:tcW w:w="426" w:type="dxa"/>
            <w:noWrap w:val="0"/>
            <w:vAlign w:val="center"/>
          </w:tcPr>
          <w:p w14:paraId="2D01A95E">
            <w:pPr>
              <w:adjustRightInd w:val="0"/>
              <w:snapToGrid w:val="0"/>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总量</w:t>
            </w:r>
          </w:p>
          <w:p w14:paraId="77AE434D">
            <w:pPr>
              <w:adjustRightInd w:val="0"/>
              <w:snapToGrid w:val="0"/>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控制</w:t>
            </w:r>
          </w:p>
          <w:p w14:paraId="4361F65F">
            <w:pPr>
              <w:adjustRightInd w:val="0"/>
              <w:snapToGrid w:val="0"/>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指标</w:t>
            </w:r>
          </w:p>
        </w:tc>
        <w:tc>
          <w:tcPr>
            <w:tcW w:w="8600" w:type="dxa"/>
            <w:noWrap w:val="0"/>
            <w:vAlign w:val="center"/>
          </w:tcPr>
          <w:p w14:paraId="0720805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000000" w:themeColor="text1"/>
                <w:kern w:val="0"/>
                <w:sz w:val="24"/>
                <w:szCs w:val="24"/>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4"/>
                <w:szCs w:val="24"/>
                <w:highlight w:val="none"/>
                <w:lang w:val="en-US" w:eastAsia="zh-CN"/>
                <w14:textFill>
                  <w14:solidFill>
                    <w14:schemeClr w14:val="tx1"/>
                  </w14:solidFill>
                </w14:textFill>
              </w:rPr>
              <w:t>依据国家关于污染物排放执行总量控制的有关规定，结合项目的排污特点，项目污染物总量控制指标如下：</w:t>
            </w:r>
          </w:p>
          <w:p w14:paraId="25E558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000000" w:themeColor="text1"/>
                <w:kern w:val="0"/>
                <w:sz w:val="24"/>
                <w:szCs w:val="24"/>
                <w:highlight w:val="none"/>
                <w:vertAlign w:val="baseline"/>
                <w:lang w:val="en-US" w:eastAsia="zh-CN"/>
                <w14:textFill>
                  <w14:solidFill>
                    <w14:schemeClr w14:val="tx1"/>
                  </w14:solidFill>
                </w14:textFill>
              </w:rPr>
            </w:pPr>
            <w:r>
              <w:rPr>
                <w:rFonts w:hint="default" w:ascii="Times New Roman" w:hAnsi="Times New Roman" w:cs="Times New Roman"/>
                <w:b/>
                <w:bCs/>
                <w:color w:val="000000" w:themeColor="text1"/>
                <w:kern w:val="0"/>
                <w:sz w:val="24"/>
                <w:szCs w:val="24"/>
                <w:highlight w:val="none"/>
                <w:lang w:val="en-US" w:eastAsia="zh-CN"/>
                <w14:textFill>
                  <w14:solidFill>
                    <w14:schemeClr w14:val="tx1"/>
                  </w14:solidFill>
                </w14:textFill>
              </w:rPr>
              <w:t>表3.3-7项目总量控制指标  单位：t/a</w:t>
            </w:r>
          </w:p>
          <w:tbl>
            <w:tblPr>
              <w:tblStyle w:val="2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17"/>
              <w:gridCol w:w="2955"/>
              <w:gridCol w:w="4182"/>
            </w:tblGrid>
            <w:tr w14:paraId="34597C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8" w:type="pct"/>
                  <w:tcBorders>
                    <w:tl2br w:val="nil"/>
                    <w:tr2bl w:val="nil"/>
                  </w:tcBorders>
                  <w:vAlign w:val="center"/>
                </w:tcPr>
                <w:p w14:paraId="44ADDD1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t>类别</w:t>
                  </w:r>
                </w:p>
              </w:tc>
              <w:tc>
                <w:tcPr>
                  <w:tcW w:w="1768" w:type="pct"/>
                  <w:tcBorders>
                    <w:tl2br w:val="nil"/>
                    <w:tr2bl w:val="nil"/>
                  </w:tcBorders>
                  <w:vAlign w:val="center"/>
                </w:tcPr>
                <w:p w14:paraId="5798164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t>污染因子</w:t>
                  </w:r>
                </w:p>
              </w:tc>
              <w:tc>
                <w:tcPr>
                  <w:tcW w:w="2502" w:type="pct"/>
                  <w:tcBorders>
                    <w:tl2br w:val="nil"/>
                    <w:tr2bl w:val="nil"/>
                  </w:tcBorders>
                  <w:vAlign w:val="center"/>
                </w:tcPr>
                <w:p w14:paraId="4C31CE9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t>项目排放量</w:t>
                  </w:r>
                </w:p>
              </w:tc>
            </w:tr>
            <w:tr w14:paraId="7282C7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8" w:type="pct"/>
                  <w:vMerge w:val="restart"/>
                  <w:tcBorders>
                    <w:tl2br w:val="nil"/>
                    <w:tr2bl w:val="nil"/>
                  </w:tcBorders>
                  <w:vAlign w:val="center"/>
                </w:tcPr>
                <w:p w14:paraId="5B0F9BE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t>废水</w:t>
                  </w:r>
                </w:p>
              </w:tc>
              <w:tc>
                <w:tcPr>
                  <w:tcW w:w="1768" w:type="pct"/>
                  <w:tcBorders>
                    <w:tl2br w:val="nil"/>
                    <w:tr2bl w:val="nil"/>
                  </w:tcBorders>
                  <w:vAlign w:val="center"/>
                </w:tcPr>
                <w:p w14:paraId="2AC3F2C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COD</w:t>
                  </w:r>
                </w:p>
              </w:tc>
              <w:tc>
                <w:tcPr>
                  <w:tcW w:w="2502" w:type="pct"/>
                  <w:tcBorders>
                    <w:tl2br w:val="nil"/>
                    <w:tr2bl w:val="nil"/>
                  </w:tcBorders>
                  <w:vAlign w:val="center"/>
                </w:tcPr>
                <w:p w14:paraId="3E1BB1D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0.015 </w:t>
                  </w:r>
                </w:p>
              </w:tc>
            </w:tr>
            <w:tr w14:paraId="4FAB62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8" w:type="pct"/>
                  <w:vMerge w:val="continue"/>
                  <w:tcBorders>
                    <w:tl2br w:val="nil"/>
                    <w:tr2bl w:val="nil"/>
                  </w:tcBorders>
                  <w:vAlign w:val="center"/>
                </w:tcPr>
                <w:p w14:paraId="2451775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pPr>
                </w:p>
              </w:tc>
              <w:tc>
                <w:tcPr>
                  <w:tcW w:w="1768" w:type="pct"/>
                  <w:tcBorders>
                    <w:tl2br w:val="nil"/>
                    <w:tr2bl w:val="nil"/>
                  </w:tcBorders>
                  <w:vAlign w:val="center"/>
                </w:tcPr>
                <w:p w14:paraId="3CE00DB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氨氮</w:t>
                  </w:r>
                </w:p>
              </w:tc>
              <w:tc>
                <w:tcPr>
                  <w:tcW w:w="2502" w:type="pct"/>
                  <w:tcBorders>
                    <w:tl2br w:val="nil"/>
                    <w:tr2bl w:val="nil"/>
                  </w:tcBorders>
                  <w:vAlign w:val="center"/>
                </w:tcPr>
                <w:p w14:paraId="23F2E83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0.001</w:t>
                  </w:r>
                </w:p>
              </w:tc>
            </w:tr>
          </w:tbl>
          <w:p w14:paraId="3FEDCD6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b w:val="0"/>
                <w:bCs w:val="0"/>
                <w:color w:val="000000" w:themeColor="text1"/>
                <w:kern w:val="0"/>
                <w:sz w:val="24"/>
                <w:szCs w:val="24"/>
                <w:highlight w:val="none"/>
                <w:lang w:val="en-US" w:eastAsia="zh-CN"/>
                <w14:textFill>
                  <w14:solidFill>
                    <w14:schemeClr w14:val="tx1"/>
                  </w14:solidFill>
                </w14:textFill>
              </w:rPr>
            </w:pPr>
          </w:p>
        </w:tc>
      </w:tr>
    </w:tbl>
    <w:p w14:paraId="49A99748">
      <w:pPr>
        <w:pStyle w:val="16"/>
        <w:jc w:val="center"/>
        <w:outlineLvl w:val="0"/>
        <w:rPr>
          <w:rFonts w:hint="default" w:ascii="Times New Roman" w:hAnsi="Times New Roman" w:eastAsia="黑体" w:cs="Times New Roman"/>
          <w:snapToGrid w:val="0"/>
          <w:color w:val="000000" w:themeColor="text1"/>
          <w:sz w:val="30"/>
          <w:szCs w:val="30"/>
          <w:highlight w:val="none"/>
          <w14:textFill>
            <w14:solidFill>
              <w14:schemeClr w14:val="tx1"/>
            </w14:solidFill>
          </w14:textFill>
        </w:rPr>
      </w:pPr>
      <w:r>
        <w:rPr>
          <w:rFonts w:hint="default" w:ascii="Times New Roman" w:hAnsi="Times New Roman" w:eastAsia="黑体" w:cs="Times New Roman"/>
          <w:snapToGrid w:val="0"/>
          <w:color w:val="FF0000"/>
          <w:sz w:val="36"/>
          <w:szCs w:val="36"/>
          <w:highlight w:val="none"/>
        </w:rPr>
        <w:br w:type="page"/>
      </w:r>
      <w:r>
        <w:rPr>
          <w:rFonts w:hint="default" w:ascii="Times New Roman" w:hAnsi="Times New Roman" w:eastAsia="黑体" w:cs="Times New Roman"/>
          <w:snapToGrid w:val="0"/>
          <w:color w:val="000000" w:themeColor="text1"/>
          <w:sz w:val="30"/>
          <w:szCs w:val="30"/>
          <w:highlight w:val="none"/>
          <w14:textFill>
            <w14:solidFill>
              <w14:schemeClr w14:val="tx1"/>
            </w14:solidFill>
          </w14:textFill>
        </w:rPr>
        <w:t>四、主要环境影响和保护措施</w:t>
      </w:r>
    </w:p>
    <w:tbl>
      <w:tblPr>
        <w:tblStyle w:val="20"/>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02"/>
        <w:gridCol w:w="8506"/>
      </w:tblGrid>
      <w:tr w14:paraId="68DBD3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44" w:hRule="atLeast"/>
          <w:jc w:val="center"/>
        </w:trPr>
        <w:tc>
          <w:tcPr>
            <w:tcW w:w="402" w:type="dxa"/>
            <w:noWrap w:val="0"/>
            <w:tcMar>
              <w:left w:w="28" w:type="dxa"/>
              <w:right w:w="28" w:type="dxa"/>
            </w:tcMar>
            <w:vAlign w:val="center"/>
          </w:tcPr>
          <w:p w14:paraId="03E370C3">
            <w:pPr>
              <w:pStyle w:val="16"/>
              <w:adjustRightInd w:val="0"/>
              <w:snapToGrid w:val="0"/>
              <w:spacing w:before="0" w:beforeAutospacing="0" w:after="0" w:afterAutospacing="0"/>
              <w:jc w:val="center"/>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cs="Times New Roman"/>
                <w:color w:val="000000" w:themeColor="text1"/>
                <w:kern w:val="2"/>
                <w:sz w:val="21"/>
                <w:szCs w:val="21"/>
                <w:highlight w:val="none"/>
                <w14:textFill>
                  <w14:solidFill>
                    <w14:schemeClr w14:val="tx1"/>
                  </w14:solidFill>
                </w14:textFill>
              </w:rPr>
              <w:t>施工</w:t>
            </w:r>
          </w:p>
          <w:p w14:paraId="354068E0">
            <w:pPr>
              <w:pStyle w:val="16"/>
              <w:adjustRightInd w:val="0"/>
              <w:snapToGrid w:val="0"/>
              <w:spacing w:before="0" w:beforeAutospacing="0" w:after="0" w:afterAutospacing="0"/>
              <w:jc w:val="center"/>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cs="Times New Roman"/>
                <w:color w:val="000000" w:themeColor="text1"/>
                <w:kern w:val="2"/>
                <w:sz w:val="21"/>
                <w:szCs w:val="21"/>
                <w:highlight w:val="none"/>
                <w14:textFill>
                  <w14:solidFill>
                    <w14:schemeClr w14:val="tx1"/>
                  </w14:solidFill>
                </w14:textFill>
              </w:rPr>
              <w:t>期环</w:t>
            </w:r>
          </w:p>
          <w:p w14:paraId="213C9030">
            <w:pPr>
              <w:pStyle w:val="16"/>
              <w:adjustRightInd w:val="0"/>
              <w:snapToGrid w:val="0"/>
              <w:spacing w:before="0" w:beforeAutospacing="0" w:after="0" w:afterAutospacing="0"/>
              <w:jc w:val="center"/>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cs="Times New Roman"/>
                <w:color w:val="000000" w:themeColor="text1"/>
                <w:kern w:val="2"/>
                <w:sz w:val="21"/>
                <w:szCs w:val="21"/>
                <w:highlight w:val="none"/>
                <w14:textFill>
                  <w14:solidFill>
                    <w14:schemeClr w14:val="tx1"/>
                  </w14:solidFill>
                </w14:textFill>
              </w:rPr>
              <w:t>境保</w:t>
            </w:r>
          </w:p>
          <w:p w14:paraId="24E82DCA">
            <w:pPr>
              <w:pStyle w:val="16"/>
              <w:adjustRightInd w:val="0"/>
              <w:snapToGrid w:val="0"/>
              <w:spacing w:before="0" w:beforeAutospacing="0" w:after="0" w:afterAutospacing="0"/>
              <w:jc w:val="center"/>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cs="Times New Roman"/>
                <w:color w:val="000000" w:themeColor="text1"/>
                <w:kern w:val="2"/>
                <w:sz w:val="21"/>
                <w:szCs w:val="21"/>
                <w:highlight w:val="none"/>
                <w14:textFill>
                  <w14:solidFill>
                    <w14:schemeClr w14:val="tx1"/>
                  </w14:solidFill>
                </w14:textFill>
              </w:rPr>
              <w:t>护措</w:t>
            </w:r>
          </w:p>
          <w:p w14:paraId="748331E7">
            <w:pPr>
              <w:pStyle w:val="16"/>
              <w:adjustRightInd w:val="0"/>
              <w:snapToGrid w:val="0"/>
              <w:spacing w:before="0" w:beforeAutospacing="0" w:after="0" w:afterAutospacing="0"/>
              <w:jc w:val="center"/>
              <w:rPr>
                <w:rFonts w:hint="default" w:ascii="Times New Roman" w:hAnsi="Times New Roman" w:cs="Times New Roman"/>
                <w:bCs/>
                <w:color w:val="FF0000"/>
                <w:kern w:val="2"/>
                <w:sz w:val="21"/>
                <w:szCs w:val="21"/>
                <w:highlight w:val="none"/>
              </w:rPr>
            </w:pPr>
            <w:r>
              <w:rPr>
                <w:rFonts w:hint="default" w:ascii="Times New Roman" w:hAnsi="Times New Roman" w:cs="Times New Roman"/>
                <w:color w:val="000000" w:themeColor="text1"/>
                <w:kern w:val="2"/>
                <w:sz w:val="21"/>
                <w:szCs w:val="21"/>
                <w:highlight w:val="none"/>
                <w14:textFill>
                  <w14:solidFill>
                    <w14:schemeClr w14:val="tx1"/>
                  </w14:solidFill>
                </w14:textFill>
              </w:rPr>
              <w:t>施</w:t>
            </w:r>
          </w:p>
        </w:tc>
        <w:tc>
          <w:tcPr>
            <w:tcW w:w="8506" w:type="dxa"/>
            <w:noWrap w:val="0"/>
            <w:vAlign w:val="center"/>
          </w:tcPr>
          <w:p w14:paraId="778BDDA6">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cs="Times New Roman"/>
                <w:b/>
                <w:bCs w:val="0"/>
                <w:color w:val="000000" w:themeColor="text1"/>
                <w:spacing w:val="0"/>
                <w:sz w:val="24"/>
                <w:szCs w:val="24"/>
                <w:highlight w:val="none"/>
                <w14:textFill>
                  <w14:solidFill>
                    <w14:schemeClr w14:val="tx1"/>
                  </w14:solidFill>
                </w14:textFill>
              </w:rPr>
            </w:pPr>
            <w:r>
              <w:rPr>
                <w:rFonts w:hint="default" w:ascii="Times New Roman" w:hAnsi="Times New Roman" w:cs="Times New Roman"/>
                <w:b/>
                <w:bCs w:val="0"/>
                <w:color w:val="000000" w:themeColor="text1"/>
                <w:spacing w:val="0"/>
                <w:sz w:val="24"/>
                <w:szCs w:val="24"/>
                <w:highlight w:val="none"/>
                <w14:textFill>
                  <w14:solidFill>
                    <w14:schemeClr w14:val="tx1"/>
                  </w14:solidFill>
                </w14:textFill>
              </w:rPr>
              <w:t>4.1施工期环境影响及保护措施</w:t>
            </w:r>
          </w:p>
          <w:p w14:paraId="171CD90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Cs/>
                <w:color w:val="FF0000"/>
                <w:spacing w:val="-10"/>
                <w:szCs w:val="21"/>
                <w:highlight w:val="none"/>
              </w:rPr>
            </w:pPr>
            <w:r>
              <w:rPr>
                <w:rFonts w:hint="eastAsia"/>
                <w:color w:val="000000" w:themeColor="text1"/>
                <w:sz w:val="24"/>
                <w:szCs w:val="24"/>
                <w14:textFill>
                  <w14:solidFill>
                    <w14:schemeClr w14:val="tx1"/>
                  </w14:solidFill>
                </w14:textFill>
              </w:rPr>
              <w:t>本次建设仅在手术室新增部分医疗设备，医疗设备购置入场后即可完成安装调试，施工期很短，对外环境的影响很小。故本次环评不对施工期环境影响进行评价</w:t>
            </w:r>
            <w:r>
              <w:rPr>
                <w:color w:val="000000" w:themeColor="text1"/>
                <w:spacing w:val="-1"/>
                <w:sz w:val="24"/>
                <w:szCs w:val="24"/>
                <w14:textFill>
                  <w14:solidFill>
                    <w14:schemeClr w14:val="tx1"/>
                  </w14:solidFill>
                </w14:textFill>
              </w:rPr>
              <w:t>。</w:t>
            </w:r>
          </w:p>
        </w:tc>
      </w:tr>
      <w:tr w14:paraId="1BD46E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52" w:hRule="atLeast"/>
          <w:jc w:val="center"/>
        </w:trPr>
        <w:tc>
          <w:tcPr>
            <w:tcW w:w="402" w:type="dxa"/>
            <w:noWrap w:val="0"/>
            <w:tcMar>
              <w:left w:w="28" w:type="dxa"/>
              <w:right w:w="28" w:type="dxa"/>
            </w:tcMar>
            <w:vAlign w:val="center"/>
          </w:tcPr>
          <w:p w14:paraId="667A4580">
            <w:pPr>
              <w:adjustRightInd w:val="0"/>
              <w:snapToGrid w:val="0"/>
              <w:jc w:val="center"/>
              <w:rPr>
                <w:rFonts w:hint="default" w:ascii="Times New Roman" w:hAnsi="Times New Roman" w:cs="Times New Roman"/>
                <w:bCs/>
                <w:color w:val="000000" w:themeColor="text1"/>
                <w:szCs w:val="21"/>
                <w:highlight w:val="none"/>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运营</w:t>
            </w:r>
          </w:p>
          <w:p w14:paraId="793CA2F6">
            <w:pPr>
              <w:adjustRightInd w:val="0"/>
              <w:snapToGrid w:val="0"/>
              <w:jc w:val="center"/>
              <w:rPr>
                <w:rFonts w:hint="default" w:ascii="Times New Roman" w:hAnsi="Times New Roman" w:cs="Times New Roman"/>
                <w:bCs/>
                <w:color w:val="000000" w:themeColor="text1"/>
                <w:szCs w:val="21"/>
                <w:highlight w:val="none"/>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期环</w:t>
            </w:r>
          </w:p>
          <w:p w14:paraId="5847367A">
            <w:pPr>
              <w:adjustRightInd w:val="0"/>
              <w:snapToGrid w:val="0"/>
              <w:jc w:val="center"/>
              <w:rPr>
                <w:rFonts w:hint="default" w:ascii="Times New Roman" w:hAnsi="Times New Roman" w:cs="Times New Roman"/>
                <w:bCs/>
                <w:color w:val="000000" w:themeColor="text1"/>
                <w:szCs w:val="21"/>
                <w:highlight w:val="none"/>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境影</w:t>
            </w:r>
          </w:p>
          <w:p w14:paraId="27423695">
            <w:pPr>
              <w:adjustRightInd w:val="0"/>
              <w:snapToGrid w:val="0"/>
              <w:jc w:val="center"/>
              <w:rPr>
                <w:rFonts w:hint="default" w:ascii="Times New Roman" w:hAnsi="Times New Roman" w:cs="Times New Roman"/>
                <w:bCs/>
                <w:color w:val="000000" w:themeColor="text1"/>
                <w:szCs w:val="21"/>
                <w:highlight w:val="none"/>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响和</w:t>
            </w:r>
          </w:p>
          <w:p w14:paraId="531A6ABC">
            <w:pPr>
              <w:adjustRightInd w:val="0"/>
              <w:snapToGrid w:val="0"/>
              <w:jc w:val="center"/>
              <w:rPr>
                <w:rFonts w:hint="default" w:ascii="Times New Roman" w:hAnsi="Times New Roman" w:cs="Times New Roman"/>
                <w:bCs/>
                <w:color w:val="000000" w:themeColor="text1"/>
                <w:szCs w:val="21"/>
                <w:highlight w:val="none"/>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保护</w:t>
            </w:r>
          </w:p>
          <w:p w14:paraId="22D5C8A9">
            <w:pPr>
              <w:adjustRightInd w:val="0"/>
              <w:snapToGrid w:val="0"/>
              <w:jc w:val="center"/>
              <w:rPr>
                <w:rFonts w:hint="default" w:ascii="Times New Roman" w:hAnsi="Times New Roman" w:cs="Times New Roman"/>
                <w:bCs/>
                <w:color w:val="FF0000"/>
                <w:szCs w:val="21"/>
                <w:highlight w:val="none"/>
              </w:rPr>
            </w:pPr>
            <w:r>
              <w:rPr>
                <w:rFonts w:hint="default" w:ascii="Times New Roman" w:hAnsi="Times New Roman" w:cs="Times New Roman"/>
                <w:bCs/>
                <w:color w:val="000000" w:themeColor="text1"/>
                <w:szCs w:val="21"/>
                <w:highlight w:val="none"/>
                <w14:textFill>
                  <w14:solidFill>
                    <w14:schemeClr w14:val="tx1"/>
                  </w14:solidFill>
                </w14:textFill>
              </w:rPr>
              <w:t>措施</w:t>
            </w:r>
          </w:p>
        </w:tc>
        <w:tc>
          <w:tcPr>
            <w:tcW w:w="8506" w:type="dxa"/>
            <w:noWrap w:val="0"/>
            <w:vAlign w:val="center"/>
          </w:tcPr>
          <w:p w14:paraId="04676B7A">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cs="Times New Roman"/>
                <w:b/>
                <w:bCs w:val="0"/>
                <w:color w:val="000000" w:themeColor="text1"/>
                <w:spacing w:val="0"/>
                <w:sz w:val="24"/>
                <w:szCs w:val="24"/>
                <w:highlight w:val="none"/>
                <w14:textFill>
                  <w14:solidFill>
                    <w14:schemeClr w14:val="tx1"/>
                  </w14:solidFill>
                </w14:textFill>
              </w:rPr>
            </w:pPr>
            <w:r>
              <w:rPr>
                <w:rFonts w:hint="default" w:ascii="Times New Roman" w:hAnsi="Times New Roman" w:cs="Times New Roman"/>
                <w:b/>
                <w:bCs w:val="0"/>
                <w:color w:val="000000" w:themeColor="text1"/>
                <w:spacing w:val="0"/>
                <w:sz w:val="24"/>
                <w:szCs w:val="24"/>
                <w:highlight w:val="none"/>
                <w14:textFill>
                  <w14:solidFill>
                    <w14:schemeClr w14:val="tx1"/>
                  </w14:solidFill>
                </w14:textFill>
              </w:rPr>
              <w:t>4.</w:t>
            </w:r>
            <w:r>
              <w:rPr>
                <w:rFonts w:hint="default" w:ascii="Times New Roman" w:hAnsi="Times New Roman" w:cs="Times New Roman"/>
                <w:b/>
                <w:bCs w:val="0"/>
                <w:color w:val="000000" w:themeColor="text1"/>
                <w:spacing w:val="0"/>
                <w:sz w:val="24"/>
                <w:szCs w:val="24"/>
                <w:highlight w:val="none"/>
                <w:lang w:val="en-US" w:eastAsia="zh-CN"/>
                <w14:textFill>
                  <w14:solidFill>
                    <w14:schemeClr w14:val="tx1"/>
                  </w14:solidFill>
                </w14:textFill>
              </w:rPr>
              <w:t>2运营</w:t>
            </w:r>
            <w:r>
              <w:rPr>
                <w:rFonts w:hint="default" w:ascii="Times New Roman" w:hAnsi="Times New Roman" w:cs="Times New Roman"/>
                <w:b/>
                <w:bCs w:val="0"/>
                <w:color w:val="000000" w:themeColor="text1"/>
                <w:spacing w:val="0"/>
                <w:sz w:val="24"/>
                <w:szCs w:val="24"/>
                <w:highlight w:val="none"/>
                <w14:textFill>
                  <w14:solidFill>
                    <w14:schemeClr w14:val="tx1"/>
                  </w14:solidFill>
                </w14:textFill>
              </w:rPr>
              <w:t>期环境影响及保护措施</w:t>
            </w:r>
          </w:p>
          <w:p w14:paraId="40517664">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cs="Times New Roman"/>
                <w:b/>
                <w:bCs w:val="0"/>
                <w:color w:val="000000" w:themeColor="text1"/>
                <w:spacing w:val="0"/>
                <w:sz w:val="24"/>
                <w:szCs w:val="24"/>
                <w:highlight w:val="none"/>
                <w14:textFill>
                  <w14:solidFill>
                    <w14:schemeClr w14:val="tx1"/>
                  </w14:solidFill>
                </w14:textFill>
              </w:rPr>
            </w:pPr>
            <w:r>
              <w:rPr>
                <w:rFonts w:hint="default" w:ascii="Times New Roman" w:hAnsi="Times New Roman" w:cs="Times New Roman"/>
                <w:b/>
                <w:bCs w:val="0"/>
                <w:color w:val="000000" w:themeColor="text1"/>
                <w:spacing w:val="0"/>
                <w:sz w:val="24"/>
                <w:szCs w:val="24"/>
                <w:highlight w:val="none"/>
                <w14:textFill>
                  <w14:solidFill>
                    <w14:schemeClr w14:val="tx1"/>
                  </w14:solidFill>
                </w14:textFill>
              </w:rPr>
              <w:t>4.2.1废气环境影响和保护措施</w:t>
            </w:r>
          </w:p>
          <w:p w14:paraId="637256D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color w:val="000000" w:themeColor="text1"/>
                <w:spacing w:val="0"/>
                <w:sz w:val="24"/>
                <w:szCs w:val="24"/>
                <w:highlight w:val="none"/>
                <w14:textFill>
                  <w14:solidFill>
                    <w14:schemeClr w14:val="tx1"/>
                  </w14:solidFill>
                </w14:textFill>
              </w:rPr>
            </w:pPr>
            <w:r>
              <w:rPr>
                <w:rFonts w:hint="default" w:ascii="Times New Roman" w:hAnsi="Times New Roman" w:cs="Times New Roman"/>
                <w:b w:val="0"/>
                <w:bCs/>
                <w:color w:val="000000" w:themeColor="text1"/>
                <w:spacing w:val="0"/>
                <w:sz w:val="24"/>
                <w:szCs w:val="24"/>
                <w:highlight w:val="none"/>
                <w14:textFill>
                  <w14:solidFill>
                    <w14:schemeClr w14:val="tx1"/>
                  </w14:solidFill>
                </w14:textFill>
              </w:rPr>
              <w:t>项目不设置食堂，</w:t>
            </w:r>
            <w:r>
              <w:rPr>
                <w:rFonts w:hint="eastAsia" w:cs="Times New Roman"/>
                <w:b w:val="0"/>
                <w:bCs/>
                <w:color w:val="000000" w:themeColor="text1"/>
                <w:spacing w:val="0"/>
                <w:sz w:val="24"/>
                <w:szCs w:val="24"/>
                <w:highlight w:val="none"/>
                <w:lang w:val="en-US" w:eastAsia="zh-CN"/>
                <w14:textFill>
                  <w14:solidFill>
                    <w14:schemeClr w14:val="tx1"/>
                  </w14:solidFill>
                </w14:textFill>
              </w:rPr>
              <w:t>就餐区仅为外购餐食就餐，</w:t>
            </w:r>
            <w:r>
              <w:rPr>
                <w:rFonts w:hint="default" w:ascii="Times New Roman" w:hAnsi="Times New Roman" w:cs="Times New Roman"/>
                <w:b w:val="0"/>
                <w:bCs/>
                <w:color w:val="000000" w:themeColor="text1"/>
                <w:spacing w:val="0"/>
                <w:sz w:val="24"/>
                <w:szCs w:val="24"/>
                <w:highlight w:val="none"/>
                <w14:textFill>
                  <w14:solidFill>
                    <w14:schemeClr w14:val="tx1"/>
                  </w14:solidFill>
                </w14:textFill>
              </w:rPr>
              <w:t>不涉及餐饮油烟。项目废气主要为宠物的排泄物所产生的臭味、医废间异味和宠物自身产生的少量异味、酒精挥发废气及</w:t>
            </w:r>
            <w:r>
              <w:rPr>
                <w:rFonts w:hint="eastAsia" w:cs="Times New Roman"/>
                <w:b w:val="0"/>
                <w:bCs/>
                <w:color w:val="000000" w:themeColor="text1"/>
                <w:spacing w:val="0"/>
                <w:sz w:val="24"/>
                <w:szCs w:val="24"/>
                <w:highlight w:val="none"/>
                <w:lang w:eastAsia="zh-CN"/>
                <w14:textFill>
                  <w14:solidFill>
                    <w14:schemeClr w14:val="tx1"/>
                  </w14:solidFill>
                </w14:textFill>
              </w:rPr>
              <w:t>消毒设施</w:t>
            </w:r>
            <w:r>
              <w:rPr>
                <w:rFonts w:hint="default" w:ascii="Times New Roman" w:hAnsi="Times New Roman" w:cs="Times New Roman"/>
                <w:b w:val="0"/>
                <w:bCs/>
                <w:color w:val="000000" w:themeColor="text1"/>
                <w:spacing w:val="0"/>
                <w:sz w:val="24"/>
                <w:szCs w:val="24"/>
                <w:highlight w:val="none"/>
                <w14:textFill>
                  <w14:solidFill>
                    <w14:schemeClr w14:val="tx1"/>
                  </w14:solidFill>
                </w14:textFill>
              </w:rPr>
              <w:t>异味。</w:t>
            </w:r>
          </w:p>
          <w:p w14:paraId="5FE0A8E1">
            <w:pPr>
              <w:keepNext w:val="0"/>
              <w:keepLines w:val="0"/>
              <w:pageBreakBefore w:val="0"/>
              <w:widowControl w:val="0"/>
              <w:numPr>
                <w:ilvl w:val="0"/>
                <w:numId w:val="6"/>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color w:val="000000" w:themeColor="text1"/>
                <w:spacing w:val="0"/>
                <w:kern w:val="3"/>
                <w:sz w:val="24"/>
                <w:szCs w:val="24"/>
                <w:highlight w:val="none"/>
                <w14:textFill>
                  <w14:solidFill>
                    <w14:schemeClr w14:val="tx1"/>
                  </w14:solidFill>
                </w14:textFill>
              </w:rPr>
            </w:pPr>
            <w:r>
              <w:rPr>
                <w:rFonts w:hint="default" w:ascii="Times New Roman" w:hAnsi="Times New Roman" w:cs="Times New Roman"/>
                <w:b w:val="0"/>
                <w:bCs/>
                <w:color w:val="000000" w:themeColor="text1"/>
                <w:spacing w:val="0"/>
                <w:kern w:val="3"/>
                <w:sz w:val="24"/>
                <w:szCs w:val="24"/>
                <w:highlight w:val="none"/>
                <w14:textFill>
                  <w14:solidFill>
                    <w14:schemeClr w14:val="tx1"/>
                  </w14:solidFill>
                </w14:textFill>
              </w:rPr>
              <w:t>宠物的排泄物所产生的臭味及宠物自身的异味</w:t>
            </w:r>
          </w:p>
          <w:p w14:paraId="24C02D0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color w:val="000000" w:themeColor="text1"/>
                <w:spacing w:val="0"/>
                <w:sz w:val="24"/>
                <w:szCs w:val="24"/>
                <w:highlight w:val="none"/>
                <w14:textFill>
                  <w14:solidFill>
                    <w14:schemeClr w14:val="tx1"/>
                  </w14:solidFill>
                </w14:textFill>
              </w:rPr>
            </w:pPr>
            <w:r>
              <w:rPr>
                <w:rFonts w:hint="default" w:ascii="Times New Roman" w:hAnsi="Times New Roman" w:cs="Times New Roman"/>
                <w:b w:val="0"/>
                <w:bCs/>
                <w:color w:val="000000" w:themeColor="text1"/>
                <w:spacing w:val="0"/>
                <w:kern w:val="3"/>
                <w:sz w:val="24"/>
                <w:szCs w:val="24"/>
                <w:highlight w:val="none"/>
                <w14:textFill>
                  <w14:solidFill>
                    <w14:schemeClr w14:val="tx1"/>
                  </w14:solidFill>
                </w14:textFill>
              </w:rPr>
              <w:t>宠物医院在猫笼内设置有猫砂盒或用于收集猫粪和猫尿，狗笼内设置排便与排尿盒，项目接诊的宠物产生</w:t>
            </w:r>
            <w:r>
              <w:rPr>
                <w:rFonts w:hint="default" w:ascii="Times New Roman" w:hAnsi="Times New Roman" w:eastAsia="宋体" w:cs="Times New Roman"/>
                <w:b w:val="0"/>
                <w:bCs/>
                <w:color w:val="000000" w:themeColor="text1"/>
                <w:spacing w:val="0"/>
                <w:kern w:val="3"/>
                <w:sz w:val="24"/>
                <w:szCs w:val="24"/>
                <w:highlight w:val="none"/>
                <w14:textFill>
                  <w14:solidFill>
                    <w14:schemeClr w14:val="tx1"/>
                  </w14:solidFill>
                </w14:textFill>
              </w:rPr>
              <w:t>的</w:t>
            </w:r>
            <w:r>
              <w:rPr>
                <w:rFonts w:hint="default" w:ascii="Times New Roman" w:hAnsi="Times New Roman" w:eastAsia="宋体" w:cs="Times New Roman"/>
                <w:b w:val="0"/>
                <w:bCs/>
                <w:color w:val="000000" w:themeColor="text1"/>
                <w:spacing w:val="0"/>
                <w:kern w:val="3"/>
                <w:sz w:val="24"/>
                <w:szCs w:val="24"/>
                <w:highlight w:val="none"/>
                <w:lang w:val="en-US" w:eastAsia="zh-CN"/>
                <w14:textFill>
                  <w14:solidFill>
                    <w14:schemeClr w14:val="tx1"/>
                  </w14:solidFill>
                </w14:textFill>
              </w:rPr>
              <w:t>宠物</w:t>
            </w:r>
            <w:r>
              <w:rPr>
                <w:rFonts w:hint="default" w:ascii="Times New Roman" w:hAnsi="Times New Roman" w:eastAsia="宋体" w:cs="Times New Roman"/>
                <w:b w:val="0"/>
                <w:bCs/>
                <w:color w:val="000000" w:themeColor="text1"/>
                <w:spacing w:val="0"/>
                <w:kern w:val="3"/>
                <w:sz w:val="24"/>
                <w:szCs w:val="24"/>
                <w:highlight w:val="none"/>
                <w14:textFill>
                  <w14:solidFill>
                    <w14:schemeClr w14:val="tx1"/>
                  </w14:solidFill>
                </w14:textFill>
              </w:rPr>
              <w:t>排</w:t>
            </w:r>
            <w:r>
              <w:rPr>
                <w:rFonts w:hint="default" w:ascii="Times New Roman" w:hAnsi="Times New Roman" w:cs="Times New Roman"/>
                <w:b w:val="0"/>
                <w:bCs/>
                <w:color w:val="000000" w:themeColor="text1"/>
                <w:spacing w:val="0"/>
                <w:kern w:val="3"/>
                <w:sz w:val="24"/>
                <w:szCs w:val="24"/>
                <w:highlight w:val="none"/>
                <w14:textFill>
                  <w14:solidFill>
                    <w14:schemeClr w14:val="tx1"/>
                  </w14:solidFill>
                </w14:textFill>
              </w:rPr>
              <w:t>泄物日常由专人及时进行更换清理。项目设置的住院病房通过空调系统通风换气</w:t>
            </w:r>
            <w:r>
              <w:rPr>
                <w:rFonts w:hint="eastAsia" w:cs="Times New Roman"/>
                <w:b w:val="0"/>
                <w:bCs/>
                <w:color w:val="000000" w:themeColor="text1"/>
                <w:spacing w:val="0"/>
                <w:kern w:val="3"/>
                <w:sz w:val="24"/>
                <w:szCs w:val="24"/>
                <w:highlight w:val="none"/>
                <w:lang w:eastAsia="zh-CN"/>
                <w14:textFill>
                  <w14:solidFill>
                    <w14:schemeClr w14:val="tx1"/>
                  </w14:solidFill>
                </w14:textFill>
              </w:rPr>
              <w:t>；</w:t>
            </w:r>
            <w:r>
              <w:rPr>
                <w:rFonts w:hint="default" w:ascii="Times New Roman" w:hAnsi="Times New Roman" w:cs="Times New Roman"/>
                <w:b w:val="0"/>
                <w:bCs/>
                <w:color w:val="000000" w:themeColor="text1"/>
                <w:spacing w:val="0"/>
                <w:kern w:val="3"/>
                <w:sz w:val="24"/>
                <w:szCs w:val="24"/>
                <w:highlight w:val="none"/>
                <w14:textFill>
                  <w14:solidFill>
                    <w14:schemeClr w14:val="tx1"/>
                  </w14:solidFill>
                </w14:textFill>
              </w:rPr>
              <w:t>病房内设有紫外线灯管对病房进行消毒杀菌，同时每天使用84消毒液等对医院进行消毒，通过加强通风换气，可减少恶臭污染，对大气的影响较小。</w:t>
            </w:r>
          </w:p>
          <w:p w14:paraId="29150F8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color w:val="000000" w:themeColor="text1"/>
                <w:spacing w:val="0"/>
                <w:sz w:val="24"/>
                <w:szCs w:val="24"/>
                <w:highlight w:val="none"/>
                <w14:textFill>
                  <w14:solidFill>
                    <w14:schemeClr w14:val="tx1"/>
                  </w14:solidFill>
                </w14:textFill>
              </w:rPr>
            </w:pPr>
            <w:r>
              <w:rPr>
                <w:rFonts w:hint="default" w:ascii="Times New Roman" w:hAnsi="Times New Roman" w:cs="Times New Roman"/>
                <w:b w:val="0"/>
                <w:bCs/>
                <w:color w:val="000000" w:themeColor="text1"/>
                <w:spacing w:val="0"/>
                <w:sz w:val="24"/>
                <w:szCs w:val="24"/>
                <w:highlight w:val="none"/>
                <w:lang w:eastAsia="zh-CN"/>
                <w14:textFill>
                  <w14:solidFill>
                    <w14:schemeClr w14:val="tx1"/>
                  </w14:solidFill>
                </w14:textFill>
              </w:rPr>
              <w:t>（</w:t>
            </w:r>
            <w:r>
              <w:rPr>
                <w:rFonts w:hint="default" w:ascii="Times New Roman" w:hAnsi="Times New Roman" w:cs="Times New Roman"/>
                <w:b w:val="0"/>
                <w:bCs/>
                <w:color w:val="000000" w:themeColor="text1"/>
                <w:spacing w:val="0"/>
                <w:sz w:val="24"/>
                <w:szCs w:val="24"/>
                <w:highlight w:val="none"/>
                <w:lang w:val="en-US" w:eastAsia="zh-CN"/>
                <w14:textFill>
                  <w14:solidFill>
                    <w14:schemeClr w14:val="tx1"/>
                  </w14:solidFill>
                </w14:textFill>
              </w:rPr>
              <w:t>2</w:t>
            </w:r>
            <w:r>
              <w:rPr>
                <w:rFonts w:hint="default" w:ascii="Times New Roman" w:hAnsi="Times New Roman" w:cs="Times New Roman"/>
                <w:b w:val="0"/>
                <w:bCs/>
                <w:color w:val="000000" w:themeColor="text1"/>
                <w:spacing w:val="0"/>
                <w:sz w:val="24"/>
                <w:szCs w:val="24"/>
                <w:highlight w:val="none"/>
                <w:lang w:eastAsia="zh-CN"/>
                <w14:textFill>
                  <w14:solidFill>
                    <w14:schemeClr w14:val="tx1"/>
                  </w14:solidFill>
                </w14:textFill>
              </w:rPr>
              <w:t>）</w:t>
            </w:r>
            <w:r>
              <w:rPr>
                <w:rFonts w:hint="default" w:ascii="Times New Roman" w:hAnsi="Times New Roman" w:cs="Times New Roman"/>
                <w:b w:val="0"/>
                <w:bCs/>
                <w:color w:val="000000" w:themeColor="text1"/>
                <w:spacing w:val="0"/>
                <w:sz w:val="24"/>
                <w:szCs w:val="24"/>
                <w:highlight w:val="none"/>
                <w14:textFill>
                  <w14:solidFill>
                    <w14:schemeClr w14:val="tx1"/>
                  </w14:solidFill>
                </w14:textFill>
              </w:rPr>
              <w:t>医废间异味</w:t>
            </w:r>
          </w:p>
          <w:p w14:paraId="41F0B82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color w:val="000000" w:themeColor="text1"/>
                <w:spacing w:val="0"/>
                <w:sz w:val="24"/>
                <w:szCs w:val="24"/>
                <w:highlight w:val="none"/>
                <w14:textFill>
                  <w14:solidFill>
                    <w14:schemeClr w14:val="tx1"/>
                  </w14:solidFill>
                </w14:textFill>
              </w:rPr>
            </w:pPr>
            <w:r>
              <w:rPr>
                <w:rFonts w:hint="default" w:ascii="Times New Roman" w:hAnsi="Times New Roman" w:cs="Times New Roman"/>
                <w:b w:val="0"/>
                <w:bCs/>
                <w:color w:val="000000" w:themeColor="text1"/>
                <w:spacing w:val="0"/>
                <w:sz w:val="24"/>
                <w:szCs w:val="24"/>
                <w:highlight w:val="none"/>
                <w14:textFill>
                  <w14:solidFill>
                    <w14:schemeClr w14:val="tx1"/>
                  </w14:solidFill>
                </w14:textFill>
              </w:rPr>
              <w:t>本评价要求医疗废物采用专用的医废袋</w:t>
            </w:r>
            <w:r>
              <w:rPr>
                <w:rFonts w:hint="default" w:ascii="Times New Roman" w:hAnsi="Times New Roman" w:cs="Times New Roman"/>
                <w:b w:val="0"/>
                <w:bCs/>
                <w:color w:val="000000" w:themeColor="text1"/>
                <w:spacing w:val="0"/>
                <w:sz w:val="24"/>
                <w:szCs w:val="24"/>
                <w:highlight w:val="none"/>
                <w:lang w:eastAsia="zh-CN"/>
                <w14:textFill>
                  <w14:solidFill>
                    <w14:schemeClr w14:val="tx1"/>
                  </w14:solidFill>
                </w14:textFill>
              </w:rPr>
              <w:t>（</w:t>
            </w:r>
            <w:r>
              <w:rPr>
                <w:rFonts w:hint="default" w:ascii="Times New Roman" w:hAnsi="Times New Roman" w:cs="Times New Roman"/>
                <w:b w:val="0"/>
                <w:bCs/>
                <w:color w:val="000000" w:themeColor="text1"/>
                <w:spacing w:val="0"/>
                <w:sz w:val="24"/>
                <w:szCs w:val="24"/>
                <w:highlight w:val="none"/>
                <w14:textFill>
                  <w14:solidFill>
                    <w14:schemeClr w14:val="tx1"/>
                  </w14:solidFill>
                </w14:textFill>
              </w:rPr>
              <w:t>桶</w:t>
            </w:r>
            <w:r>
              <w:rPr>
                <w:rFonts w:hint="default" w:ascii="Times New Roman" w:hAnsi="Times New Roman" w:cs="Times New Roman"/>
                <w:b w:val="0"/>
                <w:bCs/>
                <w:color w:val="000000" w:themeColor="text1"/>
                <w:spacing w:val="0"/>
                <w:sz w:val="24"/>
                <w:szCs w:val="24"/>
                <w:highlight w:val="none"/>
                <w:lang w:eastAsia="zh-CN"/>
                <w14:textFill>
                  <w14:solidFill>
                    <w14:schemeClr w14:val="tx1"/>
                  </w14:solidFill>
                </w14:textFill>
              </w:rPr>
              <w:t>）</w:t>
            </w:r>
            <w:r>
              <w:rPr>
                <w:rFonts w:hint="default" w:ascii="Times New Roman" w:hAnsi="Times New Roman" w:cs="Times New Roman"/>
                <w:b w:val="0"/>
                <w:bCs/>
                <w:color w:val="000000" w:themeColor="text1"/>
                <w:spacing w:val="0"/>
                <w:sz w:val="24"/>
                <w:szCs w:val="24"/>
                <w:highlight w:val="none"/>
                <w14:textFill>
                  <w14:solidFill>
                    <w14:schemeClr w14:val="tx1"/>
                  </w14:solidFill>
                </w14:textFill>
              </w:rPr>
              <w:t>进行收集，当日无法清运则放置于医废间内，储存期不能超过两天。每天做好医疗废物的密封、清运和消毒工作，同时加强医疗废物管理，做好暂存间的地面防渗处理，做好暂存间的防鼠、防蚊蝇等措施，定期进行危废暂存间存储设施、设备的清洁和消毒工作</w:t>
            </w:r>
            <w:r>
              <w:rPr>
                <w:rFonts w:hint="default" w:ascii="Times New Roman" w:hAnsi="Times New Roman" w:cs="Times New Roman"/>
                <w:b w:val="0"/>
                <w:bCs/>
                <w:color w:val="000000" w:themeColor="text1"/>
                <w:spacing w:val="0"/>
                <w:sz w:val="24"/>
                <w:szCs w:val="24"/>
                <w:highlight w:val="none"/>
                <w:lang w:eastAsia="zh-CN"/>
                <w14:textFill>
                  <w14:solidFill>
                    <w14:schemeClr w14:val="tx1"/>
                  </w14:solidFill>
                </w14:textFill>
              </w:rPr>
              <w:t>（</w:t>
            </w:r>
            <w:r>
              <w:rPr>
                <w:rFonts w:hint="default" w:ascii="Times New Roman" w:hAnsi="Times New Roman" w:cs="Times New Roman"/>
                <w:b w:val="0"/>
                <w:bCs/>
                <w:color w:val="000000" w:themeColor="text1"/>
                <w:spacing w:val="0"/>
                <w:sz w:val="24"/>
                <w:szCs w:val="24"/>
                <w:highlight w:val="none"/>
                <w14:textFill>
                  <w14:solidFill>
                    <w14:schemeClr w14:val="tx1"/>
                  </w14:solidFill>
                </w14:textFill>
              </w:rPr>
              <w:t>消毒方式为喷洒消毒剂消毒</w:t>
            </w:r>
            <w:r>
              <w:rPr>
                <w:rFonts w:hint="default" w:ascii="Times New Roman" w:hAnsi="Times New Roman" w:cs="Times New Roman"/>
                <w:b w:val="0"/>
                <w:bCs/>
                <w:color w:val="000000" w:themeColor="text1"/>
                <w:spacing w:val="0"/>
                <w:sz w:val="24"/>
                <w:szCs w:val="24"/>
                <w:highlight w:val="none"/>
                <w:lang w:eastAsia="zh-CN"/>
                <w14:textFill>
                  <w14:solidFill>
                    <w14:schemeClr w14:val="tx1"/>
                  </w14:solidFill>
                </w14:textFill>
              </w:rPr>
              <w:t>）</w:t>
            </w:r>
            <w:r>
              <w:rPr>
                <w:rFonts w:hint="default" w:ascii="Times New Roman" w:hAnsi="Times New Roman" w:cs="Times New Roman"/>
                <w:b w:val="0"/>
                <w:bCs/>
                <w:color w:val="000000" w:themeColor="text1"/>
                <w:spacing w:val="0"/>
                <w:sz w:val="24"/>
                <w:szCs w:val="24"/>
                <w:highlight w:val="none"/>
                <w14:textFill>
                  <w14:solidFill>
                    <w14:schemeClr w14:val="tx1"/>
                  </w14:solidFill>
                </w14:textFill>
              </w:rPr>
              <w:t>。</w:t>
            </w:r>
          </w:p>
          <w:p w14:paraId="48577C8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color w:val="000000" w:themeColor="text1"/>
                <w:spacing w:val="0"/>
                <w:sz w:val="24"/>
                <w:szCs w:val="24"/>
                <w:highlight w:val="none"/>
                <w14:textFill>
                  <w14:solidFill>
                    <w14:schemeClr w14:val="tx1"/>
                  </w14:solidFill>
                </w14:textFill>
              </w:rPr>
            </w:pPr>
            <w:r>
              <w:rPr>
                <w:rFonts w:hint="default" w:ascii="Times New Roman" w:hAnsi="Times New Roman" w:cs="Times New Roman"/>
                <w:b w:val="0"/>
                <w:bCs/>
                <w:color w:val="000000" w:themeColor="text1"/>
                <w:spacing w:val="0"/>
                <w:sz w:val="24"/>
                <w:szCs w:val="24"/>
                <w:highlight w:val="none"/>
                <w:lang w:eastAsia="zh-CN"/>
                <w14:textFill>
                  <w14:solidFill>
                    <w14:schemeClr w14:val="tx1"/>
                  </w14:solidFill>
                </w14:textFill>
              </w:rPr>
              <w:t>（</w:t>
            </w:r>
            <w:r>
              <w:rPr>
                <w:rFonts w:hint="default" w:ascii="Times New Roman" w:hAnsi="Times New Roman" w:cs="Times New Roman"/>
                <w:b w:val="0"/>
                <w:bCs/>
                <w:color w:val="000000" w:themeColor="text1"/>
                <w:spacing w:val="0"/>
                <w:sz w:val="24"/>
                <w:szCs w:val="24"/>
                <w:highlight w:val="none"/>
                <w:lang w:val="en-US" w:eastAsia="zh-CN"/>
                <w14:textFill>
                  <w14:solidFill>
                    <w14:schemeClr w14:val="tx1"/>
                  </w14:solidFill>
                </w14:textFill>
              </w:rPr>
              <w:t>3</w:t>
            </w:r>
            <w:r>
              <w:rPr>
                <w:rFonts w:hint="default" w:ascii="Times New Roman" w:hAnsi="Times New Roman" w:cs="Times New Roman"/>
                <w:b w:val="0"/>
                <w:bCs/>
                <w:color w:val="000000" w:themeColor="text1"/>
                <w:spacing w:val="0"/>
                <w:sz w:val="24"/>
                <w:szCs w:val="24"/>
                <w:highlight w:val="none"/>
                <w:lang w:eastAsia="zh-CN"/>
                <w14:textFill>
                  <w14:solidFill>
                    <w14:schemeClr w14:val="tx1"/>
                  </w14:solidFill>
                </w14:textFill>
              </w:rPr>
              <w:t>）</w:t>
            </w:r>
            <w:r>
              <w:rPr>
                <w:rFonts w:hint="default" w:ascii="Times New Roman" w:hAnsi="Times New Roman" w:cs="Times New Roman"/>
                <w:b w:val="0"/>
                <w:bCs/>
                <w:color w:val="000000" w:themeColor="text1"/>
                <w:spacing w:val="0"/>
                <w:sz w:val="24"/>
                <w:szCs w:val="24"/>
                <w:highlight w:val="none"/>
                <w14:textFill>
                  <w14:solidFill>
                    <w14:schemeClr w14:val="tx1"/>
                  </w14:solidFill>
                </w14:textFill>
              </w:rPr>
              <w:t>酒精挥发产生的废气</w:t>
            </w:r>
          </w:p>
          <w:p w14:paraId="056F1DC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color w:val="000000" w:themeColor="text1"/>
                <w:spacing w:val="0"/>
                <w:sz w:val="24"/>
                <w:szCs w:val="24"/>
                <w:highlight w:val="none"/>
                <w14:textFill>
                  <w14:solidFill>
                    <w14:schemeClr w14:val="tx1"/>
                  </w14:solidFill>
                </w14:textFill>
              </w:rPr>
            </w:pPr>
            <w:r>
              <w:rPr>
                <w:rFonts w:hint="default" w:ascii="Times New Roman" w:hAnsi="Times New Roman" w:cs="Times New Roman"/>
                <w:b w:val="0"/>
                <w:bCs/>
                <w:color w:val="000000" w:themeColor="text1"/>
                <w:spacing w:val="0"/>
                <w:sz w:val="24"/>
                <w:szCs w:val="24"/>
                <w:highlight w:val="none"/>
                <w14:textFill>
                  <w14:solidFill>
                    <w14:schemeClr w14:val="tx1"/>
                  </w14:solidFill>
                </w14:textFill>
              </w:rPr>
              <w:t>项目在诊疗过程中会使用酒精进行消毒，该过程会产生少量的有机废气，本次评价以非甲烷总烃计。非甲烷总烃产生量很小通过加强通风，对环境影响较小。</w:t>
            </w:r>
          </w:p>
          <w:p w14:paraId="180136D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color w:val="auto"/>
                <w:spacing w:val="0"/>
                <w:sz w:val="24"/>
                <w:szCs w:val="24"/>
                <w:highlight w:val="none"/>
              </w:rPr>
            </w:pPr>
            <w:r>
              <w:rPr>
                <w:rFonts w:hint="default" w:ascii="Times New Roman" w:hAnsi="Times New Roman" w:cs="Times New Roman"/>
                <w:b w:val="0"/>
                <w:bCs/>
                <w:color w:val="auto"/>
                <w:spacing w:val="0"/>
                <w:sz w:val="24"/>
                <w:szCs w:val="24"/>
                <w:highlight w:val="none"/>
                <w:lang w:eastAsia="zh-CN"/>
              </w:rPr>
              <w:t>（</w:t>
            </w:r>
            <w:r>
              <w:rPr>
                <w:rFonts w:hint="default" w:ascii="Times New Roman" w:hAnsi="Times New Roman" w:cs="Times New Roman"/>
                <w:b w:val="0"/>
                <w:bCs/>
                <w:color w:val="auto"/>
                <w:spacing w:val="0"/>
                <w:sz w:val="24"/>
                <w:szCs w:val="24"/>
                <w:highlight w:val="none"/>
                <w:lang w:val="en-US" w:eastAsia="zh-CN"/>
              </w:rPr>
              <w:t>4</w:t>
            </w:r>
            <w:r>
              <w:rPr>
                <w:rFonts w:hint="default" w:ascii="Times New Roman" w:hAnsi="Times New Roman" w:cs="Times New Roman"/>
                <w:b w:val="0"/>
                <w:bCs/>
                <w:color w:val="auto"/>
                <w:spacing w:val="0"/>
                <w:sz w:val="24"/>
                <w:szCs w:val="24"/>
                <w:highlight w:val="none"/>
                <w:lang w:eastAsia="zh-CN"/>
              </w:rPr>
              <w:t>）</w:t>
            </w:r>
            <w:r>
              <w:rPr>
                <w:rFonts w:hint="eastAsia" w:cs="Times New Roman"/>
                <w:b w:val="0"/>
                <w:bCs/>
                <w:color w:val="auto"/>
                <w:spacing w:val="0"/>
                <w:sz w:val="24"/>
                <w:szCs w:val="24"/>
                <w:highlight w:val="none"/>
                <w:lang w:eastAsia="zh-CN"/>
              </w:rPr>
              <w:t>消毒设施</w:t>
            </w:r>
            <w:r>
              <w:rPr>
                <w:rFonts w:hint="default" w:ascii="Times New Roman" w:hAnsi="Times New Roman" w:cs="Times New Roman"/>
                <w:b w:val="0"/>
                <w:bCs/>
                <w:color w:val="auto"/>
                <w:spacing w:val="0"/>
                <w:sz w:val="24"/>
                <w:szCs w:val="24"/>
                <w:highlight w:val="none"/>
              </w:rPr>
              <w:t>异味</w:t>
            </w:r>
          </w:p>
          <w:p w14:paraId="6510C7C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color w:val="auto"/>
                <w:spacing w:val="0"/>
                <w:sz w:val="24"/>
                <w:szCs w:val="24"/>
                <w:highlight w:val="none"/>
              </w:rPr>
            </w:pPr>
            <w:r>
              <w:rPr>
                <w:rFonts w:hint="default" w:ascii="Times New Roman" w:hAnsi="Times New Roman" w:cs="Times New Roman"/>
                <w:b w:val="0"/>
                <w:bCs/>
                <w:color w:val="auto"/>
                <w:spacing w:val="0"/>
                <w:sz w:val="24"/>
                <w:szCs w:val="24"/>
                <w:highlight w:val="none"/>
              </w:rPr>
              <w:t>项目医疗废水采用</w:t>
            </w:r>
            <w:r>
              <w:rPr>
                <w:rFonts w:hint="eastAsia" w:cs="Times New Roman"/>
                <w:b w:val="0"/>
                <w:bCs/>
                <w:color w:val="auto"/>
                <w:spacing w:val="0"/>
                <w:sz w:val="24"/>
                <w:szCs w:val="24"/>
                <w:highlight w:val="none"/>
                <w:lang w:eastAsia="zh-CN"/>
              </w:rPr>
              <w:t>消毒设施</w:t>
            </w:r>
            <w:r>
              <w:rPr>
                <w:rFonts w:hint="default" w:ascii="Times New Roman" w:hAnsi="Times New Roman" w:cs="Times New Roman"/>
                <w:b w:val="0"/>
                <w:bCs/>
                <w:color w:val="auto"/>
                <w:spacing w:val="0"/>
                <w:sz w:val="24"/>
                <w:szCs w:val="24"/>
                <w:highlight w:val="none"/>
              </w:rPr>
              <w:t>处理，废水采用消毒</w:t>
            </w:r>
            <w:r>
              <w:rPr>
                <w:rFonts w:hint="default" w:ascii="Times New Roman" w:hAnsi="Times New Roman" w:cs="Times New Roman"/>
                <w:b w:val="0"/>
                <w:bCs/>
                <w:color w:val="auto"/>
                <w:spacing w:val="0"/>
                <w:sz w:val="24"/>
                <w:szCs w:val="24"/>
                <w:highlight w:val="none"/>
                <w:lang w:eastAsia="zh-CN"/>
              </w:rPr>
              <w:t>（</w:t>
            </w:r>
            <w:r>
              <w:rPr>
                <w:rFonts w:hint="eastAsia" w:cs="Times New Roman"/>
                <w:b w:val="0"/>
                <w:bCs/>
                <w:color w:val="auto"/>
                <w:spacing w:val="0"/>
                <w:sz w:val="24"/>
                <w:szCs w:val="24"/>
                <w:highlight w:val="none"/>
                <w:lang w:val="en-US" w:eastAsia="zh-CN"/>
              </w:rPr>
              <w:t>二氧化氯</w:t>
            </w:r>
            <w:r>
              <w:rPr>
                <w:rFonts w:hint="default" w:ascii="Times New Roman" w:hAnsi="Times New Roman" w:cs="Times New Roman"/>
                <w:b w:val="0"/>
                <w:bCs/>
                <w:color w:val="auto"/>
                <w:spacing w:val="0"/>
                <w:sz w:val="24"/>
                <w:szCs w:val="24"/>
                <w:highlight w:val="none"/>
              </w:rPr>
              <w:t>消毒片</w:t>
            </w:r>
            <w:r>
              <w:rPr>
                <w:rFonts w:hint="eastAsia" w:cs="Times New Roman"/>
                <w:b w:val="0"/>
                <w:bCs/>
                <w:color w:val="auto"/>
                <w:spacing w:val="0"/>
                <w:sz w:val="24"/>
                <w:szCs w:val="24"/>
                <w:highlight w:val="none"/>
                <w:lang w:eastAsia="zh-CN"/>
              </w:rPr>
              <w:t>、</w:t>
            </w:r>
            <w:r>
              <w:rPr>
                <w:rFonts w:hint="eastAsia" w:ascii="Times New Roman" w:hAnsi="Times New Roman" w:eastAsia="宋体" w:cs="Times New Roman"/>
                <w:b w:val="0"/>
                <w:color w:val="auto"/>
                <w:sz w:val="24"/>
                <w:szCs w:val="24"/>
                <w:lang w:val="en-US" w:eastAsia="zh-CN" w:bidi="ar-SA"/>
              </w:rPr>
              <w:t>三氯异氰尿酸消毒片</w:t>
            </w:r>
            <w:r>
              <w:rPr>
                <w:rFonts w:hint="default" w:ascii="Times New Roman" w:hAnsi="Times New Roman" w:cs="Times New Roman"/>
                <w:b w:val="0"/>
                <w:bCs/>
                <w:color w:val="auto"/>
                <w:spacing w:val="0"/>
                <w:sz w:val="24"/>
                <w:szCs w:val="24"/>
                <w:highlight w:val="none"/>
                <w:lang w:eastAsia="zh-CN"/>
              </w:rPr>
              <w:t>）</w:t>
            </w:r>
            <w:r>
              <w:rPr>
                <w:rFonts w:hint="eastAsia" w:cs="Times New Roman"/>
                <w:b w:val="0"/>
                <w:bCs/>
                <w:color w:val="auto"/>
                <w:spacing w:val="0"/>
                <w:sz w:val="24"/>
                <w:szCs w:val="24"/>
                <w:highlight w:val="none"/>
                <w:lang w:val="en-US" w:eastAsia="zh-CN"/>
              </w:rPr>
              <w:t>工艺处理</w:t>
            </w:r>
            <w:r>
              <w:rPr>
                <w:rFonts w:hint="default" w:ascii="Times New Roman" w:hAnsi="Times New Roman" w:cs="Times New Roman"/>
                <w:b w:val="0"/>
                <w:bCs/>
                <w:color w:val="auto"/>
                <w:spacing w:val="0"/>
                <w:sz w:val="24"/>
                <w:szCs w:val="24"/>
                <w:highlight w:val="none"/>
              </w:rPr>
              <w:t>。项目设置</w:t>
            </w:r>
            <w:r>
              <w:rPr>
                <w:rFonts w:hint="eastAsia" w:cs="Times New Roman"/>
                <w:b w:val="0"/>
                <w:bCs/>
                <w:color w:val="auto"/>
                <w:spacing w:val="0"/>
                <w:sz w:val="24"/>
                <w:szCs w:val="24"/>
                <w:highlight w:val="none"/>
                <w:lang w:val="en-US" w:eastAsia="zh-CN"/>
              </w:rPr>
              <w:t>有2</w:t>
            </w:r>
            <w:r>
              <w:rPr>
                <w:rFonts w:hint="default" w:ascii="Times New Roman" w:hAnsi="Times New Roman" w:cs="Times New Roman"/>
                <w:b w:val="0"/>
                <w:bCs/>
                <w:color w:val="auto"/>
                <w:spacing w:val="0"/>
                <w:sz w:val="24"/>
                <w:szCs w:val="24"/>
                <w:highlight w:val="none"/>
              </w:rPr>
              <w:t>台</w:t>
            </w:r>
            <w:r>
              <w:rPr>
                <w:rFonts w:hint="eastAsia" w:cs="Times New Roman"/>
                <w:b w:val="0"/>
                <w:bCs/>
                <w:color w:val="auto"/>
                <w:spacing w:val="0"/>
                <w:sz w:val="24"/>
                <w:szCs w:val="24"/>
                <w:highlight w:val="none"/>
                <w:lang w:eastAsia="zh-CN"/>
              </w:rPr>
              <w:t>消毒设施</w:t>
            </w:r>
            <w:r>
              <w:rPr>
                <w:rFonts w:hint="default" w:ascii="Times New Roman" w:hAnsi="Times New Roman" w:cs="Times New Roman"/>
                <w:b w:val="0"/>
                <w:bCs/>
                <w:color w:val="auto"/>
                <w:spacing w:val="0"/>
                <w:sz w:val="24"/>
                <w:szCs w:val="24"/>
                <w:highlight w:val="none"/>
              </w:rPr>
              <w:t>，</w:t>
            </w:r>
            <w:r>
              <w:rPr>
                <w:rFonts w:hint="eastAsia" w:cs="Times New Roman"/>
                <w:b w:val="0"/>
                <w:bCs/>
                <w:color w:val="auto"/>
                <w:spacing w:val="0"/>
                <w:sz w:val="24"/>
                <w:szCs w:val="24"/>
                <w:highlight w:val="none"/>
                <w:lang w:val="en-US" w:eastAsia="zh-CN"/>
              </w:rPr>
              <w:t>分别</w:t>
            </w:r>
            <w:r>
              <w:rPr>
                <w:rFonts w:hint="default" w:ascii="Times New Roman" w:hAnsi="Times New Roman" w:cs="Times New Roman"/>
                <w:b w:val="0"/>
                <w:bCs/>
                <w:color w:val="auto"/>
                <w:spacing w:val="0"/>
                <w:sz w:val="24"/>
                <w:szCs w:val="24"/>
                <w:highlight w:val="none"/>
              </w:rPr>
              <w:t>位于</w:t>
            </w:r>
            <w:r>
              <w:rPr>
                <w:rFonts w:hint="eastAsia" w:cs="Times New Roman"/>
                <w:b w:val="0"/>
                <w:bCs/>
                <w:color w:val="auto"/>
                <w:spacing w:val="0"/>
                <w:sz w:val="24"/>
                <w:szCs w:val="24"/>
                <w:highlight w:val="none"/>
                <w:lang w:val="en-US" w:eastAsia="zh-CN"/>
              </w:rPr>
              <w:t>中央处置台下方、手术室洗手台下方</w:t>
            </w:r>
            <w:r>
              <w:rPr>
                <w:rFonts w:hint="default" w:ascii="Times New Roman" w:hAnsi="Times New Roman" w:cs="Times New Roman"/>
                <w:b w:val="0"/>
                <w:bCs/>
                <w:color w:val="auto"/>
                <w:spacing w:val="0"/>
                <w:sz w:val="24"/>
                <w:szCs w:val="24"/>
                <w:highlight w:val="none"/>
              </w:rPr>
              <w:t>，</w:t>
            </w:r>
            <w:r>
              <w:rPr>
                <w:rFonts w:hint="eastAsia" w:cs="Times New Roman"/>
                <w:b w:val="0"/>
                <w:bCs/>
                <w:color w:val="auto"/>
                <w:spacing w:val="0"/>
                <w:sz w:val="24"/>
                <w:szCs w:val="24"/>
                <w:highlight w:val="none"/>
                <w:lang w:val="en-US" w:eastAsia="zh-CN"/>
              </w:rPr>
              <w:t>均</w:t>
            </w:r>
            <w:r>
              <w:rPr>
                <w:rFonts w:hint="default" w:ascii="Times New Roman" w:hAnsi="Times New Roman" w:cs="Times New Roman"/>
                <w:b w:val="0"/>
                <w:bCs/>
                <w:color w:val="auto"/>
                <w:spacing w:val="0"/>
                <w:sz w:val="24"/>
                <w:szCs w:val="24"/>
                <w:highlight w:val="none"/>
              </w:rPr>
              <w:t>位于室内。医疗废水在</w:t>
            </w:r>
            <w:r>
              <w:rPr>
                <w:rFonts w:hint="eastAsia" w:cs="Times New Roman"/>
                <w:b w:val="0"/>
                <w:bCs/>
                <w:color w:val="auto"/>
                <w:spacing w:val="0"/>
                <w:sz w:val="24"/>
                <w:szCs w:val="24"/>
                <w:highlight w:val="none"/>
                <w:lang w:eastAsia="zh-CN"/>
              </w:rPr>
              <w:t>消毒设施</w:t>
            </w:r>
            <w:r>
              <w:rPr>
                <w:rFonts w:hint="default" w:ascii="Times New Roman" w:hAnsi="Times New Roman" w:cs="Times New Roman"/>
                <w:b w:val="0"/>
                <w:bCs/>
                <w:color w:val="auto"/>
                <w:spacing w:val="0"/>
                <w:sz w:val="24"/>
                <w:szCs w:val="24"/>
                <w:highlight w:val="none"/>
              </w:rPr>
              <w:t>内停留时间较短，且</w:t>
            </w:r>
            <w:r>
              <w:rPr>
                <w:rFonts w:hint="eastAsia" w:cs="Times New Roman"/>
                <w:b w:val="0"/>
                <w:bCs/>
                <w:color w:val="auto"/>
                <w:spacing w:val="0"/>
                <w:sz w:val="24"/>
                <w:szCs w:val="24"/>
                <w:highlight w:val="none"/>
                <w:lang w:eastAsia="zh-CN"/>
              </w:rPr>
              <w:t>消毒设施</w:t>
            </w:r>
            <w:r>
              <w:rPr>
                <w:rFonts w:hint="default" w:ascii="Times New Roman" w:hAnsi="Times New Roman" w:cs="Times New Roman"/>
                <w:b w:val="0"/>
                <w:bCs/>
                <w:color w:val="auto"/>
                <w:spacing w:val="0"/>
                <w:sz w:val="24"/>
                <w:szCs w:val="24"/>
                <w:highlight w:val="none"/>
              </w:rPr>
              <w:t>密闭，则产生异味强度较小，因此不会对周边环境产生影响。本评价要求建设单位加强管理，确保</w:t>
            </w:r>
            <w:r>
              <w:rPr>
                <w:rFonts w:hint="eastAsia" w:cs="Times New Roman"/>
                <w:b w:val="0"/>
                <w:bCs/>
                <w:color w:val="auto"/>
                <w:spacing w:val="0"/>
                <w:sz w:val="24"/>
                <w:szCs w:val="24"/>
                <w:highlight w:val="none"/>
                <w:lang w:eastAsia="zh-CN"/>
              </w:rPr>
              <w:t>消毒设施</w:t>
            </w:r>
            <w:r>
              <w:rPr>
                <w:rFonts w:hint="default" w:ascii="Times New Roman" w:hAnsi="Times New Roman" w:cs="Times New Roman"/>
                <w:b w:val="0"/>
                <w:bCs/>
                <w:color w:val="auto"/>
                <w:spacing w:val="0"/>
                <w:sz w:val="24"/>
                <w:szCs w:val="24"/>
                <w:highlight w:val="none"/>
              </w:rPr>
              <w:t>异味不扰民。</w:t>
            </w:r>
          </w:p>
          <w:p w14:paraId="181E8B5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color w:val="auto"/>
                <w:spacing w:val="0"/>
                <w:sz w:val="24"/>
                <w:szCs w:val="24"/>
                <w:highlight w:val="none"/>
                <w:lang w:val="en-US" w:eastAsia="zh-CN"/>
              </w:rPr>
            </w:pPr>
            <w:r>
              <w:rPr>
                <w:rFonts w:hint="default" w:ascii="Times New Roman" w:hAnsi="Times New Roman" w:cs="Times New Roman"/>
                <w:b w:val="0"/>
                <w:bCs/>
                <w:color w:val="auto"/>
                <w:spacing w:val="0"/>
                <w:sz w:val="24"/>
                <w:szCs w:val="24"/>
                <w:highlight w:val="none"/>
              </w:rPr>
              <w:t>综上所述，项目营运期室内空气经过</w:t>
            </w:r>
            <w:r>
              <w:rPr>
                <w:rFonts w:hint="eastAsia" w:cs="Times New Roman"/>
                <w:b w:val="0"/>
                <w:bCs/>
                <w:color w:val="auto"/>
                <w:spacing w:val="0"/>
                <w:sz w:val="24"/>
                <w:szCs w:val="24"/>
                <w:highlight w:val="none"/>
                <w:lang w:val="en-US" w:eastAsia="zh-CN"/>
              </w:rPr>
              <w:t>换气扇及</w:t>
            </w:r>
            <w:r>
              <w:rPr>
                <w:rFonts w:hint="default" w:ascii="Times New Roman" w:hAnsi="Times New Roman" w:cs="Times New Roman"/>
                <w:b w:val="0"/>
                <w:bCs/>
                <w:color w:val="auto"/>
                <w:spacing w:val="0"/>
                <w:sz w:val="24"/>
                <w:szCs w:val="24"/>
                <w:highlight w:val="none"/>
              </w:rPr>
              <w:t>空调系统加强通风、按时进行紫外线消毒后，能有效降低空气中的异味，对周围环境影响较小。</w:t>
            </w:r>
          </w:p>
          <w:p w14:paraId="10DCAC02">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cs="Times New Roman"/>
                <w:b/>
                <w:bCs w:val="0"/>
                <w:color w:val="000000" w:themeColor="text1"/>
                <w:spacing w:val="0"/>
                <w:sz w:val="24"/>
                <w:szCs w:val="24"/>
                <w:highlight w:val="none"/>
                <w14:textFill>
                  <w14:solidFill>
                    <w14:schemeClr w14:val="tx1"/>
                  </w14:solidFill>
                </w14:textFill>
              </w:rPr>
            </w:pPr>
            <w:r>
              <w:rPr>
                <w:rFonts w:hint="default" w:ascii="Times New Roman" w:hAnsi="Times New Roman" w:cs="Times New Roman"/>
                <w:b/>
                <w:bCs w:val="0"/>
                <w:color w:val="000000" w:themeColor="text1"/>
                <w:spacing w:val="0"/>
                <w:sz w:val="24"/>
                <w:szCs w:val="24"/>
                <w:highlight w:val="none"/>
                <w14:textFill>
                  <w14:solidFill>
                    <w14:schemeClr w14:val="tx1"/>
                  </w14:solidFill>
                </w14:textFill>
              </w:rPr>
              <w:t>4.2.2 废水环境影响及保护措施</w:t>
            </w:r>
          </w:p>
          <w:p w14:paraId="020CCDF5">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cs="Times New Roman"/>
                <w:b/>
                <w:bCs w:val="0"/>
                <w:color w:val="000000" w:themeColor="text1"/>
                <w:spacing w:val="0"/>
                <w:sz w:val="24"/>
                <w:szCs w:val="24"/>
                <w:highlight w:val="none"/>
                <w14:textFill>
                  <w14:solidFill>
                    <w14:schemeClr w14:val="tx1"/>
                  </w14:solidFill>
                </w14:textFill>
              </w:rPr>
            </w:pPr>
            <w:r>
              <w:rPr>
                <w:rFonts w:hint="default" w:ascii="Times New Roman" w:hAnsi="Times New Roman" w:cs="Times New Roman"/>
                <w:b/>
                <w:bCs w:val="0"/>
                <w:color w:val="000000" w:themeColor="text1"/>
                <w:spacing w:val="0"/>
                <w:sz w:val="24"/>
                <w:szCs w:val="24"/>
                <w:highlight w:val="none"/>
                <w14:textFill>
                  <w14:solidFill>
                    <w14:schemeClr w14:val="tx1"/>
                  </w14:solidFill>
                </w14:textFill>
              </w:rPr>
              <w:t>4.2.2.1 废水产生源强</w:t>
            </w:r>
          </w:p>
          <w:p w14:paraId="3C0991E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color w:val="auto"/>
                <w:spacing w:val="0"/>
                <w:sz w:val="24"/>
                <w:szCs w:val="24"/>
                <w:highlight w:val="none"/>
                <w:lang w:val="en-US" w:eastAsia="zh-CN"/>
              </w:rPr>
            </w:pPr>
            <w:r>
              <w:rPr>
                <w:rFonts w:hint="eastAsia" w:ascii="Times New Roman" w:hAnsi="Times New Roman" w:eastAsia="宋体" w:cs="Times New Roman"/>
                <w:b w:val="0"/>
                <w:bCs/>
                <w:color w:val="auto"/>
                <w:spacing w:val="0"/>
                <w:sz w:val="24"/>
                <w:szCs w:val="24"/>
                <w:highlight w:val="none"/>
                <w:lang w:val="en-US" w:eastAsia="zh-CN"/>
              </w:rPr>
              <w:t>本项目</w:t>
            </w:r>
            <w:r>
              <w:rPr>
                <w:rFonts w:hint="default" w:ascii="Times New Roman" w:hAnsi="Times New Roman" w:cs="Times New Roman"/>
                <w:b w:val="0"/>
                <w:bCs/>
                <w:color w:val="auto"/>
                <w:spacing w:val="0"/>
                <w:sz w:val="24"/>
                <w:szCs w:val="24"/>
                <w:highlight w:val="none"/>
              </w:rPr>
              <w:t>设置</w:t>
            </w:r>
            <w:r>
              <w:rPr>
                <w:rFonts w:hint="eastAsia" w:cs="Times New Roman"/>
                <w:b w:val="0"/>
                <w:bCs/>
                <w:color w:val="auto"/>
                <w:spacing w:val="0"/>
                <w:sz w:val="24"/>
                <w:szCs w:val="24"/>
                <w:highlight w:val="none"/>
                <w:lang w:val="en-US" w:eastAsia="zh-CN"/>
              </w:rPr>
              <w:t>有2</w:t>
            </w:r>
            <w:r>
              <w:rPr>
                <w:rFonts w:hint="default" w:ascii="Times New Roman" w:hAnsi="Times New Roman" w:cs="Times New Roman"/>
                <w:b w:val="0"/>
                <w:bCs/>
                <w:color w:val="auto"/>
                <w:spacing w:val="0"/>
                <w:sz w:val="24"/>
                <w:szCs w:val="24"/>
                <w:highlight w:val="none"/>
              </w:rPr>
              <w:t>台</w:t>
            </w:r>
            <w:r>
              <w:rPr>
                <w:rFonts w:hint="eastAsia" w:cs="Times New Roman"/>
                <w:b w:val="0"/>
                <w:bCs/>
                <w:color w:val="auto"/>
                <w:spacing w:val="0"/>
                <w:sz w:val="24"/>
                <w:szCs w:val="24"/>
                <w:highlight w:val="none"/>
                <w:lang w:eastAsia="zh-CN"/>
              </w:rPr>
              <w:t>消毒设施</w:t>
            </w:r>
            <w:r>
              <w:rPr>
                <w:rFonts w:hint="default" w:ascii="Times New Roman" w:hAnsi="Times New Roman" w:cs="Times New Roman"/>
                <w:b w:val="0"/>
                <w:bCs/>
                <w:color w:val="auto"/>
                <w:spacing w:val="0"/>
                <w:sz w:val="24"/>
                <w:szCs w:val="24"/>
                <w:highlight w:val="none"/>
              </w:rPr>
              <w:t>，</w:t>
            </w:r>
            <w:r>
              <w:rPr>
                <w:rFonts w:hint="eastAsia" w:cs="Times New Roman"/>
                <w:b w:val="0"/>
                <w:bCs/>
                <w:color w:val="auto"/>
                <w:spacing w:val="0"/>
                <w:sz w:val="24"/>
                <w:szCs w:val="24"/>
                <w:highlight w:val="none"/>
                <w:lang w:val="en-US" w:eastAsia="zh-CN"/>
              </w:rPr>
              <w:t>分别</w:t>
            </w:r>
            <w:r>
              <w:rPr>
                <w:rFonts w:hint="default" w:ascii="Times New Roman" w:hAnsi="Times New Roman" w:cs="Times New Roman"/>
                <w:b w:val="0"/>
                <w:bCs/>
                <w:color w:val="auto"/>
                <w:spacing w:val="0"/>
                <w:sz w:val="24"/>
                <w:szCs w:val="24"/>
                <w:highlight w:val="none"/>
              </w:rPr>
              <w:t>位于</w:t>
            </w:r>
            <w:r>
              <w:rPr>
                <w:rFonts w:hint="eastAsia" w:cs="Times New Roman"/>
                <w:b w:val="0"/>
                <w:bCs/>
                <w:color w:val="auto"/>
                <w:spacing w:val="0"/>
                <w:sz w:val="24"/>
                <w:szCs w:val="24"/>
                <w:highlight w:val="none"/>
                <w:lang w:val="en-US" w:eastAsia="zh-CN"/>
              </w:rPr>
              <w:t>中央处置台下方、手术室洗手台下方，宠物笼清洗在中央处置台进行</w:t>
            </w:r>
            <w:r>
              <w:rPr>
                <w:rFonts w:hint="eastAsia" w:ascii="Times New Roman" w:hAnsi="Times New Roman" w:eastAsia="宋体" w:cs="Times New Roman"/>
                <w:b w:val="0"/>
                <w:bCs/>
                <w:color w:val="auto"/>
                <w:spacing w:val="0"/>
                <w:sz w:val="24"/>
                <w:szCs w:val="24"/>
                <w:highlight w:val="none"/>
                <w:lang w:val="en-US" w:eastAsia="zh-CN"/>
              </w:rPr>
              <w:t>。</w:t>
            </w:r>
          </w:p>
          <w:p w14:paraId="282B212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color w:val="000000" w:themeColor="text1"/>
                <w:spacing w:val="0"/>
                <w:sz w:val="24"/>
                <w:szCs w:val="24"/>
                <w:highlight w:val="none"/>
                <w14:textFill>
                  <w14:solidFill>
                    <w14:schemeClr w14:val="tx1"/>
                  </w14:solidFill>
                </w14:textFill>
              </w:rPr>
            </w:pPr>
            <w:r>
              <w:rPr>
                <w:rFonts w:hint="default" w:ascii="Times New Roman" w:hAnsi="Times New Roman" w:cs="Times New Roman"/>
                <w:b w:val="0"/>
                <w:bCs/>
                <w:color w:val="auto"/>
                <w:spacing w:val="0"/>
                <w:sz w:val="24"/>
                <w:szCs w:val="24"/>
                <w:highlight w:val="none"/>
              </w:rPr>
              <w:t>项目营运期废水主要是生活污水、医疗废水及</w:t>
            </w:r>
            <w:r>
              <w:rPr>
                <w:rFonts w:hint="eastAsia" w:ascii="Times New Roman" w:hAnsi="Times New Roman" w:cs="Times New Roman"/>
                <w:b w:val="0"/>
                <w:bCs/>
                <w:color w:val="auto"/>
                <w:spacing w:val="0"/>
                <w:sz w:val="24"/>
                <w:szCs w:val="24"/>
                <w:highlight w:val="none"/>
                <w:lang w:val="en-US" w:eastAsia="zh-CN"/>
              </w:rPr>
              <w:t>其他废水</w:t>
            </w:r>
            <w:r>
              <w:rPr>
                <w:rFonts w:hint="default" w:ascii="Times New Roman" w:hAnsi="Times New Roman" w:cs="Times New Roman"/>
                <w:b w:val="0"/>
                <w:bCs/>
                <w:color w:val="auto"/>
                <w:spacing w:val="0"/>
                <w:sz w:val="24"/>
                <w:szCs w:val="24"/>
                <w:highlight w:val="none"/>
              </w:rPr>
              <w:t>。生活污水包括职工生活污水、流动顾客废水</w:t>
            </w:r>
            <w:r>
              <w:rPr>
                <w:rFonts w:hint="eastAsia" w:cs="Times New Roman"/>
                <w:b w:val="0"/>
                <w:bCs/>
                <w:color w:val="auto"/>
                <w:spacing w:val="0"/>
                <w:sz w:val="24"/>
                <w:szCs w:val="24"/>
                <w:highlight w:val="none"/>
                <w:lang w:eastAsia="zh-CN"/>
              </w:rPr>
              <w:t>；</w:t>
            </w:r>
            <w:r>
              <w:rPr>
                <w:rFonts w:hint="default" w:ascii="Times New Roman" w:hAnsi="Times New Roman" w:cs="Times New Roman"/>
                <w:b w:val="0"/>
                <w:bCs/>
                <w:color w:val="auto"/>
                <w:spacing w:val="0"/>
                <w:sz w:val="24"/>
                <w:szCs w:val="24"/>
                <w:highlight w:val="none"/>
              </w:rPr>
              <w:t>医疗废水包括</w:t>
            </w:r>
            <w:r>
              <w:rPr>
                <w:rFonts w:hint="eastAsia" w:cs="Times New Roman"/>
                <w:b w:val="0"/>
                <w:bCs/>
                <w:color w:val="auto"/>
                <w:spacing w:val="0"/>
                <w:sz w:val="24"/>
                <w:szCs w:val="24"/>
                <w:highlight w:val="none"/>
                <w:lang w:eastAsia="zh-CN"/>
              </w:rPr>
              <w:t>化验废水</w:t>
            </w:r>
            <w:r>
              <w:rPr>
                <w:rFonts w:hint="default" w:ascii="Times New Roman" w:hAnsi="Times New Roman" w:cs="Times New Roman"/>
                <w:b w:val="0"/>
                <w:bCs/>
                <w:color w:val="auto"/>
                <w:spacing w:val="0"/>
                <w:sz w:val="24"/>
                <w:szCs w:val="24"/>
                <w:highlight w:val="none"/>
              </w:rPr>
              <w:t>、宠物笼清洗废水、手术器械清洗废水</w:t>
            </w:r>
            <w:r>
              <w:rPr>
                <w:rFonts w:hint="eastAsia" w:cs="Times New Roman"/>
                <w:b w:val="0"/>
                <w:bCs/>
                <w:color w:val="auto"/>
                <w:spacing w:val="0"/>
                <w:sz w:val="24"/>
                <w:szCs w:val="24"/>
                <w:highlight w:val="none"/>
                <w:lang w:eastAsia="zh-CN"/>
              </w:rPr>
              <w:t>；</w:t>
            </w:r>
            <w:r>
              <w:rPr>
                <w:rFonts w:hint="eastAsia" w:ascii="Times New Roman" w:hAnsi="Times New Roman" w:cs="Times New Roman"/>
                <w:b w:val="0"/>
                <w:bCs/>
                <w:color w:val="auto"/>
                <w:spacing w:val="0"/>
                <w:sz w:val="24"/>
                <w:szCs w:val="24"/>
                <w:highlight w:val="none"/>
                <w:lang w:val="en-US" w:eastAsia="zh-CN"/>
              </w:rPr>
              <w:t>其他废水包括工服清洗废水、宠物毛毯清洗废水</w:t>
            </w:r>
            <w:r>
              <w:rPr>
                <w:rFonts w:hint="default" w:ascii="Times New Roman" w:hAnsi="Times New Roman" w:cs="Times New Roman"/>
                <w:b w:val="0"/>
                <w:bCs/>
                <w:color w:val="auto"/>
                <w:spacing w:val="0"/>
                <w:sz w:val="24"/>
                <w:szCs w:val="24"/>
                <w:highlight w:val="none"/>
              </w:rPr>
              <w:t>、地面清洁废水</w:t>
            </w:r>
            <w:r>
              <w:rPr>
                <w:rFonts w:hint="eastAsia" w:ascii="Times New Roman" w:hAnsi="Times New Roman" w:cs="Times New Roman"/>
                <w:b w:val="0"/>
                <w:bCs/>
                <w:color w:val="auto"/>
                <w:spacing w:val="0"/>
                <w:sz w:val="24"/>
                <w:szCs w:val="24"/>
                <w:highlight w:val="none"/>
                <w:lang w:val="en-US" w:eastAsia="zh-CN"/>
              </w:rPr>
              <w:t>及美容废水。</w:t>
            </w:r>
            <w:r>
              <w:rPr>
                <w:rFonts w:hint="default" w:ascii="Times New Roman" w:hAnsi="Times New Roman" w:cs="Times New Roman"/>
                <w:b w:val="0"/>
                <w:bCs/>
                <w:color w:val="000000" w:themeColor="text1"/>
                <w:spacing w:val="0"/>
                <w:sz w:val="24"/>
                <w:szCs w:val="24"/>
                <w:highlight w:val="none"/>
                <w14:textFill>
                  <w14:solidFill>
                    <w14:schemeClr w14:val="tx1"/>
                  </w14:solidFill>
                </w14:textFill>
              </w:rPr>
              <w:t>本项目医疗废水水质参照《医院污水处理工程技术规范》</w:t>
            </w:r>
            <w:r>
              <w:rPr>
                <w:rFonts w:hint="default" w:ascii="Times New Roman" w:hAnsi="Times New Roman" w:cs="Times New Roman"/>
                <w:b w:val="0"/>
                <w:bCs/>
                <w:color w:val="000000" w:themeColor="text1"/>
                <w:spacing w:val="0"/>
                <w:sz w:val="24"/>
                <w:szCs w:val="24"/>
                <w:highlight w:val="none"/>
                <w:lang w:eastAsia="zh-CN"/>
                <w14:textFill>
                  <w14:solidFill>
                    <w14:schemeClr w14:val="tx1"/>
                  </w14:solidFill>
                </w14:textFill>
              </w:rPr>
              <w:t>（</w:t>
            </w:r>
            <w:r>
              <w:rPr>
                <w:rFonts w:hint="default" w:ascii="Times New Roman" w:hAnsi="Times New Roman" w:cs="Times New Roman"/>
                <w:b w:val="0"/>
                <w:bCs/>
                <w:color w:val="000000" w:themeColor="text1"/>
                <w:spacing w:val="0"/>
                <w:sz w:val="24"/>
                <w:szCs w:val="24"/>
                <w:highlight w:val="none"/>
                <w14:textFill>
                  <w14:solidFill>
                    <w14:schemeClr w14:val="tx1"/>
                  </w14:solidFill>
                </w14:textFill>
              </w:rPr>
              <w:t>HJ2029-2013</w:t>
            </w:r>
            <w:r>
              <w:rPr>
                <w:rFonts w:hint="default" w:ascii="Times New Roman" w:hAnsi="Times New Roman" w:cs="Times New Roman"/>
                <w:b w:val="0"/>
                <w:bCs/>
                <w:color w:val="000000" w:themeColor="text1"/>
                <w:spacing w:val="0"/>
                <w:sz w:val="24"/>
                <w:szCs w:val="24"/>
                <w:highlight w:val="none"/>
                <w:lang w:eastAsia="zh-CN"/>
                <w14:textFill>
                  <w14:solidFill>
                    <w14:schemeClr w14:val="tx1"/>
                  </w14:solidFill>
                </w14:textFill>
              </w:rPr>
              <w:t>）</w:t>
            </w:r>
            <w:r>
              <w:rPr>
                <w:rFonts w:hint="default" w:ascii="Times New Roman" w:hAnsi="Times New Roman" w:cs="Times New Roman"/>
                <w:b w:val="0"/>
                <w:bCs/>
                <w:color w:val="000000" w:themeColor="text1"/>
                <w:spacing w:val="0"/>
                <w:sz w:val="24"/>
                <w:szCs w:val="24"/>
                <w:highlight w:val="none"/>
                <w14:textFill>
                  <w14:solidFill>
                    <w14:schemeClr w14:val="tx1"/>
                  </w14:solidFill>
                </w14:textFill>
              </w:rPr>
              <w:t>中经验数据进行分析。其中COD</w:t>
            </w:r>
            <w:r>
              <w:rPr>
                <w:rFonts w:hint="default" w:ascii="Times New Roman" w:hAnsi="Times New Roman" w:cs="Times New Roman"/>
                <w:b w:val="0"/>
                <w:bCs/>
                <w:color w:val="000000" w:themeColor="text1"/>
                <w:spacing w:val="0"/>
                <w:sz w:val="24"/>
                <w:szCs w:val="24"/>
                <w:highlight w:val="none"/>
                <w:lang w:eastAsia="zh-CN"/>
                <w14:textFill>
                  <w14:solidFill>
                    <w14:schemeClr w14:val="tx1"/>
                  </w14:solidFill>
                </w14:textFill>
              </w:rPr>
              <w:t>：</w:t>
            </w:r>
            <w:r>
              <w:rPr>
                <w:rFonts w:hint="default" w:ascii="Times New Roman" w:hAnsi="Times New Roman" w:cs="Times New Roman"/>
                <w:b w:val="0"/>
                <w:bCs/>
                <w:color w:val="000000" w:themeColor="text1"/>
                <w:spacing w:val="0"/>
                <w:sz w:val="24"/>
                <w:szCs w:val="24"/>
                <w:highlight w:val="none"/>
                <w14:textFill>
                  <w14:solidFill>
                    <w14:schemeClr w14:val="tx1"/>
                  </w14:solidFill>
                </w14:textFill>
              </w:rPr>
              <w:t>250mg</w:t>
            </w:r>
            <w:r>
              <w:rPr>
                <w:rFonts w:hint="eastAsia" w:ascii="Times New Roman" w:hAnsi="Times New Roman" w:cs="Times New Roman"/>
                <w:b w:val="0"/>
                <w:bCs/>
                <w:color w:val="000000" w:themeColor="text1"/>
                <w:spacing w:val="0"/>
                <w:sz w:val="24"/>
                <w:szCs w:val="24"/>
                <w:highlight w:val="none"/>
                <w:lang w:val="en-US" w:eastAsia="zh-CN"/>
                <w14:textFill>
                  <w14:solidFill>
                    <w14:schemeClr w14:val="tx1"/>
                  </w14:solidFill>
                </w14:textFill>
              </w:rPr>
              <w:t>/</w:t>
            </w:r>
            <w:r>
              <w:rPr>
                <w:rFonts w:hint="default" w:ascii="Times New Roman" w:hAnsi="Times New Roman" w:cs="Times New Roman"/>
                <w:b w:val="0"/>
                <w:bCs/>
                <w:color w:val="000000" w:themeColor="text1"/>
                <w:spacing w:val="0"/>
                <w:sz w:val="24"/>
                <w:szCs w:val="24"/>
                <w:highlight w:val="none"/>
                <w14:textFill>
                  <w14:solidFill>
                    <w14:schemeClr w14:val="tx1"/>
                  </w14:solidFill>
                </w14:textFill>
              </w:rPr>
              <w:t>L</w:t>
            </w:r>
            <w:r>
              <w:rPr>
                <w:rFonts w:hint="eastAsia" w:cs="Times New Roman"/>
                <w:b w:val="0"/>
                <w:bCs/>
                <w:color w:val="000000" w:themeColor="text1"/>
                <w:spacing w:val="0"/>
                <w:sz w:val="24"/>
                <w:szCs w:val="24"/>
                <w:highlight w:val="none"/>
                <w:lang w:eastAsia="zh-CN"/>
                <w14:textFill>
                  <w14:solidFill>
                    <w14:schemeClr w14:val="tx1"/>
                  </w14:solidFill>
                </w14:textFill>
              </w:rPr>
              <w:t>；</w:t>
            </w:r>
            <w:r>
              <w:rPr>
                <w:rFonts w:hint="default" w:ascii="Times New Roman" w:hAnsi="Times New Roman" w:cs="Times New Roman"/>
                <w:b w:val="0"/>
                <w:bCs/>
                <w:color w:val="000000" w:themeColor="text1"/>
                <w:spacing w:val="0"/>
                <w:sz w:val="24"/>
                <w:szCs w:val="24"/>
                <w:highlight w:val="none"/>
                <w14:textFill>
                  <w14:solidFill>
                    <w14:schemeClr w14:val="tx1"/>
                  </w14:solidFill>
                </w14:textFill>
              </w:rPr>
              <w:t>BOD</w:t>
            </w:r>
            <w:r>
              <w:rPr>
                <w:rFonts w:hint="eastAsia" w:ascii="Times New Roman" w:hAnsi="Times New Roman" w:cs="Times New Roman"/>
                <w:b w:val="0"/>
                <w:bCs/>
                <w:color w:val="000000" w:themeColor="text1"/>
                <w:spacing w:val="0"/>
                <w:sz w:val="24"/>
                <w:szCs w:val="24"/>
                <w:highlight w:val="none"/>
                <w:vertAlign w:val="subscript"/>
                <w:lang w:val="en-US" w:eastAsia="zh-CN"/>
                <w14:textFill>
                  <w14:solidFill>
                    <w14:schemeClr w14:val="tx1"/>
                  </w14:solidFill>
                </w14:textFill>
              </w:rPr>
              <w:t>5</w:t>
            </w:r>
            <w:r>
              <w:rPr>
                <w:rFonts w:hint="default" w:ascii="Times New Roman" w:hAnsi="Times New Roman" w:cs="Times New Roman"/>
                <w:b w:val="0"/>
                <w:bCs/>
                <w:color w:val="000000" w:themeColor="text1"/>
                <w:spacing w:val="0"/>
                <w:sz w:val="24"/>
                <w:szCs w:val="24"/>
                <w:highlight w:val="none"/>
                <w:lang w:eastAsia="zh-CN"/>
                <w14:textFill>
                  <w14:solidFill>
                    <w14:schemeClr w14:val="tx1"/>
                  </w14:solidFill>
                </w14:textFill>
              </w:rPr>
              <w:t>：</w:t>
            </w:r>
            <w:r>
              <w:rPr>
                <w:rFonts w:hint="default" w:ascii="Times New Roman" w:hAnsi="Times New Roman" w:cs="Times New Roman"/>
                <w:b w:val="0"/>
                <w:bCs/>
                <w:color w:val="000000" w:themeColor="text1"/>
                <w:spacing w:val="0"/>
                <w:sz w:val="24"/>
                <w:szCs w:val="24"/>
                <w:highlight w:val="none"/>
                <w14:textFill>
                  <w14:solidFill>
                    <w14:schemeClr w14:val="tx1"/>
                  </w14:solidFill>
                </w14:textFill>
              </w:rPr>
              <w:t>100mg</w:t>
            </w:r>
            <w:r>
              <w:rPr>
                <w:rFonts w:hint="eastAsia" w:ascii="Times New Roman" w:hAnsi="Times New Roman" w:cs="Times New Roman"/>
                <w:b w:val="0"/>
                <w:bCs/>
                <w:color w:val="000000" w:themeColor="text1"/>
                <w:spacing w:val="0"/>
                <w:sz w:val="24"/>
                <w:szCs w:val="24"/>
                <w:highlight w:val="none"/>
                <w:lang w:val="en-US" w:eastAsia="zh-CN"/>
                <w14:textFill>
                  <w14:solidFill>
                    <w14:schemeClr w14:val="tx1"/>
                  </w14:solidFill>
                </w14:textFill>
              </w:rPr>
              <w:t>/</w:t>
            </w:r>
            <w:r>
              <w:rPr>
                <w:rFonts w:hint="default" w:ascii="Times New Roman" w:hAnsi="Times New Roman" w:cs="Times New Roman"/>
                <w:b w:val="0"/>
                <w:bCs/>
                <w:color w:val="000000" w:themeColor="text1"/>
                <w:spacing w:val="0"/>
                <w:sz w:val="24"/>
                <w:szCs w:val="24"/>
                <w:highlight w:val="none"/>
                <w14:textFill>
                  <w14:solidFill>
                    <w14:schemeClr w14:val="tx1"/>
                  </w14:solidFill>
                </w14:textFill>
              </w:rPr>
              <w:t>L</w:t>
            </w:r>
            <w:r>
              <w:rPr>
                <w:rFonts w:hint="eastAsia" w:cs="Times New Roman"/>
                <w:b w:val="0"/>
                <w:bCs/>
                <w:color w:val="000000" w:themeColor="text1"/>
                <w:spacing w:val="0"/>
                <w:sz w:val="24"/>
                <w:szCs w:val="24"/>
                <w:highlight w:val="none"/>
                <w:lang w:eastAsia="zh-CN"/>
                <w14:textFill>
                  <w14:solidFill>
                    <w14:schemeClr w14:val="tx1"/>
                  </w14:solidFill>
                </w14:textFill>
              </w:rPr>
              <w:t>；</w:t>
            </w:r>
            <w:r>
              <w:rPr>
                <w:rFonts w:hint="default" w:ascii="Times New Roman" w:hAnsi="Times New Roman" w:cs="Times New Roman"/>
                <w:b w:val="0"/>
                <w:bCs/>
                <w:color w:val="000000" w:themeColor="text1"/>
                <w:spacing w:val="0"/>
                <w:sz w:val="24"/>
                <w:szCs w:val="24"/>
                <w:highlight w:val="none"/>
                <w14:textFill>
                  <w14:solidFill>
                    <w14:schemeClr w14:val="tx1"/>
                  </w14:solidFill>
                </w14:textFill>
              </w:rPr>
              <w:t>SS</w:t>
            </w:r>
            <w:r>
              <w:rPr>
                <w:rFonts w:hint="default" w:ascii="Times New Roman" w:hAnsi="Times New Roman" w:cs="Times New Roman"/>
                <w:b w:val="0"/>
                <w:bCs/>
                <w:color w:val="000000" w:themeColor="text1"/>
                <w:spacing w:val="0"/>
                <w:sz w:val="24"/>
                <w:szCs w:val="24"/>
                <w:highlight w:val="none"/>
                <w:lang w:eastAsia="zh-CN"/>
                <w14:textFill>
                  <w14:solidFill>
                    <w14:schemeClr w14:val="tx1"/>
                  </w14:solidFill>
                </w14:textFill>
              </w:rPr>
              <w:t>：</w:t>
            </w:r>
            <w:r>
              <w:rPr>
                <w:rFonts w:hint="default" w:ascii="Times New Roman" w:hAnsi="Times New Roman" w:cs="Times New Roman"/>
                <w:b w:val="0"/>
                <w:bCs/>
                <w:color w:val="000000" w:themeColor="text1"/>
                <w:spacing w:val="0"/>
                <w:sz w:val="24"/>
                <w:szCs w:val="24"/>
                <w:highlight w:val="none"/>
                <w14:textFill>
                  <w14:solidFill>
                    <w14:schemeClr w14:val="tx1"/>
                  </w14:solidFill>
                </w14:textFill>
              </w:rPr>
              <w:t>80mg</w:t>
            </w:r>
            <w:r>
              <w:rPr>
                <w:rFonts w:hint="default" w:ascii="Times New Roman" w:hAnsi="Times New Roman" w:cs="Times New Roman"/>
                <w:b w:val="0"/>
                <w:bCs/>
                <w:color w:val="000000" w:themeColor="text1"/>
                <w:spacing w:val="0"/>
                <w:sz w:val="24"/>
                <w:szCs w:val="24"/>
                <w:highlight w:val="none"/>
                <w:lang w:val="en-US" w:eastAsia="zh-CN"/>
                <w14:textFill>
                  <w14:solidFill>
                    <w14:schemeClr w14:val="tx1"/>
                  </w14:solidFill>
                </w14:textFill>
              </w:rPr>
              <w:t>/</w:t>
            </w:r>
            <w:r>
              <w:rPr>
                <w:rFonts w:hint="default" w:ascii="Times New Roman" w:hAnsi="Times New Roman" w:cs="Times New Roman"/>
                <w:b w:val="0"/>
                <w:bCs/>
                <w:color w:val="000000" w:themeColor="text1"/>
                <w:spacing w:val="0"/>
                <w:sz w:val="24"/>
                <w:szCs w:val="24"/>
                <w:highlight w:val="none"/>
                <w14:textFill>
                  <w14:solidFill>
                    <w14:schemeClr w14:val="tx1"/>
                  </w14:solidFill>
                </w14:textFill>
              </w:rPr>
              <w:t>L</w:t>
            </w:r>
            <w:r>
              <w:rPr>
                <w:rFonts w:hint="eastAsia" w:cs="Times New Roman"/>
                <w:b w:val="0"/>
                <w:bCs/>
                <w:color w:val="000000" w:themeColor="text1"/>
                <w:spacing w:val="0"/>
                <w:sz w:val="24"/>
                <w:szCs w:val="24"/>
                <w:highlight w:val="none"/>
                <w:lang w:eastAsia="zh-CN"/>
                <w14:textFill>
                  <w14:solidFill>
                    <w14:schemeClr w14:val="tx1"/>
                  </w14:solidFill>
                </w14:textFill>
              </w:rPr>
              <w:t>；</w:t>
            </w:r>
            <w:r>
              <w:rPr>
                <w:rFonts w:hint="default" w:ascii="Times New Roman" w:hAnsi="Times New Roman" w:cs="Times New Roman"/>
                <w:b w:val="0"/>
                <w:bCs/>
                <w:color w:val="000000" w:themeColor="text1"/>
                <w:spacing w:val="0"/>
                <w:sz w:val="24"/>
                <w:szCs w:val="24"/>
                <w:highlight w:val="none"/>
                <w14:textFill>
                  <w14:solidFill>
                    <w14:schemeClr w14:val="tx1"/>
                  </w14:solidFill>
                </w14:textFill>
              </w:rPr>
              <w:t>NH</w:t>
            </w:r>
            <w:r>
              <w:rPr>
                <w:rFonts w:hint="default" w:ascii="Times New Roman" w:hAnsi="Times New Roman" w:cs="Times New Roman"/>
                <w:b w:val="0"/>
                <w:bCs/>
                <w:color w:val="000000" w:themeColor="text1"/>
                <w:spacing w:val="0"/>
                <w:sz w:val="24"/>
                <w:szCs w:val="24"/>
                <w:highlight w:val="none"/>
                <w:vertAlign w:val="subscript"/>
                <w14:textFill>
                  <w14:solidFill>
                    <w14:schemeClr w14:val="tx1"/>
                  </w14:solidFill>
                </w14:textFill>
              </w:rPr>
              <w:t>3</w:t>
            </w:r>
            <w:r>
              <w:rPr>
                <w:rFonts w:hint="default" w:ascii="Times New Roman" w:hAnsi="Times New Roman" w:cs="Times New Roman"/>
                <w:b w:val="0"/>
                <w:bCs/>
                <w:color w:val="000000" w:themeColor="text1"/>
                <w:spacing w:val="0"/>
                <w:sz w:val="24"/>
                <w:szCs w:val="24"/>
                <w:highlight w:val="none"/>
                <w14:textFill>
                  <w14:solidFill>
                    <w14:schemeClr w14:val="tx1"/>
                  </w14:solidFill>
                </w14:textFill>
              </w:rPr>
              <w:t>-N</w:t>
            </w:r>
            <w:r>
              <w:rPr>
                <w:rFonts w:hint="default" w:ascii="Times New Roman" w:hAnsi="Times New Roman" w:cs="Times New Roman"/>
                <w:b w:val="0"/>
                <w:bCs/>
                <w:color w:val="000000" w:themeColor="text1"/>
                <w:spacing w:val="0"/>
                <w:sz w:val="24"/>
                <w:szCs w:val="24"/>
                <w:highlight w:val="none"/>
                <w:lang w:eastAsia="zh-CN"/>
                <w14:textFill>
                  <w14:solidFill>
                    <w14:schemeClr w14:val="tx1"/>
                  </w14:solidFill>
                </w14:textFill>
              </w:rPr>
              <w:t>：</w:t>
            </w:r>
            <w:r>
              <w:rPr>
                <w:rFonts w:hint="default" w:ascii="Times New Roman" w:hAnsi="Times New Roman" w:cs="Times New Roman"/>
                <w:b w:val="0"/>
                <w:bCs/>
                <w:color w:val="000000" w:themeColor="text1"/>
                <w:spacing w:val="0"/>
                <w:sz w:val="24"/>
                <w:szCs w:val="24"/>
                <w:highlight w:val="none"/>
                <w14:textFill>
                  <w14:solidFill>
                    <w14:schemeClr w14:val="tx1"/>
                  </w14:solidFill>
                </w14:textFill>
              </w:rPr>
              <w:t>30mg</w:t>
            </w:r>
            <w:r>
              <w:rPr>
                <w:rFonts w:hint="default" w:ascii="Times New Roman" w:hAnsi="Times New Roman" w:cs="Times New Roman"/>
                <w:b w:val="0"/>
                <w:bCs/>
                <w:color w:val="000000" w:themeColor="text1"/>
                <w:spacing w:val="0"/>
                <w:sz w:val="24"/>
                <w:szCs w:val="24"/>
                <w:highlight w:val="none"/>
                <w:lang w:val="en-US" w:eastAsia="zh-CN"/>
                <w14:textFill>
                  <w14:solidFill>
                    <w14:schemeClr w14:val="tx1"/>
                  </w14:solidFill>
                </w14:textFill>
              </w:rPr>
              <w:t>/</w:t>
            </w:r>
            <w:r>
              <w:rPr>
                <w:rFonts w:hint="default" w:ascii="Times New Roman" w:hAnsi="Times New Roman" w:cs="Times New Roman"/>
                <w:b w:val="0"/>
                <w:bCs/>
                <w:color w:val="000000" w:themeColor="text1"/>
                <w:spacing w:val="0"/>
                <w:sz w:val="24"/>
                <w:szCs w:val="24"/>
                <w:highlight w:val="none"/>
                <w14:textFill>
                  <w14:solidFill>
                    <w14:schemeClr w14:val="tx1"/>
                  </w14:solidFill>
                </w14:textFill>
              </w:rPr>
              <w:t>L</w:t>
            </w:r>
            <w:r>
              <w:rPr>
                <w:rFonts w:hint="eastAsia" w:cs="Times New Roman"/>
                <w:b w:val="0"/>
                <w:bCs/>
                <w:color w:val="000000" w:themeColor="text1"/>
                <w:spacing w:val="0"/>
                <w:sz w:val="24"/>
                <w:szCs w:val="24"/>
                <w:highlight w:val="none"/>
                <w:lang w:eastAsia="zh-CN"/>
                <w14:textFill>
                  <w14:solidFill>
                    <w14:schemeClr w14:val="tx1"/>
                  </w14:solidFill>
                </w14:textFill>
              </w:rPr>
              <w:t>；</w:t>
            </w:r>
            <w:r>
              <w:rPr>
                <w:rFonts w:hint="default" w:ascii="Times New Roman" w:hAnsi="Times New Roman" w:cs="Times New Roman"/>
                <w:b w:val="0"/>
                <w:bCs/>
                <w:color w:val="000000" w:themeColor="text1"/>
                <w:spacing w:val="0"/>
                <w:sz w:val="24"/>
                <w:szCs w:val="24"/>
                <w:highlight w:val="none"/>
                <w14:textFill>
                  <w14:solidFill>
                    <w14:schemeClr w14:val="tx1"/>
                  </w14:solidFill>
                </w14:textFill>
              </w:rPr>
              <w:t>粪大肠菌群</w:t>
            </w:r>
            <w:r>
              <w:rPr>
                <w:rFonts w:hint="default" w:ascii="Times New Roman" w:hAnsi="Times New Roman" w:cs="Times New Roman"/>
                <w:b w:val="0"/>
                <w:bCs/>
                <w:color w:val="000000" w:themeColor="text1"/>
                <w:spacing w:val="0"/>
                <w:sz w:val="24"/>
                <w:szCs w:val="24"/>
                <w:highlight w:val="none"/>
                <w:lang w:eastAsia="zh-CN"/>
                <w14:textFill>
                  <w14:solidFill>
                    <w14:schemeClr w14:val="tx1"/>
                  </w14:solidFill>
                </w14:textFill>
              </w:rPr>
              <w:t>：</w:t>
            </w:r>
            <w:r>
              <w:rPr>
                <w:rFonts w:hint="default" w:ascii="Times New Roman" w:hAnsi="Times New Roman" w:cs="Times New Roman"/>
                <w:b w:val="0"/>
                <w:bCs/>
                <w:color w:val="000000" w:themeColor="text1"/>
                <w:spacing w:val="0"/>
                <w:sz w:val="24"/>
                <w:szCs w:val="24"/>
                <w:highlight w:val="none"/>
                <w14:textFill>
                  <w14:solidFill>
                    <w14:schemeClr w14:val="tx1"/>
                  </w14:solidFill>
                </w14:textFill>
              </w:rPr>
              <w:t>1.6</w:t>
            </w:r>
            <w:r>
              <w:rPr>
                <w:rFonts w:hint="default" w:ascii="Times New Roman" w:hAnsi="Times New Roman" w:cs="Times New Roman"/>
                <w:b w:val="0"/>
                <w:bCs/>
                <w:color w:val="000000" w:themeColor="text1"/>
                <w:spacing w:val="0"/>
                <w:sz w:val="24"/>
                <w:szCs w:val="24"/>
                <w:highlight w:val="none"/>
                <w:lang w:val="en-US" w:eastAsia="zh-CN"/>
                <w14:textFill>
                  <w14:solidFill>
                    <w14:schemeClr w14:val="tx1"/>
                  </w14:solidFill>
                </w14:textFill>
              </w:rPr>
              <w:t>×</w:t>
            </w:r>
            <w:r>
              <w:rPr>
                <w:rFonts w:hint="default" w:ascii="Times New Roman" w:hAnsi="Times New Roman" w:cs="Times New Roman"/>
                <w:b w:val="0"/>
                <w:bCs/>
                <w:color w:val="000000" w:themeColor="text1"/>
                <w:spacing w:val="0"/>
                <w:sz w:val="24"/>
                <w:szCs w:val="24"/>
                <w:highlight w:val="none"/>
                <w14:textFill>
                  <w14:solidFill>
                    <w14:schemeClr w14:val="tx1"/>
                  </w14:solidFill>
                </w14:textFill>
              </w:rPr>
              <w:t>10</w:t>
            </w:r>
            <w:r>
              <w:rPr>
                <w:rFonts w:hint="default" w:ascii="Times New Roman" w:hAnsi="Times New Roman" w:cs="Times New Roman"/>
                <w:b w:val="0"/>
                <w:bCs/>
                <w:color w:val="000000" w:themeColor="text1"/>
                <w:spacing w:val="0"/>
                <w:sz w:val="24"/>
                <w:szCs w:val="24"/>
                <w:highlight w:val="none"/>
                <w:vertAlign w:val="superscript"/>
                <w14:textFill>
                  <w14:solidFill>
                    <w14:schemeClr w14:val="tx1"/>
                  </w14:solidFill>
                </w14:textFill>
              </w:rPr>
              <w:t>8</w:t>
            </w:r>
            <w:r>
              <w:rPr>
                <w:rFonts w:hint="default" w:ascii="Times New Roman" w:hAnsi="Times New Roman" w:cs="Times New Roman"/>
                <w:b w:val="0"/>
                <w:bCs/>
                <w:color w:val="000000" w:themeColor="text1"/>
                <w:spacing w:val="0"/>
                <w:sz w:val="24"/>
                <w:szCs w:val="24"/>
                <w:highlight w:val="none"/>
                <w14:textFill>
                  <w14:solidFill>
                    <w14:schemeClr w14:val="tx1"/>
                  </w14:solidFill>
                </w14:textFill>
              </w:rPr>
              <w:t>个</w:t>
            </w:r>
            <w:r>
              <w:rPr>
                <w:rFonts w:hint="default" w:ascii="Times New Roman" w:hAnsi="Times New Roman" w:cs="Times New Roman"/>
                <w:b w:val="0"/>
                <w:bCs/>
                <w:color w:val="000000" w:themeColor="text1"/>
                <w:spacing w:val="0"/>
                <w:sz w:val="24"/>
                <w:szCs w:val="24"/>
                <w:highlight w:val="none"/>
                <w:lang w:val="en-US" w:eastAsia="zh-CN"/>
                <w14:textFill>
                  <w14:solidFill>
                    <w14:schemeClr w14:val="tx1"/>
                  </w14:solidFill>
                </w14:textFill>
              </w:rPr>
              <w:t>/L</w:t>
            </w:r>
            <w:r>
              <w:rPr>
                <w:rFonts w:hint="eastAsia" w:cs="Times New Roman"/>
                <w:b w:val="0"/>
                <w:bCs/>
                <w:color w:val="000000" w:themeColor="text1"/>
                <w:spacing w:val="0"/>
                <w:sz w:val="24"/>
                <w:szCs w:val="24"/>
                <w:highlight w:val="none"/>
                <w:lang w:val="en-US" w:eastAsia="zh-CN"/>
                <w14:textFill>
                  <w14:solidFill>
                    <w14:schemeClr w14:val="tx1"/>
                  </w14:solidFill>
                </w14:textFill>
              </w:rPr>
              <w:t>；</w:t>
            </w:r>
            <w:r>
              <w:rPr>
                <w:rFonts w:hint="default" w:ascii="Times New Roman" w:hAnsi="Times New Roman" w:cs="Times New Roman"/>
                <w:b w:val="0"/>
                <w:bCs/>
                <w:color w:val="000000" w:themeColor="text1"/>
                <w:spacing w:val="0"/>
                <w:sz w:val="24"/>
                <w:szCs w:val="24"/>
                <w:highlight w:val="none"/>
                <w14:textFill>
                  <w14:solidFill>
                    <w14:schemeClr w14:val="tx1"/>
                  </w14:solidFill>
                </w14:textFill>
              </w:rPr>
              <w:t>工服清洗</w:t>
            </w:r>
            <w:r>
              <w:rPr>
                <w:rFonts w:hint="eastAsia" w:ascii="Times New Roman" w:hAnsi="Times New Roman" w:cs="Times New Roman"/>
                <w:b w:val="0"/>
                <w:bCs/>
                <w:color w:val="000000" w:themeColor="text1"/>
                <w:spacing w:val="0"/>
                <w:sz w:val="24"/>
                <w:szCs w:val="24"/>
                <w:highlight w:val="none"/>
                <w:lang w:val="en-US" w:eastAsia="zh-CN"/>
                <w14:textFill>
                  <w14:solidFill>
                    <w14:schemeClr w14:val="tx1"/>
                  </w14:solidFill>
                </w14:textFill>
              </w:rPr>
              <w:t>及宠物毛毯清洗废水</w:t>
            </w:r>
            <w:r>
              <w:rPr>
                <w:rFonts w:hint="default" w:ascii="Times New Roman" w:hAnsi="Times New Roman" w:cs="Times New Roman"/>
                <w:b w:val="0"/>
                <w:bCs/>
                <w:color w:val="000000" w:themeColor="text1"/>
                <w:spacing w:val="0"/>
                <w:sz w:val="24"/>
                <w:szCs w:val="24"/>
                <w:highlight w:val="none"/>
                <w14:textFill>
                  <w14:solidFill>
                    <w14:schemeClr w14:val="tx1"/>
                  </w14:solidFill>
                </w14:textFill>
              </w:rPr>
              <w:t>中LAS指标</w:t>
            </w:r>
            <w:r>
              <w:rPr>
                <w:rFonts w:hint="eastAsia" w:ascii="Times New Roman" w:hAnsi="Times New Roman" w:cs="Times New Roman"/>
                <w:b w:val="0"/>
                <w:bCs/>
                <w:color w:val="000000" w:themeColor="text1"/>
                <w:spacing w:val="0"/>
                <w:sz w:val="24"/>
                <w:szCs w:val="24"/>
                <w:highlight w:val="none"/>
                <w:lang w:val="en-US" w:eastAsia="zh-CN"/>
                <w14:textFill>
                  <w14:solidFill>
                    <w14:schemeClr w14:val="tx1"/>
                  </w14:solidFill>
                </w14:textFill>
              </w:rPr>
              <w:t>参照</w:t>
            </w:r>
            <w:r>
              <w:rPr>
                <w:rFonts w:hint="default" w:ascii="Times New Roman" w:hAnsi="Times New Roman" w:cs="Times New Roman"/>
                <w:b w:val="0"/>
                <w:bCs/>
                <w:color w:val="000000" w:themeColor="text1"/>
                <w:spacing w:val="0"/>
                <w:sz w:val="24"/>
                <w:szCs w:val="24"/>
                <w:highlight w:val="none"/>
                <w14:textFill>
                  <w14:solidFill>
                    <w14:schemeClr w14:val="tx1"/>
                  </w14:solidFill>
                </w14:textFill>
              </w:rPr>
              <w:t>《城市居民洗衣废水中水污染物排放量的测量》</w:t>
            </w:r>
            <w:r>
              <w:rPr>
                <w:rFonts w:hint="default" w:ascii="Times New Roman" w:hAnsi="Times New Roman" w:cs="Times New Roman"/>
                <w:b w:val="0"/>
                <w:bCs/>
                <w:color w:val="000000" w:themeColor="text1"/>
                <w:spacing w:val="0"/>
                <w:sz w:val="24"/>
                <w:szCs w:val="24"/>
                <w:highlight w:val="none"/>
                <w:lang w:eastAsia="zh-CN"/>
                <w14:textFill>
                  <w14:solidFill>
                    <w14:schemeClr w14:val="tx1"/>
                  </w14:solidFill>
                </w14:textFill>
              </w:rPr>
              <w:t>（</w:t>
            </w:r>
            <w:r>
              <w:rPr>
                <w:rFonts w:hint="default" w:ascii="Times New Roman" w:hAnsi="Times New Roman" w:cs="Times New Roman"/>
                <w:b w:val="0"/>
                <w:bCs/>
                <w:color w:val="000000" w:themeColor="text1"/>
                <w:spacing w:val="0"/>
                <w:sz w:val="24"/>
                <w:szCs w:val="24"/>
                <w:highlight w:val="none"/>
                <w14:textFill>
                  <w14:solidFill>
                    <w14:schemeClr w14:val="tx1"/>
                  </w14:solidFill>
                </w14:textFill>
              </w:rPr>
              <w:t>《资源节约与环保》2021年第5期 王洁屏</w:t>
            </w:r>
            <w:r>
              <w:rPr>
                <w:rFonts w:hint="default" w:ascii="Times New Roman" w:hAnsi="Times New Roman" w:cs="Times New Roman"/>
                <w:b w:val="0"/>
                <w:bCs/>
                <w:color w:val="000000" w:themeColor="text1"/>
                <w:spacing w:val="0"/>
                <w:sz w:val="24"/>
                <w:szCs w:val="24"/>
                <w:highlight w:val="none"/>
                <w:lang w:eastAsia="zh-CN"/>
                <w14:textFill>
                  <w14:solidFill>
                    <w14:schemeClr w14:val="tx1"/>
                  </w14:solidFill>
                </w14:textFill>
              </w:rPr>
              <w:t>）</w:t>
            </w:r>
            <w:r>
              <w:rPr>
                <w:rFonts w:hint="default" w:ascii="Times New Roman" w:hAnsi="Times New Roman" w:cs="Times New Roman"/>
                <w:b w:val="0"/>
                <w:bCs/>
                <w:color w:val="000000" w:themeColor="text1"/>
                <w:spacing w:val="0"/>
                <w:sz w:val="24"/>
                <w:szCs w:val="24"/>
                <w:highlight w:val="none"/>
                <w14:textFill>
                  <w14:solidFill>
                    <w14:schemeClr w14:val="tx1"/>
                  </w14:solidFill>
                </w14:textFill>
              </w:rPr>
              <w:t>中相关数据，LAS产生浓度33.4mg</w:t>
            </w:r>
            <w:r>
              <w:rPr>
                <w:rFonts w:hint="default" w:ascii="Times New Roman" w:hAnsi="Times New Roman" w:cs="Times New Roman"/>
                <w:b w:val="0"/>
                <w:bCs/>
                <w:color w:val="000000" w:themeColor="text1"/>
                <w:spacing w:val="0"/>
                <w:sz w:val="24"/>
                <w:szCs w:val="24"/>
                <w:highlight w:val="none"/>
                <w:lang w:val="en-US" w:eastAsia="zh-CN"/>
                <w14:textFill>
                  <w14:solidFill>
                    <w14:schemeClr w14:val="tx1"/>
                  </w14:solidFill>
                </w14:textFill>
              </w:rPr>
              <w:t>/L</w:t>
            </w:r>
            <w:r>
              <w:rPr>
                <w:rFonts w:hint="default" w:ascii="Times New Roman" w:hAnsi="Times New Roman" w:cs="Times New Roman"/>
                <w:b w:val="0"/>
                <w:bCs/>
                <w:color w:val="000000" w:themeColor="text1"/>
                <w:spacing w:val="0"/>
                <w:sz w:val="24"/>
                <w:szCs w:val="24"/>
                <w:highlight w:val="none"/>
                <w14:textFill>
                  <w14:solidFill>
                    <w14:schemeClr w14:val="tx1"/>
                  </w14:solidFill>
                </w14:textFill>
              </w:rPr>
              <w:t>。</w:t>
            </w:r>
          </w:p>
          <w:p w14:paraId="15A3284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color w:val="000000" w:themeColor="text1"/>
                <w:spacing w:val="0"/>
                <w:sz w:val="24"/>
                <w:szCs w:val="24"/>
                <w:highlight w:val="none"/>
                <w14:textFill>
                  <w14:solidFill>
                    <w14:schemeClr w14:val="tx1"/>
                  </w14:solidFill>
                </w14:textFill>
              </w:rPr>
            </w:pPr>
            <w:r>
              <w:rPr>
                <w:rFonts w:hint="default" w:ascii="Times New Roman" w:hAnsi="Times New Roman" w:cs="Times New Roman"/>
                <w:b w:val="0"/>
                <w:bCs/>
                <w:color w:val="000000" w:themeColor="text1"/>
                <w:spacing w:val="0"/>
                <w:sz w:val="24"/>
                <w:szCs w:val="24"/>
                <w:highlight w:val="none"/>
                <w14:textFill>
                  <w14:solidFill>
                    <w14:schemeClr w14:val="tx1"/>
                  </w14:solidFill>
                </w14:textFill>
              </w:rPr>
              <w:t>项目根据表2.8-1可知，医疗废水经</w:t>
            </w:r>
            <w:r>
              <w:rPr>
                <w:rFonts w:hint="eastAsia" w:cs="Times New Roman"/>
                <w:b w:val="0"/>
                <w:bCs/>
                <w:color w:val="000000" w:themeColor="text1"/>
                <w:spacing w:val="0"/>
                <w:sz w:val="24"/>
                <w:szCs w:val="24"/>
                <w:highlight w:val="none"/>
                <w:lang w:eastAsia="zh-CN"/>
                <w14:textFill>
                  <w14:solidFill>
                    <w14:schemeClr w14:val="tx1"/>
                  </w14:solidFill>
                </w14:textFill>
              </w:rPr>
              <w:t>消毒设施消毒</w:t>
            </w:r>
            <w:r>
              <w:rPr>
                <w:rFonts w:hint="eastAsia" w:cs="Times New Roman"/>
                <w:b w:val="0"/>
                <w:bCs w:val="0"/>
                <w:color w:val="000000" w:themeColor="text1"/>
                <w:kern w:val="0"/>
                <w:sz w:val="24"/>
                <w:szCs w:val="24"/>
                <w:highlight w:val="none"/>
                <w:lang w:val="en-US" w:eastAsia="zh-CN"/>
                <w14:textFill>
                  <w14:solidFill>
                    <w14:schemeClr w14:val="tx1"/>
                  </w14:solidFill>
                </w14:textFill>
              </w:rPr>
              <w:t>（</w:t>
            </w:r>
            <w:r>
              <w:rPr>
                <w:rFonts w:hint="eastAsia" w:ascii="Times New Roman" w:hAnsi="Times New Roman" w:cs="Times New Roman"/>
                <w:b w:val="0"/>
                <w:bCs w:val="0"/>
                <w:color w:val="000000" w:themeColor="text1"/>
                <w:kern w:val="0"/>
                <w:sz w:val="24"/>
                <w:szCs w:val="24"/>
                <w:highlight w:val="none"/>
                <w:lang w:val="en-US" w:eastAsia="zh-CN"/>
                <w14:textFill>
                  <w14:solidFill>
                    <w14:schemeClr w14:val="tx1"/>
                  </w14:solidFill>
                </w14:textFill>
              </w:rPr>
              <w:t>本项目使用</w:t>
            </w:r>
            <w:r>
              <w:rPr>
                <w:rFonts w:hint="eastAsia" w:cs="Times New Roman"/>
                <w:b w:val="0"/>
                <w:bCs/>
                <w:color w:val="auto"/>
                <w:spacing w:val="0"/>
                <w:sz w:val="24"/>
                <w:szCs w:val="24"/>
                <w:highlight w:val="none"/>
                <w:lang w:val="en-US" w:eastAsia="zh-CN"/>
              </w:rPr>
              <w:t>二氧化氯</w:t>
            </w:r>
            <w:r>
              <w:rPr>
                <w:rFonts w:hint="eastAsia" w:ascii="Times New Roman" w:hAnsi="Times New Roman" w:cs="Times New Roman"/>
                <w:b w:val="0"/>
                <w:bCs w:val="0"/>
                <w:color w:val="000000" w:themeColor="text1"/>
                <w:kern w:val="0"/>
                <w:sz w:val="24"/>
                <w:szCs w:val="24"/>
                <w:highlight w:val="none"/>
                <w:lang w:val="en-US" w:eastAsia="zh-CN"/>
                <w14:textFill>
                  <w14:solidFill>
                    <w14:schemeClr w14:val="tx1"/>
                  </w14:solidFill>
                </w14:textFill>
              </w:rPr>
              <w:t>消毒片</w:t>
            </w:r>
            <w:r>
              <w:rPr>
                <w:rFonts w:hint="eastAsia" w:cs="Times New Roman"/>
                <w:b w:val="0"/>
                <w:bCs w:val="0"/>
                <w:color w:val="000000" w:themeColor="text1"/>
                <w:kern w:val="0"/>
                <w:sz w:val="24"/>
                <w:szCs w:val="24"/>
                <w:highlight w:val="none"/>
                <w:lang w:val="en-US" w:eastAsia="zh-CN"/>
                <w14:textFill>
                  <w14:solidFill>
                    <w14:schemeClr w14:val="tx1"/>
                  </w14:solidFill>
                </w14:textFill>
              </w:rPr>
              <w:t>、</w:t>
            </w:r>
            <w:r>
              <w:rPr>
                <w:rFonts w:hint="eastAsia" w:ascii="Times New Roman" w:hAnsi="Times New Roman" w:eastAsia="宋体" w:cs="Times New Roman"/>
                <w:b w:val="0"/>
                <w:color w:val="auto"/>
                <w:sz w:val="24"/>
                <w:szCs w:val="24"/>
                <w:lang w:val="en-US" w:eastAsia="zh-CN" w:bidi="ar-SA"/>
              </w:rPr>
              <w:t>三氯异氰尿酸消毒片</w:t>
            </w:r>
            <w:r>
              <w:rPr>
                <w:rFonts w:hint="eastAsia" w:ascii="Times New Roman" w:hAnsi="Times New Roman" w:cs="Times New Roman"/>
                <w:b w:val="0"/>
                <w:bCs w:val="0"/>
                <w:color w:val="000000" w:themeColor="text1"/>
                <w:kern w:val="0"/>
                <w:sz w:val="24"/>
                <w:szCs w:val="24"/>
                <w:highlight w:val="none"/>
                <w:lang w:val="en-US" w:eastAsia="zh-CN"/>
                <w14:textFill>
                  <w14:solidFill>
                    <w14:schemeClr w14:val="tx1"/>
                  </w14:solidFill>
                </w14:textFill>
              </w:rPr>
              <w:t>对医疗废水进行消毒处理，对消毒设施出口粪大肠菌群、总余氯排放限值作出要求，粪大肠菌群、总余氯参照《医疗机构水污染物排放标准》（GB 18466-2005）表2预处理标准</w:t>
            </w:r>
            <w:r>
              <w:rPr>
                <w:rFonts w:hint="eastAsia" w:cs="Times New Roman"/>
                <w:b w:val="0"/>
                <w:bCs w:val="0"/>
                <w:color w:val="000000" w:themeColor="text1"/>
                <w:kern w:val="0"/>
                <w:sz w:val="24"/>
                <w:szCs w:val="24"/>
                <w:highlight w:val="none"/>
                <w:lang w:val="en-US" w:eastAsia="zh-CN"/>
                <w14:textFill>
                  <w14:solidFill>
                    <w14:schemeClr w14:val="tx1"/>
                  </w14:solidFill>
                </w14:textFill>
              </w:rPr>
              <w:t>）</w:t>
            </w:r>
            <w:r>
              <w:rPr>
                <w:rFonts w:hint="eastAsia" w:cs="Times New Roman"/>
                <w:b w:val="0"/>
                <w:bCs/>
                <w:color w:val="000000" w:themeColor="text1"/>
                <w:spacing w:val="0"/>
                <w:sz w:val="24"/>
                <w:szCs w:val="24"/>
                <w:highlight w:val="none"/>
                <w:lang w:eastAsia="zh-CN"/>
                <w14:textFill>
                  <w14:solidFill>
                    <w14:schemeClr w14:val="tx1"/>
                  </w14:solidFill>
                </w14:textFill>
              </w:rPr>
              <w:t>，</w:t>
            </w:r>
            <w:r>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美容洗浴废水经滤网过滤后</w:t>
            </w:r>
            <w:r>
              <w:rPr>
                <w:rFonts w:hint="default" w:ascii="Times New Roman" w:hAnsi="Times New Roman" w:cs="Times New Roman"/>
                <w:b w:val="0"/>
                <w:bCs/>
                <w:color w:val="000000" w:themeColor="text1"/>
                <w:spacing w:val="0"/>
                <w:sz w:val="24"/>
                <w:szCs w:val="24"/>
                <w:highlight w:val="none"/>
                <w14:textFill>
                  <w14:solidFill>
                    <w14:schemeClr w14:val="tx1"/>
                  </w14:solidFill>
                </w14:textFill>
              </w:rPr>
              <w:t>与生活污水、</w:t>
            </w:r>
            <w:r>
              <w:rPr>
                <w:rFonts w:hint="eastAsia" w:ascii="Times New Roman" w:hAnsi="Times New Roman" w:cs="Times New Roman"/>
                <w:b w:val="0"/>
                <w:bCs/>
                <w:color w:val="000000" w:themeColor="text1"/>
                <w:spacing w:val="0"/>
                <w:sz w:val="24"/>
                <w:szCs w:val="24"/>
                <w:highlight w:val="none"/>
                <w:lang w:val="en-US" w:eastAsia="zh-CN"/>
                <w14:textFill>
                  <w14:solidFill>
                    <w14:schemeClr w14:val="tx1"/>
                  </w14:solidFill>
                </w14:textFill>
              </w:rPr>
              <w:t>其他废水</w:t>
            </w:r>
            <w:r>
              <w:rPr>
                <w:rFonts w:hint="default" w:ascii="Times New Roman" w:hAnsi="Times New Roman" w:cs="Times New Roman"/>
                <w:b w:val="0"/>
                <w:bCs/>
                <w:color w:val="000000" w:themeColor="text1"/>
                <w:spacing w:val="0"/>
                <w:sz w:val="24"/>
                <w:szCs w:val="24"/>
                <w:highlight w:val="none"/>
                <w14:textFill>
                  <w14:solidFill>
                    <w14:schemeClr w14:val="tx1"/>
                  </w14:solidFill>
                </w14:textFill>
              </w:rPr>
              <w:t>一起进入</w:t>
            </w:r>
            <w:r>
              <w:rPr>
                <w:rFonts w:hint="eastAsia" w:cs="Times New Roman"/>
                <w:b w:val="0"/>
                <w:bCs/>
                <w:color w:val="000000" w:themeColor="text1"/>
                <w:spacing w:val="0"/>
                <w:sz w:val="24"/>
                <w:szCs w:val="24"/>
                <w:highlight w:val="none"/>
                <w:lang w:val="en-US" w:eastAsia="zh-CN"/>
                <w14:textFill>
                  <w14:solidFill>
                    <w14:schemeClr w14:val="tx1"/>
                  </w14:solidFill>
                </w14:textFill>
              </w:rPr>
              <w:t>弘悦101已建生化池</w:t>
            </w:r>
            <w:r>
              <w:rPr>
                <w:rFonts w:hint="default" w:ascii="Times New Roman" w:hAnsi="Times New Roman" w:cs="Times New Roman"/>
                <w:b w:val="0"/>
                <w:bCs/>
                <w:color w:val="000000" w:themeColor="text1"/>
                <w:spacing w:val="0"/>
                <w:sz w:val="24"/>
                <w:szCs w:val="24"/>
                <w:highlight w:val="none"/>
                <w14:textFill>
                  <w14:solidFill>
                    <w14:schemeClr w14:val="tx1"/>
                  </w14:solidFill>
                </w14:textFill>
              </w:rPr>
              <w:t>，处理达《污水综合排放标准》</w:t>
            </w:r>
            <w:r>
              <w:rPr>
                <w:rFonts w:hint="default" w:ascii="Times New Roman" w:hAnsi="Times New Roman" w:cs="Times New Roman"/>
                <w:b w:val="0"/>
                <w:bCs/>
                <w:color w:val="000000" w:themeColor="text1"/>
                <w:spacing w:val="0"/>
                <w:sz w:val="24"/>
                <w:szCs w:val="24"/>
                <w:highlight w:val="none"/>
                <w:lang w:eastAsia="zh-CN"/>
                <w14:textFill>
                  <w14:solidFill>
                    <w14:schemeClr w14:val="tx1"/>
                  </w14:solidFill>
                </w14:textFill>
              </w:rPr>
              <w:t>（</w:t>
            </w:r>
            <w:r>
              <w:rPr>
                <w:rFonts w:hint="default" w:ascii="Times New Roman" w:hAnsi="Times New Roman" w:cs="Times New Roman"/>
                <w:b w:val="0"/>
                <w:bCs/>
                <w:color w:val="000000" w:themeColor="text1"/>
                <w:spacing w:val="0"/>
                <w:sz w:val="24"/>
                <w:szCs w:val="24"/>
                <w:highlight w:val="none"/>
                <w14:textFill>
                  <w14:solidFill>
                    <w14:schemeClr w14:val="tx1"/>
                  </w14:solidFill>
                </w14:textFill>
              </w:rPr>
              <w:t>GB8978-1996</w:t>
            </w:r>
            <w:r>
              <w:rPr>
                <w:rFonts w:hint="default" w:ascii="Times New Roman" w:hAnsi="Times New Roman" w:cs="Times New Roman"/>
                <w:b w:val="0"/>
                <w:bCs/>
                <w:color w:val="000000" w:themeColor="text1"/>
                <w:spacing w:val="0"/>
                <w:sz w:val="24"/>
                <w:szCs w:val="24"/>
                <w:highlight w:val="none"/>
                <w:lang w:eastAsia="zh-CN"/>
                <w14:textFill>
                  <w14:solidFill>
                    <w14:schemeClr w14:val="tx1"/>
                  </w14:solidFill>
                </w14:textFill>
              </w:rPr>
              <w:t>）</w:t>
            </w:r>
            <w:r>
              <w:rPr>
                <w:rFonts w:hint="default" w:ascii="Times New Roman" w:hAnsi="Times New Roman" w:cs="Times New Roman"/>
                <w:b w:val="0"/>
                <w:bCs/>
                <w:color w:val="000000" w:themeColor="text1"/>
                <w:spacing w:val="0"/>
                <w:sz w:val="24"/>
                <w:szCs w:val="24"/>
                <w:highlight w:val="none"/>
                <w14:textFill>
                  <w14:solidFill>
                    <w14:schemeClr w14:val="tx1"/>
                  </w14:solidFill>
                </w14:textFill>
              </w:rPr>
              <w:t>三级标准，汇入市政污水管网进入</w:t>
            </w:r>
            <w:r>
              <w:rPr>
                <w:rFonts w:hint="eastAsia" w:cs="Times New Roman"/>
                <w:b w:val="0"/>
                <w:bCs/>
                <w:color w:val="000000" w:themeColor="text1"/>
                <w:spacing w:val="0"/>
                <w:sz w:val="24"/>
                <w:szCs w:val="24"/>
                <w:highlight w:val="none"/>
                <w:lang w:val="en-US" w:eastAsia="zh-CN"/>
                <w14:textFill>
                  <w14:solidFill>
                    <w14:schemeClr w14:val="tx1"/>
                  </w14:solidFill>
                </w14:textFill>
              </w:rPr>
              <w:t>彩云湖污水处理厂</w:t>
            </w:r>
            <w:r>
              <w:rPr>
                <w:rFonts w:hint="default" w:ascii="Times New Roman" w:hAnsi="Times New Roman" w:cs="Times New Roman"/>
                <w:b w:val="0"/>
                <w:bCs/>
                <w:color w:val="000000" w:themeColor="text1"/>
                <w:spacing w:val="0"/>
                <w:sz w:val="24"/>
                <w:szCs w:val="24"/>
                <w:highlight w:val="none"/>
                <w14:textFill>
                  <w14:solidFill>
                    <w14:schemeClr w14:val="tx1"/>
                  </w14:solidFill>
                </w14:textFill>
              </w:rPr>
              <w:t>进一步处理达彩云湖污水处理厂出水水质标准后作为彩云湖湿地公园和桃花溪景观补水，最终排入长江。项目污废水产生情况详见表4.2-1。</w:t>
            </w:r>
          </w:p>
          <w:p w14:paraId="794AFA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val="0"/>
                <w:color w:val="000000" w:themeColor="text1"/>
                <w:spacing w:val="0"/>
                <w:sz w:val="24"/>
                <w:szCs w:val="24"/>
                <w:highlight w:val="none"/>
                <w:vertAlign w:val="baseline"/>
                <w14:textFill>
                  <w14:solidFill>
                    <w14:schemeClr w14:val="tx1"/>
                  </w14:solidFill>
                </w14:textFill>
              </w:rPr>
            </w:pPr>
            <w:r>
              <w:rPr>
                <w:rFonts w:hint="default" w:ascii="Times New Roman" w:hAnsi="Times New Roman" w:cs="Times New Roman"/>
                <w:b/>
                <w:bCs w:val="0"/>
                <w:color w:val="000000" w:themeColor="text1"/>
                <w:spacing w:val="0"/>
                <w:sz w:val="24"/>
                <w:szCs w:val="24"/>
                <w:highlight w:val="none"/>
                <w14:textFill>
                  <w14:solidFill>
                    <w14:schemeClr w14:val="tx1"/>
                  </w14:solidFill>
                </w14:textFill>
              </w:rPr>
              <w:t>表4.2-1项目水污染物产生和排放情况</w:t>
            </w:r>
          </w:p>
          <w:tbl>
            <w:tblPr>
              <w:tblStyle w:val="2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30"/>
              <w:gridCol w:w="600"/>
              <w:gridCol w:w="674"/>
              <w:gridCol w:w="1003"/>
              <w:gridCol w:w="872"/>
              <w:gridCol w:w="1003"/>
              <w:gridCol w:w="1363"/>
              <w:gridCol w:w="1004"/>
              <w:gridCol w:w="811"/>
            </w:tblGrid>
            <w:tr w14:paraId="1DC726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3" w:type="pct"/>
                  <w:vMerge w:val="restart"/>
                  <w:tcBorders>
                    <w:tl2br w:val="nil"/>
                    <w:tr2bl w:val="nil"/>
                  </w:tcBorders>
                  <w:vAlign w:val="center"/>
                </w:tcPr>
                <w:p w14:paraId="5B07C6C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cs="Times New Roman"/>
                      <w:b w:val="0"/>
                      <w:bCs/>
                      <w:color w:val="auto"/>
                      <w:spacing w:val="0"/>
                      <w:sz w:val="21"/>
                      <w:szCs w:val="21"/>
                      <w:highlight w:val="none"/>
                      <w:vertAlign w:val="baseline"/>
                      <w:lang w:val="en-US" w:eastAsia="zh-CN"/>
                    </w:rPr>
                    <w:t>排放源</w:t>
                  </w:r>
                </w:p>
              </w:tc>
              <w:tc>
                <w:tcPr>
                  <w:tcW w:w="363" w:type="pct"/>
                  <w:vMerge w:val="restart"/>
                  <w:tcBorders>
                    <w:tl2br w:val="nil"/>
                    <w:tr2bl w:val="nil"/>
                  </w:tcBorders>
                  <w:vAlign w:val="center"/>
                </w:tcPr>
                <w:p w14:paraId="5AAC1D2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cs="Times New Roman"/>
                      <w:b w:val="0"/>
                      <w:bCs/>
                      <w:color w:val="auto"/>
                      <w:spacing w:val="0"/>
                      <w:sz w:val="21"/>
                      <w:szCs w:val="21"/>
                      <w:highlight w:val="none"/>
                      <w:vertAlign w:val="baseline"/>
                      <w:lang w:val="en-US" w:eastAsia="zh-CN"/>
                    </w:rPr>
                    <w:t>产生量（m</w:t>
                  </w:r>
                  <w:r>
                    <w:rPr>
                      <w:rFonts w:hint="default" w:ascii="Times New Roman" w:hAnsi="Times New Roman" w:cs="Times New Roman"/>
                      <w:b w:val="0"/>
                      <w:bCs/>
                      <w:color w:val="auto"/>
                      <w:spacing w:val="0"/>
                      <w:sz w:val="21"/>
                      <w:szCs w:val="21"/>
                      <w:highlight w:val="none"/>
                      <w:vertAlign w:val="superscript"/>
                      <w:lang w:val="en-US" w:eastAsia="zh-CN"/>
                    </w:rPr>
                    <w:t>3</w:t>
                  </w:r>
                  <w:r>
                    <w:rPr>
                      <w:rFonts w:hint="default" w:ascii="Times New Roman" w:hAnsi="Times New Roman" w:cs="Times New Roman"/>
                      <w:b w:val="0"/>
                      <w:bCs/>
                      <w:color w:val="auto"/>
                      <w:spacing w:val="0"/>
                      <w:sz w:val="21"/>
                      <w:szCs w:val="21"/>
                      <w:highlight w:val="none"/>
                      <w:vertAlign w:val="baseline"/>
                      <w:lang w:val="en-US" w:eastAsia="zh-CN"/>
                    </w:rPr>
                    <w:t>/a）</w:t>
                  </w:r>
                </w:p>
              </w:tc>
              <w:tc>
                <w:tcPr>
                  <w:tcW w:w="408" w:type="pct"/>
                  <w:vMerge w:val="restart"/>
                  <w:tcBorders>
                    <w:tl2br w:val="nil"/>
                    <w:tr2bl w:val="nil"/>
                  </w:tcBorders>
                  <w:vAlign w:val="center"/>
                </w:tcPr>
                <w:p w14:paraId="0F58A57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cs="Times New Roman"/>
                      <w:b w:val="0"/>
                      <w:bCs/>
                      <w:color w:val="auto"/>
                      <w:spacing w:val="0"/>
                      <w:sz w:val="21"/>
                      <w:szCs w:val="21"/>
                      <w:highlight w:val="none"/>
                      <w:vertAlign w:val="baseline"/>
                      <w:lang w:val="en-US" w:eastAsia="zh-CN"/>
                    </w:rPr>
                    <w:t>污染物</w:t>
                  </w:r>
                </w:p>
              </w:tc>
              <w:tc>
                <w:tcPr>
                  <w:tcW w:w="1135" w:type="pct"/>
                  <w:gridSpan w:val="2"/>
                  <w:tcBorders>
                    <w:tl2br w:val="nil"/>
                    <w:tr2bl w:val="nil"/>
                  </w:tcBorders>
                  <w:vAlign w:val="center"/>
                </w:tcPr>
                <w:p w14:paraId="0E5D114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rPr>
                  </w:pPr>
                  <w:r>
                    <w:rPr>
                      <w:rFonts w:hint="default" w:ascii="Times New Roman" w:hAnsi="Times New Roman" w:cs="Times New Roman"/>
                      <w:b w:val="0"/>
                      <w:bCs/>
                      <w:color w:val="auto"/>
                      <w:spacing w:val="0"/>
                      <w:sz w:val="21"/>
                      <w:szCs w:val="21"/>
                      <w:highlight w:val="none"/>
                      <w:vertAlign w:val="baseline"/>
                      <w:lang w:val="en-US" w:eastAsia="zh-CN"/>
                    </w:rPr>
                    <w:t>产生情况</w:t>
                  </w:r>
                </w:p>
              </w:tc>
              <w:tc>
                <w:tcPr>
                  <w:tcW w:w="1432" w:type="pct"/>
                  <w:gridSpan w:val="2"/>
                  <w:tcBorders>
                    <w:tl2br w:val="nil"/>
                    <w:tr2bl w:val="nil"/>
                  </w:tcBorders>
                  <w:vAlign w:val="center"/>
                </w:tcPr>
                <w:p w14:paraId="0ECC053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rPr>
                  </w:pPr>
                  <w:r>
                    <w:rPr>
                      <w:rFonts w:hint="default" w:ascii="Times New Roman" w:hAnsi="Times New Roman" w:cs="Times New Roman"/>
                      <w:b w:val="0"/>
                      <w:bCs/>
                      <w:color w:val="auto"/>
                      <w:spacing w:val="0"/>
                      <w:sz w:val="21"/>
                      <w:szCs w:val="21"/>
                      <w:highlight w:val="none"/>
                      <w:vertAlign w:val="baseline"/>
                      <w:lang w:val="en-US" w:eastAsia="zh-CN"/>
                    </w:rPr>
                    <w:t>处理后污染物情况</w:t>
                  </w:r>
                </w:p>
              </w:tc>
              <w:tc>
                <w:tcPr>
                  <w:tcW w:w="1097" w:type="pct"/>
                  <w:gridSpan w:val="2"/>
                  <w:tcBorders>
                    <w:tl2br w:val="nil"/>
                    <w:tr2bl w:val="nil"/>
                  </w:tcBorders>
                  <w:vAlign w:val="center"/>
                </w:tcPr>
                <w:p w14:paraId="307E759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rPr>
                  </w:pPr>
                  <w:r>
                    <w:rPr>
                      <w:rFonts w:hint="default" w:ascii="Times New Roman" w:hAnsi="Times New Roman" w:cs="Times New Roman"/>
                      <w:b w:val="0"/>
                      <w:bCs/>
                      <w:color w:val="auto"/>
                      <w:spacing w:val="0"/>
                      <w:sz w:val="21"/>
                      <w:szCs w:val="21"/>
                      <w:highlight w:val="none"/>
                      <w:vertAlign w:val="baseline"/>
                    </w:rPr>
                    <w:t>排入环境《地表水环境质量标准》(GB3838-2002)准IV类</w:t>
                  </w:r>
                </w:p>
              </w:tc>
            </w:tr>
            <w:tr w14:paraId="13D23B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3" w:type="pct"/>
                  <w:vMerge w:val="continue"/>
                  <w:tcBorders>
                    <w:tl2br w:val="nil"/>
                    <w:tr2bl w:val="nil"/>
                  </w:tcBorders>
                  <w:vAlign w:val="center"/>
                </w:tcPr>
                <w:p w14:paraId="38D0D21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rPr>
                  </w:pPr>
                </w:p>
              </w:tc>
              <w:tc>
                <w:tcPr>
                  <w:tcW w:w="363" w:type="pct"/>
                  <w:vMerge w:val="continue"/>
                  <w:tcBorders>
                    <w:tl2br w:val="nil"/>
                    <w:tr2bl w:val="nil"/>
                  </w:tcBorders>
                  <w:vAlign w:val="center"/>
                </w:tcPr>
                <w:p w14:paraId="247F0C8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rPr>
                  </w:pPr>
                </w:p>
              </w:tc>
              <w:tc>
                <w:tcPr>
                  <w:tcW w:w="408" w:type="pct"/>
                  <w:vMerge w:val="continue"/>
                  <w:tcBorders>
                    <w:tl2br w:val="nil"/>
                    <w:tr2bl w:val="nil"/>
                  </w:tcBorders>
                  <w:vAlign w:val="center"/>
                </w:tcPr>
                <w:p w14:paraId="5CFE208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rPr>
                  </w:pPr>
                </w:p>
              </w:tc>
              <w:tc>
                <w:tcPr>
                  <w:tcW w:w="607" w:type="pct"/>
                  <w:tcBorders>
                    <w:tl2br w:val="nil"/>
                    <w:tr2bl w:val="nil"/>
                  </w:tcBorders>
                  <w:vAlign w:val="center"/>
                </w:tcPr>
                <w:p w14:paraId="731FE61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cs="Times New Roman"/>
                      <w:b w:val="0"/>
                      <w:bCs/>
                      <w:color w:val="auto"/>
                      <w:spacing w:val="0"/>
                      <w:sz w:val="21"/>
                      <w:szCs w:val="21"/>
                      <w:highlight w:val="none"/>
                      <w:vertAlign w:val="baseline"/>
                      <w:lang w:val="en-US" w:eastAsia="zh-CN"/>
                    </w:rPr>
                    <w:t>浓度（mg/L）</w:t>
                  </w:r>
                </w:p>
              </w:tc>
              <w:tc>
                <w:tcPr>
                  <w:tcW w:w="527" w:type="pct"/>
                  <w:tcBorders>
                    <w:tl2br w:val="nil"/>
                    <w:tr2bl w:val="nil"/>
                  </w:tcBorders>
                  <w:vAlign w:val="center"/>
                </w:tcPr>
                <w:p w14:paraId="1A49110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cs="Times New Roman"/>
                      <w:b w:val="0"/>
                      <w:bCs/>
                      <w:color w:val="auto"/>
                      <w:spacing w:val="0"/>
                      <w:sz w:val="21"/>
                      <w:szCs w:val="21"/>
                      <w:highlight w:val="none"/>
                      <w:vertAlign w:val="baseline"/>
                      <w:lang w:val="en-US" w:eastAsia="zh-CN"/>
                    </w:rPr>
                    <w:t>产生量（t/a）</w:t>
                  </w:r>
                </w:p>
              </w:tc>
              <w:tc>
                <w:tcPr>
                  <w:tcW w:w="607" w:type="pct"/>
                  <w:tcBorders>
                    <w:tl2br w:val="nil"/>
                    <w:tr2bl w:val="nil"/>
                  </w:tcBorders>
                  <w:shd w:val="clear" w:color="auto" w:fill="auto"/>
                  <w:vAlign w:val="center"/>
                </w:tcPr>
                <w:p w14:paraId="6852272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kern w:val="2"/>
                      <w:sz w:val="21"/>
                      <w:szCs w:val="21"/>
                      <w:highlight w:val="none"/>
                      <w:vertAlign w:val="baseline"/>
                      <w:lang w:val="en-US" w:eastAsia="zh-CN" w:bidi="ar-SA"/>
                    </w:rPr>
                  </w:pPr>
                  <w:r>
                    <w:rPr>
                      <w:rFonts w:hint="default" w:ascii="Times New Roman" w:hAnsi="Times New Roman" w:cs="Times New Roman"/>
                      <w:b w:val="0"/>
                      <w:bCs/>
                      <w:color w:val="auto"/>
                      <w:spacing w:val="0"/>
                      <w:sz w:val="21"/>
                      <w:szCs w:val="21"/>
                      <w:highlight w:val="none"/>
                      <w:vertAlign w:val="baseline"/>
                      <w:lang w:val="en-US" w:eastAsia="zh-CN"/>
                    </w:rPr>
                    <w:t>浓度（mg/L）</w:t>
                  </w:r>
                </w:p>
              </w:tc>
              <w:tc>
                <w:tcPr>
                  <w:tcW w:w="824" w:type="pct"/>
                  <w:tcBorders>
                    <w:tl2br w:val="nil"/>
                    <w:tr2bl w:val="nil"/>
                  </w:tcBorders>
                  <w:shd w:val="clear" w:color="auto" w:fill="auto"/>
                  <w:vAlign w:val="center"/>
                </w:tcPr>
                <w:p w14:paraId="1D7E883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kern w:val="2"/>
                      <w:sz w:val="21"/>
                      <w:szCs w:val="21"/>
                      <w:highlight w:val="none"/>
                      <w:vertAlign w:val="baseline"/>
                      <w:lang w:val="en-US" w:eastAsia="zh-CN" w:bidi="ar-SA"/>
                    </w:rPr>
                  </w:pPr>
                  <w:r>
                    <w:rPr>
                      <w:rFonts w:hint="default" w:ascii="Times New Roman" w:hAnsi="Times New Roman" w:cs="Times New Roman"/>
                      <w:b w:val="0"/>
                      <w:bCs/>
                      <w:color w:val="auto"/>
                      <w:spacing w:val="0"/>
                      <w:sz w:val="21"/>
                      <w:szCs w:val="21"/>
                      <w:highlight w:val="none"/>
                      <w:vertAlign w:val="baseline"/>
                      <w:lang w:val="en-US" w:eastAsia="zh-CN"/>
                    </w:rPr>
                    <w:t>排放量（t/a）</w:t>
                  </w:r>
                </w:p>
              </w:tc>
              <w:tc>
                <w:tcPr>
                  <w:tcW w:w="608" w:type="pct"/>
                  <w:tcBorders>
                    <w:tl2br w:val="nil"/>
                    <w:tr2bl w:val="nil"/>
                  </w:tcBorders>
                  <w:shd w:val="clear" w:color="auto" w:fill="auto"/>
                  <w:vAlign w:val="center"/>
                </w:tcPr>
                <w:p w14:paraId="4BCDA0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kern w:val="2"/>
                      <w:sz w:val="21"/>
                      <w:szCs w:val="21"/>
                      <w:highlight w:val="none"/>
                      <w:vertAlign w:val="baseline"/>
                      <w:lang w:val="en-US" w:eastAsia="zh-CN" w:bidi="ar-SA"/>
                    </w:rPr>
                  </w:pPr>
                  <w:r>
                    <w:rPr>
                      <w:rFonts w:hint="default" w:ascii="Times New Roman" w:hAnsi="Times New Roman" w:cs="Times New Roman"/>
                      <w:b w:val="0"/>
                      <w:bCs/>
                      <w:color w:val="auto"/>
                      <w:spacing w:val="0"/>
                      <w:sz w:val="21"/>
                      <w:szCs w:val="21"/>
                      <w:highlight w:val="none"/>
                      <w:vertAlign w:val="baseline"/>
                      <w:lang w:val="en-US" w:eastAsia="zh-CN"/>
                    </w:rPr>
                    <w:t>浓度（mg/L）</w:t>
                  </w:r>
                </w:p>
              </w:tc>
              <w:tc>
                <w:tcPr>
                  <w:tcW w:w="488" w:type="pct"/>
                  <w:tcBorders>
                    <w:tl2br w:val="nil"/>
                    <w:tr2bl w:val="nil"/>
                  </w:tcBorders>
                  <w:shd w:val="clear" w:color="auto" w:fill="auto"/>
                  <w:vAlign w:val="center"/>
                </w:tcPr>
                <w:p w14:paraId="507F689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kern w:val="2"/>
                      <w:sz w:val="21"/>
                      <w:szCs w:val="21"/>
                      <w:highlight w:val="none"/>
                      <w:vertAlign w:val="baseline"/>
                      <w:lang w:val="en-US" w:eastAsia="zh-CN" w:bidi="ar-SA"/>
                    </w:rPr>
                  </w:pPr>
                  <w:r>
                    <w:rPr>
                      <w:rFonts w:hint="default" w:ascii="Times New Roman" w:hAnsi="Times New Roman" w:cs="Times New Roman"/>
                      <w:b w:val="0"/>
                      <w:bCs/>
                      <w:color w:val="auto"/>
                      <w:spacing w:val="0"/>
                      <w:sz w:val="21"/>
                      <w:szCs w:val="21"/>
                      <w:highlight w:val="none"/>
                      <w:vertAlign w:val="baseline"/>
                      <w:lang w:val="en-US" w:eastAsia="zh-CN"/>
                    </w:rPr>
                    <w:t>排放量（t/a）</w:t>
                  </w:r>
                </w:p>
              </w:tc>
            </w:tr>
            <w:tr w14:paraId="7BF2FF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3" w:type="pct"/>
                  <w:vMerge w:val="restart"/>
                  <w:tcBorders>
                    <w:tl2br w:val="nil"/>
                    <w:tr2bl w:val="nil"/>
                  </w:tcBorders>
                  <w:vAlign w:val="center"/>
                </w:tcPr>
                <w:p w14:paraId="4DAEFCB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cs="Times New Roman"/>
                      <w:b w:val="0"/>
                      <w:bCs/>
                      <w:color w:val="auto"/>
                      <w:spacing w:val="0"/>
                      <w:sz w:val="21"/>
                      <w:szCs w:val="21"/>
                      <w:highlight w:val="none"/>
                      <w:vertAlign w:val="baseline"/>
                      <w:lang w:val="en-US" w:eastAsia="zh-CN"/>
                    </w:rPr>
                    <w:t>生活污水</w:t>
                  </w:r>
                </w:p>
              </w:tc>
              <w:tc>
                <w:tcPr>
                  <w:tcW w:w="363" w:type="pct"/>
                  <w:vMerge w:val="restart"/>
                  <w:tcBorders>
                    <w:tl2br w:val="nil"/>
                    <w:tr2bl w:val="nil"/>
                  </w:tcBorders>
                  <w:vAlign w:val="center"/>
                </w:tcPr>
                <w:p w14:paraId="7C5BF5B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auto"/>
                      <w:spacing w:val="0"/>
                      <w:sz w:val="21"/>
                      <w:szCs w:val="21"/>
                      <w:highlight w:val="none"/>
                      <w:vertAlign w:val="baseline"/>
                      <w:lang w:val="en-US" w:eastAsia="zh-CN"/>
                    </w:rPr>
                  </w:pPr>
                  <w:r>
                    <w:rPr>
                      <w:rFonts w:hint="eastAsia" w:cs="Times New Roman"/>
                      <w:b w:val="0"/>
                      <w:bCs/>
                      <w:color w:val="auto"/>
                      <w:spacing w:val="0"/>
                      <w:sz w:val="21"/>
                      <w:szCs w:val="21"/>
                      <w:highlight w:val="none"/>
                      <w:vertAlign w:val="baseline"/>
                      <w:lang w:val="en-US" w:eastAsia="zh-CN"/>
                    </w:rPr>
                    <w:t>167.535</w:t>
                  </w:r>
                </w:p>
              </w:tc>
              <w:tc>
                <w:tcPr>
                  <w:tcW w:w="408" w:type="pct"/>
                  <w:tcBorders>
                    <w:tl2br w:val="nil"/>
                    <w:tr2bl w:val="nil"/>
                  </w:tcBorders>
                  <w:vAlign w:val="center"/>
                </w:tcPr>
                <w:p w14:paraId="14D2C8F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cs="Times New Roman"/>
                      <w:b w:val="0"/>
                      <w:bCs/>
                      <w:color w:val="auto"/>
                      <w:spacing w:val="0"/>
                      <w:sz w:val="21"/>
                      <w:szCs w:val="21"/>
                      <w:highlight w:val="none"/>
                      <w:vertAlign w:val="baseline"/>
                      <w:lang w:val="en-US" w:eastAsia="zh-CN"/>
                    </w:rPr>
                    <w:t>pH</w:t>
                  </w:r>
                </w:p>
              </w:tc>
              <w:tc>
                <w:tcPr>
                  <w:tcW w:w="1003" w:type="dxa"/>
                  <w:tcBorders>
                    <w:tl2br w:val="nil"/>
                    <w:tr2bl w:val="nil"/>
                  </w:tcBorders>
                  <w:vAlign w:val="center"/>
                </w:tcPr>
                <w:p w14:paraId="7794F6FF">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6~9</w:t>
                  </w:r>
                  <w:r>
                    <w:rPr>
                      <w:rFonts w:hint="eastAsia" w:ascii="宋体" w:hAnsi="宋体" w:eastAsia="宋体" w:cs="宋体"/>
                      <w:i w:val="0"/>
                      <w:iCs w:val="0"/>
                      <w:color w:val="auto"/>
                      <w:kern w:val="0"/>
                      <w:sz w:val="21"/>
                      <w:szCs w:val="21"/>
                      <w:u w:val="none"/>
                      <w:lang w:val="en-US" w:eastAsia="zh-CN" w:bidi="ar"/>
                    </w:rPr>
                    <w:t>（无量纲）</w:t>
                  </w:r>
                </w:p>
              </w:tc>
              <w:tc>
                <w:tcPr>
                  <w:tcW w:w="872" w:type="dxa"/>
                  <w:tcBorders>
                    <w:tl2br w:val="nil"/>
                    <w:tr2bl w:val="nil"/>
                  </w:tcBorders>
                  <w:vAlign w:val="center"/>
                </w:tcPr>
                <w:p w14:paraId="3BD702F2">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1003" w:type="dxa"/>
                  <w:tcBorders>
                    <w:tl2br w:val="nil"/>
                    <w:tr2bl w:val="nil"/>
                  </w:tcBorders>
                  <w:vAlign w:val="center"/>
                </w:tcPr>
                <w:p w14:paraId="1A1A04C1">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1363" w:type="dxa"/>
                  <w:tcBorders>
                    <w:tl2br w:val="nil"/>
                    <w:tr2bl w:val="nil"/>
                  </w:tcBorders>
                  <w:vAlign w:val="center"/>
                </w:tcPr>
                <w:p w14:paraId="5D9EAA19">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1004" w:type="dxa"/>
                  <w:tcBorders>
                    <w:tl2br w:val="nil"/>
                    <w:tr2bl w:val="nil"/>
                  </w:tcBorders>
                  <w:vAlign w:val="center"/>
                </w:tcPr>
                <w:p w14:paraId="1D33B3E1">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811" w:type="dxa"/>
                  <w:tcBorders>
                    <w:tl2br w:val="nil"/>
                    <w:tr2bl w:val="nil"/>
                  </w:tcBorders>
                  <w:vAlign w:val="center"/>
                </w:tcPr>
                <w:p w14:paraId="17096659">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r>
            <w:tr w14:paraId="322C5D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3" w:type="pct"/>
                  <w:vMerge w:val="continue"/>
                  <w:tcBorders>
                    <w:tl2br w:val="nil"/>
                    <w:tr2bl w:val="nil"/>
                  </w:tcBorders>
                  <w:vAlign w:val="center"/>
                </w:tcPr>
                <w:p w14:paraId="1038368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rPr>
                  </w:pPr>
                </w:p>
              </w:tc>
              <w:tc>
                <w:tcPr>
                  <w:tcW w:w="363" w:type="pct"/>
                  <w:vMerge w:val="continue"/>
                  <w:tcBorders>
                    <w:tl2br w:val="nil"/>
                    <w:tr2bl w:val="nil"/>
                  </w:tcBorders>
                  <w:vAlign w:val="center"/>
                </w:tcPr>
                <w:p w14:paraId="05D06FE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rPr>
                  </w:pPr>
                </w:p>
              </w:tc>
              <w:tc>
                <w:tcPr>
                  <w:tcW w:w="408" w:type="pct"/>
                  <w:tcBorders>
                    <w:tl2br w:val="nil"/>
                    <w:tr2bl w:val="nil"/>
                  </w:tcBorders>
                  <w:vAlign w:val="center"/>
                </w:tcPr>
                <w:p w14:paraId="2D4F3D2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cs="Times New Roman"/>
                      <w:b w:val="0"/>
                      <w:bCs/>
                      <w:color w:val="auto"/>
                      <w:spacing w:val="0"/>
                      <w:sz w:val="21"/>
                      <w:szCs w:val="21"/>
                      <w:highlight w:val="none"/>
                      <w:vertAlign w:val="baseline"/>
                      <w:lang w:val="en-US" w:eastAsia="zh-CN"/>
                    </w:rPr>
                    <w:t>COD</w:t>
                  </w:r>
                </w:p>
              </w:tc>
              <w:tc>
                <w:tcPr>
                  <w:tcW w:w="1003" w:type="dxa"/>
                  <w:tcBorders>
                    <w:tl2br w:val="nil"/>
                    <w:tr2bl w:val="nil"/>
                  </w:tcBorders>
                  <w:vAlign w:val="center"/>
                </w:tcPr>
                <w:p w14:paraId="22AE9EB5">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400</w:t>
                  </w:r>
                </w:p>
              </w:tc>
              <w:tc>
                <w:tcPr>
                  <w:tcW w:w="872" w:type="dxa"/>
                  <w:tcBorders>
                    <w:tl2br w:val="nil"/>
                    <w:tr2bl w:val="nil"/>
                  </w:tcBorders>
                  <w:vAlign w:val="center"/>
                </w:tcPr>
                <w:p w14:paraId="2EF34541">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0.067 </w:t>
                  </w:r>
                </w:p>
              </w:tc>
              <w:tc>
                <w:tcPr>
                  <w:tcW w:w="1003" w:type="dxa"/>
                  <w:tcBorders>
                    <w:tl2br w:val="nil"/>
                    <w:tr2bl w:val="nil"/>
                  </w:tcBorders>
                  <w:shd w:val="clear" w:color="auto" w:fill="auto"/>
                  <w:vAlign w:val="center"/>
                </w:tcPr>
                <w:p w14:paraId="286767A8">
                  <w:pPr>
                    <w:keepNext w:val="0"/>
                    <w:keepLines w:val="0"/>
                    <w:widowControl/>
                    <w:suppressLineNumbers w:val="0"/>
                    <w:jc w:val="center"/>
                    <w:textAlignment w:val="center"/>
                    <w:rPr>
                      <w:rFonts w:hint="default" w:ascii="Times New Roman" w:hAnsi="Times New Roman" w:eastAsia="宋体" w:cs="Times New Roman"/>
                      <w:b w:val="0"/>
                      <w:bCs/>
                      <w:color w:val="auto"/>
                      <w:spacing w:val="0"/>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1363" w:type="dxa"/>
                  <w:tcBorders>
                    <w:tl2br w:val="nil"/>
                    <w:tr2bl w:val="nil"/>
                  </w:tcBorders>
                  <w:shd w:val="clear" w:color="auto" w:fill="auto"/>
                  <w:vAlign w:val="center"/>
                </w:tcPr>
                <w:p w14:paraId="3F6B5C1C">
                  <w:pPr>
                    <w:keepNext w:val="0"/>
                    <w:keepLines w:val="0"/>
                    <w:widowControl/>
                    <w:suppressLineNumbers w:val="0"/>
                    <w:jc w:val="center"/>
                    <w:textAlignment w:val="center"/>
                    <w:rPr>
                      <w:rFonts w:hint="default" w:ascii="Times New Roman" w:hAnsi="Times New Roman" w:eastAsia="宋体" w:cs="Times New Roman"/>
                      <w:b w:val="0"/>
                      <w:bCs/>
                      <w:color w:val="auto"/>
                      <w:spacing w:val="0"/>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1004" w:type="dxa"/>
                  <w:tcBorders>
                    <w:tl2br w:val="nil"/>
                    <w:tr2bl w:val="nil"/>
                  </w:tcBorders>
                  <w:shd w:val="clear" w:color="auto" w:fill="auto"/>
                  <w:vAlign w:val="center"/>
                </w:tcPr>
                <w:p w14:paraId="7E3A93E6">
                  <w:pPr>
                    <w:keepNext w:val="0"/>
                    <w:keepLines w:val="0"/>
                    <w:widowControl/>
                    <w:suppressLineNumbers w:val="0"/>
                    <w:jc w:val="center"/>
                    <w:textAlignment w:val="center"/>
                    <w:rPr>
                      <w:rFonts w:hint="default" w:ascii="Times New Roman" w:hAnsi="Times New Roman" w:eastAsia="宋体" w:cs="Times New Roman"/>
                      <w:b w:val="0"/>
                      <w:bCs/>
                      <w:color w:val="auto"/>
                      <w:spacing w:val="0"/>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811" w:type="dxa"/>
                  <w:tcBorders>
                    <w:tl2br w:val="nil"/>
                    <w:tr2bl w:val="nil"/>
                  </w:tcBorders>
                  <w:shd w:val="clear" w:color="auto" w:fill="auto"/>
                  <w:vAlign w:val="center"/>
                </w:tcPr>
                <w:p w14:paraId="345B0A3A">
                  <w:pPr>
                    <w:keepNext w:val="0"/>
                    <w:keepLines w:val="0"/>
                    <w:widowControl/>
                    <w:suppressLineNumbers w:val="0"/>
                    <w:jc w:val="center"/>
                    <w:textAlignment w:val="center"/>
                    <w:rPr>
                      <w:rFonts w:hint="default" w:ascii="Times New Roman" w:hAnsi="Times New Roman" w:eastAsia="宋体" w:cs="Times New Roman"/>
                      <w:b w:val="0"/>
                      <w:bCs/>
                      <w:color w:val="auto"/>
                      <w:spacing w:val="0"/>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r>
            <w:tr w14:paraId="6C744B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3" w:type="pct"/>
                  <w:vMerge w:val="continue"/>
                  <w:tcBorders>
                    <w:tl2br w:val="nil"/>
                    <w:tr2bl w:val="nil"/>
                  </w:tcBorders>
                  <w:vAlign w:val="center"/>
                </w:tcPr>
                <w:p w14:paraId="10116A8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rPr>
                  </w:pPr>
                </w:p>
              </w:tc>
              <w:tc>
                <w:tcPr>
                  <w:tcW w:w="363" w:type="pct"/>
                  <w:vMerge w:val="continue"/>
                  <w:tcBorders>
                    <w:tl2br w:val="nil"/>
                    <w:tr2bl w:val="nil"/>
                  </w:tcBorders>
                  <w:vAlign w:val="center"/>
                </w:tcPr>
                <w:p w14:paraId="10C7D7A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rPr>
                  </w:pPr>
                </w:p>
              </w:tc>
              <w:tc>
                <w:tcPr>
                  <w:tcW w:w="408" w:type="pct"/>
                  <w:tcBorders>
                    <w:tl2br w:val="nil"/>
                    <w:tr2bl w:val="nil"/>
                  </w:tcBorders>
                  <w:vAlign w:val="center"/>
                </w:tcPr>
                <w:p w14:paraId="659960B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cs="Times New Roman"/>
                      <w:b w:val="0"/>
                      <w:bCs/>
                      <w:color w:val="auto"/>
                      <w:spacing w:val="0"/>
                      <w:sz w:val="21"/>
                      <w:szCs w:val="21"/>
                      <w:highlight w:val="none"/>
                      <w:vertAlign w:val="baseline"/>
                      <w:lang w:val="en-US" w:eastAsia="zh-CN"/>
                    </w:rPr>
                    <w:t>BOD</w:t>
                  </w:r>
                  <w:r>
                    <w:rPr>
                      <w:rFonts w:hint="default" w:ascii="Times New Roman" w:hAnsi="Times New Roman" w:cs="Times New Roman"/>
                      <w:b w:val="0"/>
                      <w:bCs/>
                      <w:color w:val="auto"/>
                      <w:spacing w:val="0"/>
                      <w:sz w:val="21"/>
                      <w:szCs w:val="21"/>
                      <w:highlight w:val="none"/>
                      <w:vertAlign w:val="subscript"/>
                      <w:lang w:val="en-US" w:eastAsia="zh-CN"/>
                    </w:rPr>
                    <w:t>5</w:t>
                  </w:r>
                </w:p>
              </w:tc>
              <w:tc>
                <w:tcPr>
                  <w:tcW w:w="1003" w:type="dxa"/>
                  <w:tcBorders>
                    <w:tl2br w:val="nil"/>
                    <w:tr2bl w:val="nil"/>
                  </w:tcBorders>
                  <w:vAlign w:val="center"/>
                </w:tcPr>
                <w:p w14:paraId="3E54E724">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350</w:t>
                  </w:r>
                </w:p>
              </w:tc>
              <w:tc>
                <w:tcPr>
                  <w:tcW w:w="872" w:type="dxa"/>
                  <w:tcBorders>
                    <w:tl2br w:val="nil"/>
                    <w:tr2bl w:val="nil"/>
                  </w:tcBorders>
                  <w:vAlign w:val="center"/>
                </w:tcPr>
                <w:p w14:paraId="71E3FB64">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0.059 </w:t>
                  </w:r>
                </w:p>
              </w:tc>
              <w:tc>
                <w:tcPr>
                  <w:tcW w:w="1003" w:type="dxa"/>
                  <w:tcBorders>
                    <w:tl2br w:val="nil"/>
                    <w:tr2bl w:val="nil"/>
                  </w:tcBorders>
                  <w:shd w:val="clear" w:color="auto" w:fill="auto"/>
                  <w:vAlign w:val="center"/>
                </w:tcPr>
                <w:p w14:paraId="1070F260">
                  <w:pPr>
                    <w:keepNext w:val="0"/>
                    <w:keepLines w:val="0"/>
                    <w:widowControl/>
                    <w:suppressLineNumbers w:val="0"/>
                    <w:jc w:val="center"/>
                    <w:textAlignment w:val="center"/>
                    <w:rPr>
                      <w:rFonts w:hint="default" w:ascii="Times New Roman" w:hAnsi="Times New Roman" w:eastAsia="宋体" w:cs="Times New Roman"/>
                      <w:b w:val="0"/>
                      <w:bCs/>
                      <w:color w:val="auto"/>
                      <w:spacing w:val="0"/>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1363" w:type="dxa"/>
                  <w:tcBorders>
                    <w:tl2br w:val="nil"/>
                    <w:tr2bl w:val="nil"/>
                  </w:tcBorders>
                  <w:shd w:val="clear" w:color="auto" w:fill="auto"/>
                  <w:vAlign w:val="center"/>
                </w:tcPr>
                <w:p w14:paraId="49A226E4">
                  <w:pPr>
                    <w:keepNext w:val="0"/>
                    <w:keepLines w:val="0"/>
                    <w:widowControl/>
                    <w:suppressLineNumbers w:val="0"/>
                    <w:jc w:val="center"/>
                    <w:textAlignment w:val="center"/>
                    <w:rPr>
                      <w:rFonts w:hint="default" w:ascii="Times New Roman" w:hAnsi="Times New Roman" w:eastAsia="宋体" w:cs="Times New Roman"/>
                      <w:b w:val="0"/>
                      <w:bCs/>
                      <w:color w:val="auto"/>
                      <w:spacing w:val="0"/>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1004" w:type="dxa"/>
                  <w:tcBorders>
                    <w:tl2br w:val="nil"/>
                    <w:tr2bl w:val="nil"/>
                  </w:tcBorders>
                  <w:shd w:val="clear" w:color="auto" w:fill="auto"/>
                  <w:vAlign w:val="center"/>
                </w:tcPr>
                <w:p w14:paraId="17015076">
                  <w:pPr>
                    <w:keepNext w:val="0"/>
                    <w:keepLines w:val="0"/>
                    <w:widowControl/>
                    <w:suppressLineNumbers w:val="0"/>
                    <w:jc w:val="center"/>
                    <w:textAlignment w:val="center"/>
                    <w:rPr>
                      <w:rFonts w:hint="default" w:ascii="Times New Roman" w:hAnsi="Times New Roman" w:eastAsia="宋体" w:cs="Times New Roman"/>
                      <w:b w:val="0"/>
                      <w:bCs/>
                      <w:color w:val="auto"/>
                      <w:spacing w:val="0"/>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811" w:type="dxa"/>
                  <w:tcBorders>
                    <w:tl2br w:val="nil"/>
                    <w:tr2bl w:val="nil"/>
                  </w:tcBorders>
                  <w:shd w:val="clear" w:color="auto" w:fill="auto"/>
                  <w:vAlign w:val="center"/>
                </w:tcPr>
                <w:p w14:paraId="5F7B902B">
                  <w:pPr>
                    <w:keepNext w:val="0"/>
                    <w:keepLines w:val="0"/>
                    <w:widowControl/>
                    <w:suppressLineNumbers w:val="0"/>
                    <w:jc w:val="center"/>
                    <w:textAlignment w:val="center"/>
                    <w:rPr>
                      <w:rFonts w:hint="default" w:ascii="Times New Roman" w:hAnsi="Times New Roman" w:eastAsia="宋体" w:cs="Times New Roman"/>
                      <w:b w:val="0"/>
                      <w:bCs/>
                      <w:color w:val="auto"/>
                      <w:spacing w:val="0"/>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r>
            <w:tr w14:paraId="313F89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3" w:type="pct"/>
                  <w:vMerge w:val="continue"/>
                  <w:tcBorders>
                    <w:tl2br w:val="nil"/>
                    <w:tr2bl w:val="nil"/>
                  </w:tcBorders>
                  <w:vAlign w:val="center"/>
                </w:tcPr>
                <w:p w14:paraId="1446567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rPr>
                  </w:pPr>
                </w:p>
              </w:tc>
              <w:tc>
                <w:tcPr>
                  <w:tcW w:w="363" w:type="pct"/>
                  <w:vMerge w:val="continue"/>
                  <w:tcBorders>
                    <w:tl2br w:val="nil"/>
                    <w:tr2bl w:val="nil"/>
                  </w:tcBorders>
                  <w:vAlign w:val="center"/>
                </w:tcPr>
                <w:p w14:paraId="4A447F3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rPr>
                  </w:pPr>
                </w:p>
              </w:tc>
              <w:tc>
                <w:tcPr>
                  <w:tcW w:w="408" w:type="pct"/>
                  <w:tcBorders>
                    <w:tl2br w:val="nil"/>
                    <w:tr2bl w:val="nil"/>
                  </w:tcBorders>
                  <w:vAlign w:val="center"/>
                </w:tcPr>
                <w:p w14:paraId="42E9A43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cs="Times New Roman"/>
                      <w:b w:val="0"/>
                      <w:bCs/>
                      <w:color w:val="auto"/>
                      <w:spacing w:val="0"/>
                      <w:sz w:val="21"/>
                      <w:szCs w:val="21"/>
                      <w:highlight w:val="none"/>
                      <w:vertAlign w:val="baseline"/>
                      <w:lang w:val="en-US" w:eastAsia="zh-CN"/>
                    </w:rPr>
                    <w:t>氨氮</w:t>
                  </w:r>
                </w:p>
              </w:tc>
              <w:tc>
                <w:tcPr>
                  <w:tcW w:w="1003" w:type="dxa"/>
                  <w:tcBorders>
                    <w:tl2br w:val="nil"/>
                    <w:tr2bl w:val="nil"/>
                  </w:tcBorders>
                  <w:vAlign w:val="center"/>
                </w:tcPr>
                <w:p w14:paraId="7E8D5B4D">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40</w:t>
                  </w:r>
                </w:p>
              </w:tc>
              <w:tc>
                <w:tcPr>
                  <w:tcW w:w="872" w:type="dxa"/>
                  <w:tcBorders>
                    <w:tl2br w:val="nil"/>
                    <w:tr2bl w:val="nil"/>
                  </w:tcBorders>
                  <w:vAlign w:val="center"/>
                </w:tcPr>
                <w:p w14:paraId="75611A70">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0.007 </w:t>
                  </w:r>
                </w:p>
              </w:tc>
              <w:tc>
                <w:tcPr>
                  <w:tcW w:w="1003" w:type="dxa"/>
                  <w:tcBorders>
                    <w:tl2br w:val="nil"/>
                    <w:tr2bl w:val="nil"/>
                  </w:tcBorders>
                  <w:shd w:val="clear" w:color="auto" w:fill="auto"/>
                  <w:vAlign w:val="center"/>
                </w:tcPr>
                <w:p w14:paraId="45A1FB46">
                  <w:pPr>
                    <w:keepNext w:val="0"/>
                    <w:keepLines w:val="0"/>
                    <w:widowControl/>
                    <w:suppressLineNumbers w:val="0"/>
                    <w:jc w:val="center"/>
                    <w:textAlignment w:val="center"/>
                    <w:rPr>
                      <w:rFonts w:hint="default" w:ascii="Times New Roman" w:hAnsi="Times New Roman" w:eastAsia="宋体" w:cs="Times New Roman"/>
                      <w:b w:val="0"/>
                      <w:bCs/>
                      <w:color w:val="auto"/>
                      <w:spacing w:val="0"/>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1363" w:type="dxa"/>
                  <w:tcBorders>
                    <w:tl2br w:val="nil"/>
                    <w:tr2bl w:val="nil"/>
                  </w:tcBorders>
                  <w:shd w:val="clear" w:color="auto" w:fill="auto"/>
                  <w:vAlign w:val="center"/>
                </w:tcPr>
                <w:p w14:paraId="683E358F">
                  <w:pPr>
                    <w:keepNext w:val="0"/>
                    <w:keepLines w:val="0"/>
                    <w:widowControl/>
                    <w:suppressLineNumbers w:val="0"/>
                    <w:jc w:val="center"/>
                    <w:textAlignment w:val="center"/>
                    <w:rPr>
                      <w:rFonts w:hint="default" w:ascii="Times New Roman" w:hAnsi="Times New Roman" w:eastAsia="宋体" w:cs="Times New Roman"/>
                      <w:b w:val="0"/>
                      <w:bCs/>
                      <w:color w:val="auto"/>
                      <w:spacing w:val="0"/>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1004" w:type="dxa"/>
                  <w:tcBorders>
                    <w:tl2br w:val="nil"/>
                    <w:tr2bl w:val="nil"/>
                  </w:tcBorders>
                  <w:shd w:val="clear" w:color="auto" w:fill="auto"/>
                  <w:vAlign w:val="center"/>
                </w:tcPr>
                <w:p w14:paraId="712D5AD3">
                  <w:pPr>
                    <w:keepNext w:val="0"/>
                    <w:keepLines w:val="0"/>
                    <w:widowControl/>
                    <w:suppressLineNumbers w:val="0"/>
                    <w:jc w:val="center"/>
                    <w:textAlignment w:val="center"/>
                    <w:rPr>
                      <w:rFonts w:hint="default" w:ascii="Times New Roman" w:hAnsi="Times New Roman" w:eastAsia="宋体" w:cs="Times New Roman"/>
                      <w:b w:val="0"/>
                      <w:bCs/>
                      <w:color w:val="auto"/>
                      <w:spacing w:val="0"/>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811" w:type="dxa"/>
                  <w:tcBorders>
                    <w:tl2br w:val="nil"/>
                    <w:tr2bl w:val="nil"/>
                  </w:tcBorders>
                  <w:shd w:val="clear" w:color="auto" w:fill="auto"/>
                  <w:vAlign w:val="center"/>
                </w:tcPr>
                <w:p w14:paraId="352E1E38">
                  <w:pPr>
                    <w:keepNext w:val="0"/>
                    <w:keepLines w:val="0"/>
                    <w:widowControl/>
                    <w:suppressLineNumbers w:val="0"/>
                    <w:jc w:val="center"/>
                    <w:textAlignment w:val="center"/>
                    <w:rPr>
                      <w:rFonts w:hint="default" w:ascii="Times New Roman" w:hAnsi="Times New Roman" w:eastAsia="宋体" w:cs="Times New Roman"/>
                      <w:b w:val="0"/>
                      <w:bCs/>
                      <w:color w:val="auto"/>
                      <w:spacing w:val="0"/>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r>
            <w:tr w14:paraId="24596A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3" w:type="pct"/>
                  <w:vMerge w:val="continue"/>
                  <w:tcBorders>
                    <w:tl2br w:val="nil"/>
                    <w:tr2bl w:val="nil"/>
                  </w:tcBorders>
                  <w:vAlign w:val="center"/>
                </w:tcPr>
                <w:p w14:paraId="309D7E8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rPr>
                  </w:pPr>
                </w:p>
              </w:tc>
              <w:tc>
                <w:tcPr>
                  <w:tcW w:w="363" w:type="pct"/>
                  <w:vMerge w:val="continue"/>
                  <w:tcBorders>
                    <w:tl2br w:val="nil"/>
                    <w:tr2bl w:val="nil"/>
                  </w:tcBorders>
                  <w:vAlign w:val="center"/>
                </w:tcPr>
                <w:p w14:paraId="5401373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rPr>
                  </w:pPr>
                </w:p>
              </w:tc>
              <w:tc>
                <w:tcPr>
                  <w:tcW w:w="408" w:type="pct"/>
                  <w:tcBorders>
                    <w:tl2br w:val="nil"/>
                    <w:tr2bl w:val="nil"/>
                  </w:tcBorders>
                  <w:vAlign w:val="center"/>
                </w:tcPr>
                <w:p w14:paraId="3485FB8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cs="Times New Roman"/>
                      <w:b w:val="0"/>
                      <w:bCs/>
                      <w:color w:val="auto"/>
                      <w:spacing w:val="0"/>
                      <w:sz w:val="21"/>
                      <w:szCs w:val="21"/>
                      <w:highlight w:val="none"/>
                      <w:vertAlign w:val="baseline"/>
                      <w:lang w:val="en-US" w:eastAsia="zh-CN"/>
                    </w:rPr>
                    <w:t>SS</w:t>
                  </w:r>
                </w:p>
              </w:tc>
              <w:tc>
                <w:tcPr>
                  <w:tcW w:w="1003" w:type="dxa"/>
                  <w:tcBorders>
                    <w:tl2br w:val="nil"/>
                    <w:tr2bl w:val="nil"/>
                  </w:tcBorders>
                  <w:vAlign w:val="center"/>
                </w:tcPr>
                <w:p w14:paraId="30B07E43">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350</w:t>
                  </w:r>
                </w:p>
              </w:tc>
              <w:tc>
                <w:tcPr>
                  <w:tcW w:w="872" w:type="dxa"/>
                  <w:tcBorders>
                    <w:tl2br w:val="nil"/>
                    <w:tr2bl w:val="nil"/>
                  </w:tcBorders>
                  <w:vAlign w:val="center"/>
                </w:tcPr>
                <w:p w14:paraId="28E58AD8">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0.059 </w:t>
                  </w:r>
                </w:p>
              </w:tc>
              <w:tc>
                <w:tcPr>
                  <w:tcW w:w="1003" w:type="dxa"/>
                  <w:tcBorders>
                    <w:tl2br w:val="nil"/>
                    <w:tr2bl w:val="nil"/>
                  </w:tcBorders>
                  <w:shd w:val="clear" w:color="auto" w:fill="auto"/>
                  <w:vAlign w:val="center"/>
                </w:tcPr>
                <w:p w14:paraId="0EE222D8">
                  <w:pPr>
                    <w:keepNext w:val="0"/>
                    <w:keepLines w:val="0"/>
                    <w:widowControl/>
                    <w:suppressLineNumbers w:val="0"/>
                    <w:jc w:val="center"/>
                    <w:textAlignment w:val="center"/>
                    <w:rPr>
                      <w:rFonts w:hint="default" w:ascii="Times New Roman" w:hAnsi="Times New Roman" w:eastAsia="宋体" w:cs="Times New Roman"/>
                      <w:b w:val="0"/>
                      <w:bCs/>
                      <w:color w:val="auto"/>
                      <w:spacing w:val="0"/>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1363" w:type="dxa"/>
                  <w:tcBorders>
                    <w:tl2br w:val="nil"/>
                    <w:tr2bl w:val="nil"/>
                  </w:tcBorders>
                  <w:shd w:val="clear" w:color="auto" w:fill="auto"/>
                  <w:vAlign w:val="center"/>
                </w:tcPr>
                <w:p w14:paraId="7BF8171C">
                  <w:pPr>
                    <w:keepNext w:val="0"/>
                    <w:keepLines w:val="0"/>
                    <w:widowControl/>
                    <w:suppressLineNumbers w:val="0"/>
                    <w:jc w:val="center"/>
                    <w:textAlignment w:val="center"/>
                    <w:rPr>
                      <w:rFonts w:hint="default" w:ascii="Times New Roman" w:hAnsi="Times New Roman" w:eastAsia="宋体" w:cs="Times New Roman"/>
                      <w:b w:val="0"/>
                      <w:bCs/>
                      <w:color w:val="auto"/>
                      <w:spacing w:val="0"/>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1004" w:type="dxa"/>
                  <w:tcBorders>
                    <w:tl2br w:val="nil"/>
                    <w:tr2bl w:val="nil"/>
                  </w:tcBorders>
                  <w:shd w:val="clear" w:color="auto" w:fill="auto"/>
                  <w:vAlign w:val="center"/>
                </w:tcPr>
                <w:p w14:paraId="69230D1A">
                  <w:pPr>
                    <w:keepNext w:val="0"/>
                    <w:keepLines w:val="0"/>
                    <w:widowControl/>
                    <w:suppressLineNumbers w:val="0"/>
                    <w:jc w:val="center"/>
                    <w:textAlignment w:val="center"/>
                    <w:rPr>
                      <w:rFonts w:hint="default" w:ascii="Times New Roman" w:hAnsi="Times New Roman" w:eastAsia="宋体" w:cs="Times New Roman"/>
                      <w:b w:val="0"/>
                      <w:bCs/>
                      <w:color w:val="auto"/>
                      <w:spacing w:val="0"/>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811" w:type="dxa"/>
                  <w:tcBorders>
                    <w:tl2br w:val="nil"/>
                    <w:tr2bl w:val="nil"/>
                  </w:tcBorders>
                  <w:shd w:val="clear" w:color="auto" w:fill="auto"/>
                  <w:vAlign w:val="center"/>
                </w:tcPr>
                <w:p w14:paraId="0CC41CC8">
                  <w:pPr>
                    <w:keepNext w:val="0"/>
                    <w:keepLines w:val="0"/>
                    <w:widowControl/>
                    <w:suppressLineNumbers w:val="0"/>
                    <w:jc w:val="center"/>
                    <w:textAlignment w:val="center"/>
                    <w:rPr>
                      <w:rFonts w:hint="default" w:ascii="Times New Roman" w:hAnsi="Times New Roman" w:eastAsia="宋体" w:cs="Times New Roman"/>
                      <w:b w:val="0"/>
                      <w:bCs/>
                      <w:color w:val="auto"/>
                      <w:spacing w:val="0"/>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r>
            <w:tr w14:paraId="1CACE2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3" w:type="pct"/>
                  <w:vMerge w:val="continue"/>
                  <w:tcBorders>
                    <w:tl2br w:val="nil"/>
                    <w:tr2bl w:val="nil"/>
                  </w:tcBorders>
                  <w:vAlign w:val="center"/>
                </w:tcPr>
                <w:p w14:paraId="16D6316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rPr>
                  </w:pPr>
                </w:p>
              </w:tc>
              <w:tc>
                <w:tcPr>
                  <w:tcW w:w="363" w:type="pct"/>
                  <w:vMerge w:val="continue"/>
                  <w:tcBorders>
                    <w:tl2br w:val="nil"/>
                    <w:tr2bl w:val="nil"/>
                  </w:tcBorders>
                  <w:vAlign w:val="center"/>
                </w:tcPr>
                <w:p w14:paraId="30BDA8D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rPr>
                  </w:pPr>
                </w:p>
              </w:tc>
              <w:tc>
                <w:tcPr>
                  <w:tcW w:w="408" w:type="pct"/>
                  <w:tcBorders>
                    <w:tl2br w:val="nil"/>
                    <w:tr2bl w:val="nil"/>
                  </w:tcBorders>
                  <w:vAlign w:val="center"/>
                </w:tcPr>
                <w:p w14:paraId="564EF79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cs="Times New Roman"/>
                      <w:b w:val="0"/>
                      <w:bCs/>
                      <w:color w:val="auto"/>
                      <w:spacing w:val="0"/>
                      <w:sz w:val="21"/>
                      <w:szCs w:val="21"/>
                      <w:highlight w:val="none"/>
                      <w:vertAlign w:val="baseline"/>
                      <w:lang w:val="en-US" w:eastAsia="zh-CN"/>
                    </w:rPr>
                    <w:t>TP</w:t>
                  </w:r>
                </w:p>
              </w:tc>
              <w:tc>
                <w:tcPr>
                  <w:tcW w:w="1003" w:type="dxa"/>
                  <w:tcBorders>
                    <w:tl2br w:val="nil"/>
                    <w:tr2bl w:val="nil"/>
                  </w:tcBorders>
                  <w:vAlign w:val="center"/>
                </w:tcPr>
                <w:p w14:paraId="61630F58">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15</w:t>
                  </w:r>
                </w:p>
              </w:tc>
              <w:tc>
                <w:tcPr>
                  <w:tcW w:w="872" w:type="dxa"/>
                  <w:tcBorders>
                    <w:tl2br w:val="nil"/>
                    <w:tr2bl w:val="nil"/>
                  </w:tcBorders>
                  <w:vAlign w:val="center"/>
                </w:tcPr>
                <w:p w14:paraId="77349803">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0.003 </w:t>
                  </w:r>
                </w:p>
              </w:tc>
              <w:tc>
                <w:tcPr>
                  <w:tcW w:w="1003" w:type="dxa"/>
                  <w:tcBorders>
                    <w:tl2br w:val="nil"/>
                    <w:tr2bl w:val="nil"/>
                  </w:tcBorders>
                  <w:shd w:val="clear" w:color="auto" w:fill="auto"/>
                  <w:vAlign w:val="center"/>
                </w:tcPr>
                <w:p w14:paraId="55D1193F">
                  <w:pPr>
                    <w:keepNext w:val="0"/>
                    <w:keepLines w:val="0"/>
                    <w:widowControl/>
                    <w:suppressLineNumbers w:val="0"/>
                    <w:jc w:val="center"/>
                    <w:textAlignment w:val="center"/>
                    <w:rPr>
                      <w:rFonts w:hint="default" w:ascii="Times New Roman" w:hAnsi="Times New Roman" w:eastAsia="宋体" w:cs="Times New Roman"/>
                      <w:b w:val="0"/>
                      <w:bCs/>
                      <w:color w:val="auto"/>
                      <w:spacing w:val="0"/>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1363" w:type="dxa"/>
                  <w:tcBorders>
                    <w:tl2br w:val="nil"/>
                    <w:tr2bl w:val="nil"/>
                  </w:tcBorders>
                  <w:shd w:val="clear" w:color="auto" w:fill="auto"/>
                  <w:vAlign w:val="center"/>
                </w:tcPr>
                <w:p w14:paraId="1969FF6A">
                  <w:pPr>
                    <w:keepNext w:val="0"/>
                    <w:keepLines w:val="0"/>
                    <w:widowControl/>
                    <w:suppressLineNumbers w:val="0"/>
                    <w:jc w:val="center"/>
                    <w:textAlignment w:val="center"/>
                    <w:rPr>
                      <w:rFonts w:hint="default" w:ascii="Times New Roman" w:hAnsi="Times New Roman" w:eastAsia="宋体" w:cs="Times New Roman"/>
                      <w:b w:val="0"/>
                      <w:bCs/>
                      <w:color w:val="auto"/>
                      <w:spacing w:val="0"/>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1004" w:type="dxa"/>
                  <w:tcBorders>
                    <w:tl2br w:val="nil"/>
                    <w:tr2bl w:val="nil"/>
                  </w:tcBorders>
                  <w:shd w:val="clear" w:color="auto" w:fill="auto"/>
                  <w:vAlign w:val="center"/>
                </w:tcPr>
                <w:p w14:paraId="60BDAE59">
                  <w:pPr>
                    <w:keepNext w:val="0"/>
                    <w:keepLines w:val="0"/>
                    <w:widowControl/>
                    <w:suppressLineNumbers w:val="0"/>
                    <w:jc w:val="center"/>
                    <w:textAlignment w:val="center"/>
                    <w:rPr>
                      <w:rFonts w:hint="default" w:ascii="Times New Roman" w:hAnsi="Times New Roman" w:eastAsia="宋体" w:cs="Times New Roman"/>
                      <w:b w:val="0"/>
                      <w:bCs/>
                      <w:color w:val="auto"/>
                      <w:spacing w:val="0"/>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811" w:type="dxa"/>
                  <w:tcBorders>
                    <w:tl2br w:val="nil"/>
                    <w:tr2bl w:val="nil"/>
                  </w:tcBorders>
                  <w:shd w:val="clear" w:color="auto" w:fill="auto"/>
                  <w:vAlign w:val="center"/>
                </w:tcPr>
                <w:p w14:paraId="18F92C82">
                  <w:pPr>
                    <w:keepNext w:val="0"/>
                    <w:keepLines w:val="0"/>
                    <w:widowControl/>
                    <w:suppressLineNumbers w:val="0"/>
                    <w:jc w:val="center"/>
                    <w:textAlignment w:val="center"/>
                    <w:rPr>
                      <w:rFonts w:hint="default" w:ascii="Times New Roman" w:hAnsi="Times New Roman" w:eastAsia="宋体" w:cs="Times New Roman"/>
                      <w:b w:val="0"/>
                      <w:bCs/>
                      <w:color w:val="auto"/>
                      <w:spacing w:val="0"/>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r>
            <w:tr w14:paraId="4E0220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3" w:type="pct"/>
                  <w:vMerge w:val="restart"/>
                  <w:tcBorders>
                    <w:tl2br w:val="nil"/>
                    <w:tr2bl w:val="nil"/>
                  </w:tcBorders>
                  <w:vAlign w:val="center"/>
                </w:tcPr>
                <w:p w14:paraId="256C0A0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cs="Times New Roman"/>
                      <w:b w:val="0"/>
                      <w:bCs/>
                      <w:color w:val="auto"/>
                      <w:spacing w:val="0"/>
                      <w:sz w:val="21"/>
                      <w:szCs w:val="21"/>
                      <w:highlight w:val="none"/>
                      <w:vertAlign w:val="baseline"/>
                      <w:lang w:val="en-US" w:eastAsia="zh-CN"/>
                    </w:rPr>
                    <w:t>医疗废水</w:t>
                  </w:r>
                </w:p>
              </w:tc>
              <w:tc>
                <w:tcPr>
                  <w:tcW w:w="363" w:type="pct"/>
                  <w:vMerge w:val="restart"/>
                  <w:tcBorders>
                    <w:tl2br w:val="nil"/>
                    <w:tr2bl w:val="nil"/>
                  </w:tcBorders>
                  <w:vAlign w:val="center"/>
                </w:tcPr>
                <w:p w14:paraId="2971FC0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eastAsia" w:cs="Times New Roman"/>
                      <w:b w:val="0"/>
                      <w:bCs/>
                      <w:color w:val="auto"/>
                      <w:spacing w:val="0"/>
                      <w:sz w:val="21"/>
                      <w:szCs w:val="21"/>
                      <w:highlight w:val="none"/>
                      <w:vertAlign w:val="baseline"/>
                      <w:lang w:val="en-US" w:eastAsia="zh-CN"/>
                    </w:rPr>
                    <w:t>87.0525</w:t>
                  </w:r>
                </w:p>
              </w:tc>
              <w:tc>
                <w:tcPr>
                  <w:tcW w:w="408" w:type="pct"/>
                  <w:tcBorders>
                    <w:tl2br w:val="nil"/>
                    <w:tr2bl w:val="nil"/>
                  </w:tcBorders>
                  <w:shd w:val="clear" w:color="auto" w:fill="auto"/>
                  <w:vAlign w:val="center"/>
                </w:tcPr>
                <w:p w14:paraId="4D3B6A4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kern w:val="2"/>
                      <w:sz w:val="21"/>
                      <w:szCs w:val="21"/>
                      <w:highlight w:val="none"/>
                      <w:vertAlign w:val="baseline"/>
                      <w:lang w:val="en-US" w:eastAsia="zh-CN" w:bidi="ar-SA"/>
                    </w:rPr>
                  </w:pPr>
                  <w:r>
                    <w:rPr>
                      <w:rFonts w:hint="default" w:ascii="Times New Roman" w:hAnsi="Times New Roman" w:cs="Times New Roman"/>
                      <w:b w:val="0"/>
                      <w:bCs/>
                      <w:color w:val="auto"/>
                      <w:spacing w:val="0"/>
                      <w:sz w:val="21"/>
                      <w:szCs w:val="21"/>
                      <w:highlight w:val="none"/>
                      <w:vertAlign w:val="baseline"/>
                      <w:lang w:val="en-US" w:eastAsia="zh-CN"/>
                    </w:rPr>
                    <w:t>pH</w:t>
                  </w:r>
                </w:p>
              </w:tc>
              <w:tc>
                <w:tcPr>
                  <w:tcW w:w="1003" w:type="dxa"/>
                  <w:tcBorders>
                    <w:tl2br w:val="nil"/>
                    <w:tr2bl w:val="nil"/>
                  </w:tcBorders>
                  <w:vAlign w:val="center"/>
                </w:tcPr>
                <w:p w14:paraId="37D9633E">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6~9</w:t>
                  </w:r>
                </w:p>
              </w:tc>
              <w:tc>
                <w:tcPr>
                  <w:tcW w:w="872" w:type="dxa"/>
                  <w:tcBorders>
                    <w:tl2br w:val="nil"/>
                    <w:tr2bl w:val="nil"/>
                  </w:tcBorders>
                  <w:vAlign w:val="center"/>
                </w:tcPr>
                <w:p w14:paraId="4EE030EA">
                  <w:pPr>
                    <w:keepNext w:val="0"/>
                    <w:keepLines w:val="0"/>
                    <w:widowControl/>
                    <w:suppressLineNumbers w:val="0"/>
                    <w:jc w:val="center"/>
                    <w:textAlignment w:val="center"/>
                    <w:rPr>
                      <w:rFonts w:hint="eastAsia"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1003" w:type="dxa"/>
                  <w:tcBorders>
                    <w:tl2br w:val="nil"/>
                    <w:tr2bl w:val="nil"/>
                  </w:tcBorders>
                  <w:vAlign w:val="center"/>
                </w:tcPr>
                <w:p w14:paraId="04D46992">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1363" w:type="dxa"/>
                  <w:tcBorders>
                    <w:tl2br w:val="nil"/>
                    <w:tr2bl w:val="nil"/>
                  </w:tcBorders>
                  <w:vAlign w:val="center"/>
                </w:tcPr>
                <w:p w14:paraId="063DBDA6">
                  <w:pPr>
                    <w:keepNext w:val="0"/>
                    <w:keepLines w:val="0"/>
                    <w:widowControl/>
                    <w:suppressLineNumbers w:val="0"/>
                    <w:jc w:val="center"/>
                    <w:textAlignment w:val="center"/>
                    <w:rPr>
                      <w:rFonts w:hint="eastAsia"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1004" w:type="dxa"/>
                  <w:tcBorders>
                    <w:tl2br w:val="nil"/>
                    <w:tr2bl w:val="nil"/>
                  </w:tcBorders>
                  <w:vAlign w:val="center"/>
                </w:tcPr>
                <w:p w14:paraId="050478C3">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11" w:type="dxa"/>
                  <w:tcBorders>
                    <w:tl2br w:val="nil"/>
                    <w:tr2bl w:val="nil"/>
                  </w:tcBorders>
                  <w:vAlign w:val="center"/>
                </w:tcPr>
                <w:p w14:paraId="04651676">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rPr>
                  </w:pPr>
                  <w:r>
                    <w:rPr>
                      <w:rFonts w:hint="default" w:ascii="Times New Roman" w:hAnsi="Times New Roman" w:eastAsia="宋体" w:cs="Times New Roman"/>
                      <w:i w:val="0"/>
                      <w:iCs w:val="0"/>
                      <w:color w:val="auto"/>
                      <w:kern w:val="0"/>
                      <w:sz w:val="21"/>
                      <w:szCs w:val="21"/>
                      <w:u w:val="none"/>
                      <w:lang w:val="en-US" w:eastAsia="zh-CN" w:bidi="ar"/>
                    </w:rPr>
                    <w:t>/</w:t>
                  </w:r>
                </w:p>
              </w:tc>
            </w:tr>
            <w:tr w14:paraId="30A317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3" w:type="pct"/>
                  <w:vMerge w:val="continue"/>
                  <w:tcBorders>
                    <w:tl2br w:val="nil"/>
                    <w:tr2bl w:val="nil"/>
                  </w:tcBorders>
                  <w:vAlign w:val="center"/>
                </w:tcPr>
                <w:p w14:paraId="7D5E1A5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rPr>
                  </w:pPr>
                </w:p>
              </w:tc>
              <w:tc>
                <w:tcPr>
                  <w:tcW w:w="363" w:type="pct"/>
                  <w:vMerge w:val="continue"/>
                  <w:tcBorders>
                    <w:tl2br w:val="nil"/>
                    <w:tr2bl w:val="nil"/>
                  </w:tcBorders>
                  <w:vAlign w:val="center"/>
                </w:tcPr>
                <w:p w14:paraId="17BCDF2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rPr>
                  </w:pPr>
                </w:p>
              </w:tc>
              <w:tc>
                <w:tcPr>
                  <w:tcW w:w="408" w:type="pct"/>
                  <w:tcBorders>
                    <w:tl2br w:val="nil"/>
                    <w:tr2bl w:val="nil"/>
                  </w:tcBorders>
                  <w:shd w:val="clear" w:color="auto" w:fill="auto"/>
                  <w:vAlign w:val="center"/>
                </w:tcPr>
                <w:p w14:paraId="073DF78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kern w:val="2"/>
                      <w:sz w:val="21"/>
                      <w:szCs w:val="21"/>
                      <w:highlight w:val="none"/>
                      <w:vertAlign w:val="baseline"/>
                      <w:lang w:val="en-US" w:eastAsia="zh-CN" w:bidi="ar-SA"/>
                    </w:rPr>
                  </w:pPr>
                  <w:r>
                    <w:rPr>
                      <w:rFonts w:hint="default" w:ascii="Times New Roman" w:hAnsi="Times New Roman" w:cs="Times New Roman"/>
                      <w:b w:val="0"/>
                      <w:bCs/>
                      <w:color w:val="auto"/>
                      <w:spacing w:val="0"/>
                      <w:sz w:val="21"/>
                      <w:szCs w:val="21"/>
                      <w:highlight w:val="none"/>
                      <w:vertAlign w:val="baseline"/>
                      <w:lang w:val="en-US" w:eastAsia="zh-CN"/>
                    </w:rPr>
                    <w:t>COD</w:t>
                  </w:r>
                </w:p>
              </w:tc>
              <w:tc>
                <w:tcPr>
                  <w:tcW w:w="1003" w:type="dxa"/>
                  <w:tcBorders>
                    <w:tl2br w:val="nil"/>
                    <w:tr2bl w:val="nil"/>
                  </w:tcBorders>
                  <w:vAlign w:val="center"/>
                </w:tcPr>
                <w:p w14:paraId="24CC55D8">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250</w:t>
                  </w:r>
                </w:p>
              </w:tc>
              <w:tc>
                <w:tcPr>
                  <w:tcW w:w="872" w:type="dxa"/>
                  <w:tcBorders>
                    <w:tl2br w:val="nil"/>
                    <w:tr2bl w:val="nil"/>
                  </w:tcBorders>
                  <w:vAlign w:val="center"/>
                </w:tcPr>
                <w:p w14:paraId="789E37F1">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0.022 </w:t>
                  </w:r>
                </w:p>
              </w:tc>
              <w:tc>
                <w:tcPr>
                  <w:tcW w:w="1003" w:type="dxa"/>
                  <w:tcBorders>
                    <w:tl2br w:val="nil"/>
                    <w:tr2bl w:val="nil"/>
                  </w:tcBorders>
                  <w:vAlign w:val="center"/>
                </w:tcPr>
                <w:p w14:paraId="1F86E4D0">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1363" w:type="dxa"/>
                  <w:tcBorders>
                    <w:tl2br w:val="nil"/>
                    <w:tr2bl w:val="nil"/>
                  </w:tcBorders>
                  <w:vAlign w:val="center"/>
                </w:tcPr>
                <w:p w14:paraId="40C4D4E0">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1004" w:type="dxa"/>
                  <w:tcBorders>
                    <w:tl2br w:val="nil"/>
                    <w:tr2bl w:val="nil"/>
                  </w:tcBorders>
                  <w:vAlign w:val="center"/>
                </w:tcPr>
                <w:p w14:paraId="42CBCDB4">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11" w:type="dxa"/>
                  <w:tcBorders>
                    <w:tl2br w:val="nil"/>
                    <w:tr2bl w:val="nil"/>
                  </w:tcBorders>
                  <w:vAlign w:val="center"/>
                </w:tcPr>
                <w:p w14:paraId="2652388F">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rPr>
                  </w:pPr>
                  <w:r>
                    <w:rPr>
                      <w:rFonts w:hint="default" w:ascii="Times New Roman" w:hAnsi="Times New Roman" w:eastAsia="宋体" w:cs="Times New Roman"/>
                      <w:i w:val="0"/>
                      <w:iCs w:val="0"/>
                      <w:color w:val="auto"/>
                      <w:kern w:val="0"/>
                      <w:sz w:val="21"/>
                      <w:szCs w:val="21"/>
                      <w:u w:val="none"/>
                      <w:lang w:val="en-US" w:eastAsia="zh-CN" w:bidi="ar"/>
                    </w:rPr>
                    <w:t>/</w:t>
                  </w:r>
                </w:p>
              </w:tc>
            </w:tr>
            <w:tr w14:paraId="60ABBF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3" w:type="pct"/>
                  <w:vMerge w:val="continue"/>
                  <w:tcBorders>
                    <w:tl2br w:val="nil"/>
                    <w:tr2bl w:val="nil"/>
                  </w:tcBorders>
                  <w:vAlign w:val="center"/>
                </w:tcPr>
                <w:p w14:paraId="2BA7D7C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rPr>
                  </w:pPr>
                </w:p>
              </w:tc>
              <w:tc>
                <w:tcPr>
                  <w:tcW w:w="363" w:type="pct"/>
                  <w:vMerge w:val="continue"/>
                  <w:tcBorders>
                    <w:tl2br w:val="nil"/>
                    <w:tr2bl w:val="nil"/>
                  </w:tcBorders>
                  <w:vAlign w:val="center"/>
                </w:tcPr>
                <w:p w14:paraId="0986A0C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rPr>
                  </w:pPr>
                </w:p>
              </w:tc>
              <w:tc>
                <w:tcPr>
                  <w:tcW w:w="408" w:type="pct"/>
                  <w:tcBorders>
                    <w:tl2br w:val="nil"/>
                    <w:tr2bl w:val="nil"/>
                  </w:tcBorders>
                  <w:shd w:val="clear" w:color="auto" w:fill="auto"/>
                  <w:vAlign w:val="center"/>
                </w:tcPr>
                <w:p w14:paraId="7678811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kern w:val="2"/>
                      <w:sz w:val="21"/>
                      <w:szCs w:val="21"/>
                      <w:highlight w:val="none"/>
                      <w:vertAlign w:val="baseline"/>
                      <w:lang w:val="en-US" w:eastAsia="zh-CN" w:bidi="ar-SA"/>
                    </w:rPr>
                  </w:pPr>
                  <w:r>
                    <w:rPr>
                      <w:rFonts w:hint="default" w:ascii="Times New Roman" w:hAnsi="Times New Roman" w:cs="Times New Roman"/>
                      <w:b w:val="0"/>
                      <w:bCs/>
                      <w:color w:val="auto"/>
                      <w:spacing w:val="0"/>
                      <w:sz w:val="21"/>
                      <w:szCs w:val="21"/>
                      <w:highlight w:val="none"/>
                      <w:vertAlign w:val="baseline"/>
                      <w:lang w:val="en-US" w:eastAsia="zh-CN"/>
                    </w:rPr>
                    <w:t>BOD</w:t>
                  </w:r>
                  <w:r>
                    <w:rPr>
                      <w:rFonts w:hint="default" w:ascii="Times New Roman" w:hAnsi="Times New Roman" w:cs="Times New Roman"/>
                      <w:b w:val="0"/>
                      <w:bCs/>
                      <w:color w:val="auto"/>
                      <w:spacing w:val="0"/>
                      <w:sz w:val="21"/>
                      <w:szCs w:val="21"/>
                      <w:highlight w:val="none"/>
                      <w:vertAlign w:val="subscript"/>
                      <w:lang w:val="en-US" w:eastAsia="zh-CN"/>
                    </w:rPr>
                    <w:t>5</w:t>
                  </w:r>
                </w:p>
              </w:tc>
              <w:tc>
                <w:tcPr>
                  <w:tcW w:w="1003" w:type="dxa"/>
                  <w:tcBorders>
                    <w:tl2br w:val="nil"/>
                    <w:tr2bl w:val="nil"/>
                  </w:tcBorders>
                  <w:vAlign w:val="center"/>
                </w:tcPr>
                <w:p w14:paraId="36ECB9B6">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100</w:t>
                  </w:r>
                </w:p>
              </w:tc>
              <w:tc>
                <w:tcPr>
                  <w:tcW w:w="872" w:type="dxa"/>
                  <w:tcBorders>
                    <w:tl2br w:val="nil"/>
                    <w:tr2bl w:val="nil"/>
                  </w:tcBorders>
                  <w:vAlign w:val="center"/>
                </w:tcPr>
                <w:p w14:paraId="708F334A">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0.009 </w:t>
                  </w:r>
                </w:p>
              </w:tc>
              <w:tc>
                <w:tcPr>
                  <w:tcW w:w="1003" w:type="dxa"/>
                  <w:tcBorders>
                    <w:tl2br w:val="nil"/>
                    <w:tr2bl w:val="nil"/>
                  </w:tcBorders>
                  <w:vAlign w:val="center"/>
                </w:tcPr>
                <w:p w14:paraId="73B31E4D">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1363" w:type="dxa"/>
                  <w:tcBorders>
                    <w:tl2br w:val="nil"/>
                    <w:tr2bl w:val="nil"/>
                  </w:tcBorders>
                  <w:vAlign w:val="center"/>
                </w:tcPr>
                <w:p w14:paraId="6C37016F">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1004" w:type="dxa"/>
                  <w:tcBorders>
                    <w:tl2br w:val="nil"/>
                    <w:tr2bl w:val="nil"/>
                  </w:tcBorders>
                  <w:vAlign w:val="center"/>
                </w:tcPr>
                <w:p w14:paraId="49AD1DC4">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11" w:type="dxa"/>
                  <w:tcBorders>
                    <w:tl2br w:val="nil"/>
                    <w:tr2bl w:val="nil"/>
                  </w:tcBorders>
                  <w:vAlign w:val="center"/>
                </w:tcPr>
                <w:p w14:paraId="3E52B089">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rPr>
                  </w:pPr>
                  <w:r>
                    <w:rPr>
                      <w:rFonts w:hint="default" w:ascii="Times New Roman" w:hAnsi="Times New Roman" w:eastAsia="宋体" w:cs="Times New Roman"/>
                      <w:i w:val="0"/>
                      <w:iCs w:val="0"/>
                      <w:color w:val="auto"/>
                      <w:kern w:val="0"/>
                      <w:sz w:val="21"/>
                      <w:szCs w:val="21"/>
                      <w:u w:val="none"/>
                      <w:lang w:val="en-US" w:eastAsia="zh-CN" w:bidi="ar"/>
                    </w:rPr>
                    <w:t>/</w:t>
                  </w:r>
                </w:p>
              </w:tc>
            </w:tr>
            <w:tr w14:paraId="1ABEDE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3" w:type="pct"/>
                  <w:vMerge w:val="continue"/>
                  <w:tcBorders>
                    <w:tl2br w:val="nil"/>
                    <w:tr2bl w:val="nil"/>
                  </w:tcBorders>
                  <w:vAlign w:val="center"/>
                </w:tcPr>
                <w:p w14:paraId="6352706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rPr>
                  </w:pPr>
                </w:p>
              </w:tc>
              <w:tc>
                <w:tcPr>
                  <w:tcW w:w="363" w:type="pct"/>
                  <w:vMerge w:val="continue"/>
                  <w:tcBorders>
                    <w:tl2br w:val="nil"/>
                    <w:tr2bl w:val="nil"/>
                  </w:tcBorders>
                  <w:vAlign w:val="center"/>
                </w:tcPr>
                <w:p w14:paraId="6688245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rPr>
                  </w:pPr>
                </w:p>
              </w:tc>
              <w:tc>
                <w:tcPr>
                  <w:tcW w:w="408" w:type="pct"/>
                  <w:tcBorders>
                    <w:tl2br w:val="nil"/>
                    <w:tr2bl w:val="nil"/>
                  </w:tcBorders>
                  <w:shd w:val="clear" w:color="auto" w:fill="auto"/>
                  <w:vAlign w:val="center"/>
                </w:tcPr>
                <w:p w14:paraId="4C91B3E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kern w:val="2"/>
                      <w:sz w:val="21"/>
                      <w:szCs w:val="21"/>
                      <w:highlight w:val="none"/>
                      <w:vertAlign w:val="baseline"/>
                      <w:lang w:val="en-US" w:eastAsia="zh-CN" w:bidi="ar-SA"/>
                    </w:rPr>
                  </w:pPr>
                  <w:r>
                    <w:rPr>
                      <w:rFonts w:hint="default" w:ascii="Times New Roman" w:hAnsi="Times New Roman" w:cs="Times New Roman"/>
                      <w:b w:val="0"/>
                      <w:bCs/>
                      <w:color w:val="auto"/>
                      <w:spacing w:val="0"/>
                      <w:sz w:val="21"/>
                      <w:szCs w:val="21"/>
                      <w:highlight w:val="none"/>
                      <w:vertAlign w:val="baseline"/>
                      <w:lang w:val="en-US" w:eastAsia="zh-CN"/>
                    </w:rPr>
                    <w:t>氨氮</w:t>
                  </w:r>
                </w:p>
              </w:tc>
              <w:tc>
                <w:tcPr>
                  <w:tcW w:w="1003" w:type="dxa"/>
                  <w:tcBorders>
                    <w:tl2br w:val="nil"/>
                    <w:tr2bl w:val="nil"/>
                  </w:tcBorders>
                  <w:vAlign w:val="center"/>
                </w:tcPr>
                <w:p w14:paraId="3B2EFB0F">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30</w:t>
                  </w:r>
                </w:p>
              </w:tc>
              <w:tc>
                <w:tcPr>
                  <w:tcW w:w="872" w:type="dxa"/>
                  <w:tcBorders>
                    <w:tl2br w:val="nil"/>
                    <w:tr2bl w:val="nil"/>
                  </w:tcBorders>
                  <w:vAlign w:val="center"/>
                </w:tcPr>
                <w:p w14:paraId="3D255B87">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0.003 </w:t>
                  </w:r>
                </w:p>
              </w:tc>
              <w:tc>
                <w:tcPr>
                  <w:tcW w:w="1003" w:type="dxa"/>
                  <w:tcBorders>
                    <w:tl2br w:val="nil"/>
                    <w:tr2bl w:val="nil"/>
                  </w:tcBorders>
                  <w:vAlign w:val="center"/>
                </w:tcPr>
                <w:p w14:paraId="4D35257E">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1363" w:type="dxa"/>
                  <w:tcBorders>
                    <w:tl2br w:val="nil"/>
                    <w:tr2bl w:val="nil"/>
                  </w:tcBorders>
                  <w:vAlign w:val="center"/>
                </w:tcPr>
                <w:p w14:paraId="57FB7CAA">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1004" w:type="dxa"/>
                  <w:tcBorders>
                    <w:tl2br w:val="nil"/>
                    <w:tr2bl w:val="nil"/>
                  </w:tcBorders>
                  <w:vAlign w:val="center"/>
                </w:tcPr>
                <w:p w14:paraId="1FC4054C">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11" w:type="dxa"/>
                  <w:tcBorders>
                    <w:tl2br w:val="nil"/>
                    <w:tr2bl w:val="nil"/>
                  </w:tcBorders>
                  <w:vAlign w:val="center"/>
                </w:tcPr>
                <w:p w14:paraId="6C660C1C">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rPr>
                  </w:pPr>
                  <w:r>
                    <w:rPr>
                      <w:rFonts w:hint="default" w:ascii="Times New Roman" w:hAnsi="Times New Roman" w:eastAsia="宋体" w:cs="Times New Roman"/>
                      <w:i w:val="0"/>
                      <w:iCs w:val="0"/>
                      <w:color w:val="auto"/>
                      <w:kern w:val="0"/>
                      <w:sz w:val="21"/>
                      <w:szCs w:val="21"/>
                      <w:u w:val="none"/>
                      <w:lang w:val="en-US" w:eastAsia="zh-CN" w:bidi="ar"/>
                    </w:rPr>
                    <w:t>/</w:t>
                  </w:r>
                </w:p>
              </w:tc>
            </w:tr>
            <w:tr w14:paraId="047796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3" w:type="pct"/>
                  <w:vMerge w:val="continue"/>
                  <w:tcBorders>
                    <w:tl2br w:val="nil"/>
                    <w:tr2bl w:val="nil"/>
                  </w:tcBorders>
                  <w:vAlign w:val="center"/>
                </w:tcPr>
                <w:p w14:paraId="5079E1B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rPr>
                  </w:pPr>
                </w:p>
              </w:tc>
              <w:tc>
                <w:tcPr>
                  <w:tcW w:w="363" w:type="pct"/>
                  <w:vMerge w:val="continue"/>
                  <w:tcBorders>
                    <w:tl2br w:val="nil"/>
                    <w:tr2bl w:val="nil"/>
                  </w:tcBorders>
                  <w:vAlign w:val="center"/>
                </w:tcPr>
                <w:p w14:paraId="4B749A7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rPr>
                  </w:pPr>
                </w:p>
              </w:tc>
              <w:tc>
                <w:tcPr>
                  <w:tcW w:w="408" w:type="pct"/>
                  <w:tcBorders>
                    <w:tl2br w:val="nil"/>
                    <w:tr2bl w:val="nil"/>
                  </w:tcBorders>
                  <w:shd w:val="clear" w:color="auto" w:fill="auto"/>
                  <w:vAlign w:val="center"/>
                </w:tcPr>
                <w:p w14:paraId="2488662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kern w:val="2"/>
                      <w:sz w:val="21"/>
                      <w:szCs w:val="21"/>
                      <w:highlight w:val="none"/>
                      <w:vertAlign w:val="baseline"/>
                      <w:lang w:val="en-US" w:eastAsia="zh-CN" w:bidi="ar-SA"/>
                    </w:rPr>
                  </w:pPr>
                  <w:r>
                    <w:rPr>
                      <w:rFonts w:hint="default" w:ascii="Times New Roman" w:hAnsi="Times New Roman" w:cs="Times New Roman"/>
                      <w:b w:val="0"/>
                      <w:bCs/>
                      <w:color w:val="auto"/>
                      <w:spacing w:val="0"/>
                      <w:sz w:val="21"/>
                      <w:szCs w:val="21"/>
                      <w:highlight w:val="none"/>
                      <w:vertAlign w:val="baseline"/>
                      <w:lang w:val="en-US" w:eastAsia="zh-CN"/>
                    </w:rPr>
                    <w:t>SS</w:t>
                  </w:r>
                </w:p>
              </w:tc>
              <w:tc>
                <w:tcPr>
                  <w:tcW w:w="1003" w:type="dxa"/>
                  <w:tcBorders>
                    <w:tl2br w:val="nil"/>
                    <w:tr2bl w:val="nil"/>
                  </w:tcBorders>
                  <w:vAlign w:val="center"/>
                </w:tcPr>
                <w:p w14:paraId="35D8DDE1">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80</w:t>
                  </w:r>
                </w:p>
              </w:tc>
              <w:tc>
                <w:tcPr>
                  <w:tcW w:w="872" w:type="dxa"/>
                  <w:tcBorders>
                    <w:tl2br w:val="nil"/>
                    <w:tr2bl w:val="nil"/>
                  </w:tcBorders>
                  <w:vAlign w:val="center"/>
                </w:tcPr>
                <w:p w14:paraId="478ACFE8">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0.007 </w:t>
                  </w:r>
                </w:p>
              </w:tc>
              <w:tc>
                <w:tcPr>
                  <w:tcW w:w="1003" w:type="dxa"/>
                  <w:tcBorders>
                    <w:tl2br w:val="nil"/>
                    <w:tr2bl w:val="nil"/>
                  </w:tcBorders>
                  <w:vAlign w:val="center"/>
                </w:tcPr>
                <w:p w14:paraId="73ECAABB">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1363" w:type="dxa"/>
                  <w:tcBorders>
                    <w:tl2br w:val="nil"/>
                    <w:tr2bl w:val="nil"/>
                  </w:tcBorders>
                  <w:vAlign w:val="center"/>
                </w:tcPr>
                <w:p w14:paraId="37E83845">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1004" w:type="dxa"/>
                  <w:tcBorders>
                    <w:tl2br w:val="nil"/>
                    <w:tr2bl w:val="nil"/>
                  </w:tcBorders>
                  <w:vAlign w:val="center"/>
                </w:tcPr>
                <w:p w14:paraId="5BA8CC86">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11" w:type="dxa"/>
                  <w:tcBorders>
                    <w:tl2br w:val="nil"/>
                    <w:tr2bl w:val="nil"/>
                  </w:tcBorders>
                  <w:vAlign w:val="center"/>
                </w:tcPr>
                <w:p w14:paraId="0C60090A">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rPr>
                  </w:pPr>
                  <w:r>
                    <w:rPr>
                      <w:rFonts w:hint="default" w:ascii="Times New Roman" w:hAnsi="Times New Roman" w:eastAsia="宋体" w:cs="Times New Roman"/>
                      <w:i w:val="0"/>
                      <w:iCs w:val="0"/>
                      <w:color w:val="auto"/>
                      <w:kern w:val="0"/>
                      <w:sz w:val="21"/>
                      <w:szCs w:val="21"/>
                      <w:u w:val="none"/>
                      <w:lang w:val="en-US" w:eastAsia="zh-CN" w:bidi="ar"/>
                    </w:rPr>
                    <w:t>/</w:t>
                  </w:r>
                </w:p>
              </w:tc>
            </w:tr>
            <w:tr w14:paraId="78C989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3" w:type="pct"/>
                  <w:vMerge w:val="continue"/>
                  <w:tcBorders>
                    <w:tl2br w:val="nil"/>
                    <w:tr2bl w:val="nil"/>
                  </w:tcBorders>
                  <w:vAlign w:val="center"/>
                </w:tcPr>
                <w:p w14:paraId="789F32B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rPr>
                  </w:pPr>
                </w:p>
              </w:tc>
              <w:tc>
                <w:tcPr>
                  <w:tcW w:w="363" w:type="pct"/>
                  <w:vMerge w:val="continue"/>
                  <w:tcBorders>
                    <w:tl2br w:val="nil"/>
                    <w:tr2bl w:val="nil"/>
                  </w:tcBorders>
                  <w:vAlign w:val="center"/>
                </w:tcPr>
                <w:p w14:paraId="0C23BF5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rPr>
                  </w:pPr>
                </w:p>
              </w:tc>
              <w:tc>
                <w:tcPr>
                  <w:tcW w:w="408" w:type="pct"/>
                  <w:tcBorders>
                    <w:tl2br w:val="nil"/>
                    <w:tr2bl w:val="nil"/>
                  </w:tcBorders>
                  <w:vAlign w:val="center"/>
                </w:tcPr>
                <w:p w14:paraId="41B4677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cs="Times New Roman"/>
                      <w:b w:val="0"/>
                      <w:bCs/>
                      <w:color w:val="auto"/>
                      <w:spacing w:val="0"/>
                      <w:sz w:val="21"/>
                      <w:szCs w:val="21"/>
                      <w:highlight w:val="none"/>
                      <w:vertAlign w:val="baseline"/>
                      <w:lang w:val="en-US" w:eastAsia="zh-CN"/>
                    </w:rPr>
                    <w:t>粪大肠菌群</w:t>
                  </w:r>
                </w:p>
              </w:tc>
              <w:tc>
                <w:tcPr>
                  <w:tcW w:w="1003" w:type="dxa"/>
                  <w:tcBorders>
                    <w:tl2br w:val="nil"/>
                    <w:tr2bl w:val="nil"/>
                  </w:tcBorders>
                  <w:vAlign w:val="center"/>
                </w:tcPr>
                <w:p w14:paraId="70C7FC58">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1.6×10</w:t>
                  </w:r>
                  <w:r>
                    <w:rPr>
                      <w:rFonts w:hint="default" w:ascii="Times New Roman" w:hAnsi="Times New Roman" w:eastAsia="宋体" w:cs="Times New Roman"/>
                      <w:i w:val="0"/>
                      <w:iCs w:val="0"/>
                      <w:color w:val="auto"/>
                      <w:kern w:val="0"/>
                      <w:sz w:val="21"/>
                      <w:szCs w:val="21"/>
                      <w:u w:val="none"/>
                      <w:vertAlign w:val="superscript"/>
                      <w:lang w:val="en-US" w:eastAsia="zh-CN" w:bidi="ar"/>
                    </w:rPr>
                    <w:t>8</w:t>
                  </w:r>
                  <w:r>
                    <w:rPr>
                      <w:rFonts w:hint="eastAsia" w:ascii="宋体" w:hAnsi="宋体" w:eastAsia="宋体" w:cs="宋体"/>
                      <w:i w:val="0"/>
                      <w:iCs w:val="0"/>
                      <w:color w:val="auto"/>
                      <w:kern w:val="0"/>
                      <w:sz w:val="21"/>
                      <w:szCs w:val="21"/>
                      <w:u w:val="none"/>
                      <w:lang w:val="en-US" w:eastAsia="zh-CN" w:bidi="ar"/>
                    </w:rPr>
                    <w:t>个</w:t>
                  </w:r>
                  <w:r>
                    <w:rPr>
                      <w:rFonts w:hint="default" w:ascii="Times New Roman" w:hAnsi="Times New Roman" w:eastAsia="宋体" w:cs="Times New Roman"/>
                      <w:i w:val="0"/>
                      <w:iCs w:val="0"/>
                      <w:color w:val="auto"/>
                      <w:kern w:val="0"/>
                      <w:sz w:val="21"/>
                      <w:szCs w:val="21"/>
                      <w:u w:val="none"/>
                      <w:lang w:val="en-US" w:eastAsia="zh-CN" w:bidi="ar"/>
                    </w:rPr>
                    <w:t>/L</w:t>
                  </w:r>
                </w:p>
              </w:tc>
              <w:tc>
                <w:tcPr>
                  <w:tcW w:w="872" w:type="dxa"/>
                  <w:tcBorders>
                    <w:tl2br w:val="nil"/>
                    <w:tr2bl w:val="nil"/>
                  </w:tcBorders>
                  <w:vAlign w:val="center"/>
                </w:tcPr>
                <w:p w14:paraId="5DF6EEBE">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r>
                    <w:rPr>
                      <w:rStyle w:val="64"/>
                      <w:rFonts w:eastAsia="宋体"/>
                      <w:color w:val="auto"/>
                      <w:lang w:val="en-US" w:eastAsia="zh-CN" w:bidi="ar"/>
                    </w:rPr>
                    <w:t>2×10</w:t>
                  </w:r>
                  <w:r>
                    <w:rPr>
                      <w:rFonts w:hint="default" w:ascii="Times New Roman" w:hAnsi="Times New Roman" w:eastAsia="宋体" w:cs="Times New Roman"/>
                      <w:i w:val="0"/>
                      <w:iCs w:val="0"/>
                      <w:color w:val="auto"/>
                      <w:kern w:val="0"/>
                      <w:sz w:val="21"/>
                      <w:szCs w:val="21"/>
                      <w:u w:val="none"/>
                      <w:vertAlign w:val="superscript"/>
                      <w:lang w:val="en-US" w:eastAsia="zh-CN" w:bidi="ar"/>
                    </w:rPr>
                    <w:t>13</w:t>
                  </w:r>
                  <w:r>
                    <w:rPr>
                      <w:rFonts w:hint="eastAsia" w:ascii="宋体" w:hAnsi="宋体" w:eastAsia="宋体" w:cs="宋体"/>
                      <w:i w:val="0"/>
                      <w:iCs w:val="0"/>
                      <w:color w:val="auto"/>
                      <w:kern w:val="0"/>
                      <w:sz w:val="21"/>
                      <w:szCs w:val="21"/>
                      <w:u w:val="none"/>
                      <w:lang w:val="en-US" w:eastAsia="zh-CN" w:bidi="ar"/>
                    </w:rPr>
                    <w:t>个</w:t>
                  </w:r>
                  <w:r>
                    <w:rPr>
                      <w:rFonts w:hint="default" w:ascii="Times New Roman" w:hAnsi="Times New Roman" w:eastAsia="宋体" w:cs="Times New Roman"/>
                      <w:i w:val="0"/>
                      <w:iCs w:val="0"/>
                      <w:color w:val="auto"/>
                      <w:kern w:val="0"/>
                      <w:sz w:val="21"/>
                      <w:szCs w:val="21"/>
                      <w:u w:val="none"/>
                      <w:lang w:val="en-US" w:eastAsia="zh-CN" w:bidi="ar"/>
                    </w:rPr>
                    <w:t>/L</w:t>
                  </w:r>
                </w:p>
              </w:tc>
              <w:tc>
                <w:tcPr>
                  <w:tcW w:w="1003" w:type="dxa"/>
                  <w:tcBorders>
                    <w:tl2br w:val="nil"/>
                    <w:tr2bl w:val="nil"/>
                  </w:tcBorders>
                  <w:vAlign w:val="center"/>
                </w:tcPr>
                <w:p w14:paraId="10D941EB">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5000</w:t>
                  </w:r>
                  <w:r>
                    <w:rPr>
                      <w:rFonts w:hint="eastAsia" w:ascii="宋体" w:hAnsi="宋体" w:eastAsia="宋体" w:cs="宋体"/>
                      <w:i w:val="0"/>
                      <w:iCs w:val="0"/>
                      <w:color w:val="auto"/>
                      <w:kern w:val="0"/>
                      <w:sz w:val="21"/>
                      <w:szCs w:val="21"/>
                      <w:u w:val="none"/>
                      <w:lang w:val="en-US" w:eastAsia="zh-CN" w:bidi="ar"/>
                    </w:rPr>
                    <w:t>个</w:t>
                  </w:r>
                  <w:r>
                    <w:rPr>
                      <w:rFonts w:hint="default" w:ascii="Times New Roman" w:hAnsi="Times New Roman" w:eastAsia="宋体" w:cs="Times New Roman"/>
                      <w:i w:val="0"/>
                      <w:iCs w:val="0"/>
                      <w:color w:val="auto"/>
                      <w:kern w:val="0"/>
                      <w:sz w:val="21"/>
                      <w:szCs w:val="21"/>
                      <w:u w:val="none"/>
                      <w:lang w:val="en-US" w:eastAsia="zh-CN" w:bidi="ar"/>
                    </w:rPr>
                    <w:t>/L</w:t>
                  </w:r>
                </w:p>
              </w:tc>
              <w:tc>
                <w:tcPr>
                  <w:tcW w:w="1363" w:type="dxa"/>
                  <w:tcBorders>
                    <w:tl2br w:val="nil"/>
                    <w:tr2bl w:val="nil"/>
                  </w:tcBorders>
                  <w:vAlign w:val="center"/>
                </w:tcPr>
                <w:p w14:paraId="6512F783">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3.9</w:t>
                  </w:r>
                  <w:r>
                    <w:rPr>
                      <w:rStyle w:val="64"/>
                      <w:rFonts w:eastAsia="宋体"/>
                      <w:color w:val="auto"/>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8</w:t>
                  </w:r>
                  <w:r>
                    <w:rPr>
                      <w:rFonts w:hint="eastAsia" w:ascii="宋体" w:hAnsi="宋体" w:eastAsia="宋体" w:cs="宋体"/>
                      <w:i w:val="0"/>
                      <w:iCs w:val="0"/>
                      <w:color w:val="auto"/>
                      <w:kern w:val="0"/>
                      <w:sz w:val="21"/>
                      <w:szCs w:val="21"/>
                      <w:u w:val="none"/>
                      <w:lang w:val="en-US" w:eastAsia="zh-CN" w:bidi="ar"/>
                    </w:rPr>
                    <w:t>个</w:t>
                  </w:r>
                  <w:r>
                    <w:rPr>
                      <w:rFonts w:hint="default" w:ascii="Times New Roman" w:hAnsi="Times New Roman" w:eastAsia="宋体" w:cs="Times New Roman"/>
                      <w:i w:val="0"/>
                      <w:iCs w:val="0"/>
                      <w:color w:val="auto"/>
                      <w:kern w:val="0"/>
                      <w:sz w:val="21"/>
                      <w:szCs w:val="21"/>
                      <w:u w:val="none"/>
                      <w:lang w:val="en-US" w:eastAsia="zh-CN" w:bidi="ar"/>
                    </w:rPr>
                    <w:t>/L</w:t>
                  </w:r>
                </w:p>
              </w:tc>
              <w:tc>
                <w:tcPr>
                  <w:tcW w:w="1004" w:type="dxa"/>
                  <w:tcBorders>
                    <w:tl2br w:val="nil"/>
                    <w:tr2bl w:val="nil"/>
                  </w:tcBorders>
                  <w:vAlign w:val="center"/>
                </w:tcPr>
                <w:p w14:paraId="5FC56835">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11" w:type="dxa"/>
                  <w:tcBorders>
                    <w:tl2br w:val="nil"/>
                    <w:tr2bl w:val="nil"/>
                  </w:tcBorders>
                  <w:vAlign w:val="center"/>
                </w:tcPr>
                <w:p w14:paraId="051FB356">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rPr>
                  </w:pPr>
                  <w:r>
                    <w:rPr>
                      <w:rFonts w:hint="default" w:ascii="Times New Roman" w:hAnsi="Times New Roman" w:eastAsia="宋体" w:cs="Times New Roman"/>
                      <w:i w:val="0"/>
                      <w:iCs w:val="0"/>
                      <w:color w:val="auto"/>
                      <w:kern w:val="0"/>
                      <w:sz w:val="21"/>
                      <w:szCs w:val="21"/>
                      <w:u w:val="none"/>
                      <w:lang w:val="en-US" w:eastAsia="zh-CN" w:bidi="ar"/>
                    </w:rPr>
                    <w:t>/</w:t>
                  </w:r>
                </w:p>
              </w:tc>
            </w:tr>
            <w:tr w14:paraId="0A2937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3" w:type="pct"/>
                  <w:vMerge w:val="continue"/>
                  <w:tcBorders>
                    <w:tl2br w:val="nil"/>
                    <w:tr2bl w:val="nil"/>
                  </w:tcBorders>
                  <w:vAlign w:val="center"/>
                </w:tcPr>
                <w:p w14:paraId="02394D5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rPr>
                  </w:pPr>
                </w:p>
              </w:tc>
              <w:tc>
                <w:tcPr>
                  <w:tcW w:w="363" w:type="pct"/>
                  <w:vMerge w:val="continue"/>
                  <w:tcBorders>
                    <w:tl2br w:val="nil"/>
                    <w:tr2bl w:val="nil"/>
                  </w:tcBorders>
                  <w:vAlign w:val="center"/>
                </w:tcPr>
                <w:p w14:paraId="50A417F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rPr>
                  </w:pPr>
                </w:p>
              </w:tc>
              <w:tc>
                <w:tcPr>
                  <w:tcW w:w="408" w:type="pct"/>
                  <w:tcBorders>
                    <w:tl2br w:val="nil"/>
                    <w:tr2bl w:val="nil"/>
                  </w:tcBorders>
                  <w:vAlign w:val="center"/>
                </w:tcPr>
                <w:p w14:paraId="299925B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cs="Times New Roman"/>
                      <w:b w:val="0"/>
                      <w:bCs/>
                      <w:color w:val="auto"/>
                      <w:spacing w:val="0"/>
                      <w:sz w:val="21"/>
                      <w:szCs w:val="21"/>
                      <w:highlight w:val="none"/>
                      <w:vertAlign w:val="baseline"/>
                      <w:lang w:val="en-US" w:eastAsia="zh-CN"/>
                    </w:rPr>
                    <w:t>总余氯</w:t>
                  </w:r>
                </w:p>
              </w:tc>
              <w:tc>
                <w:tcPr>
                  <w:tcW w:w="1003" w:type="dxa"/>
                  <w:tcBorders>
                    <w:tl2br w:val="nil"/>
                    <w:tr2bl w:val="nil"/>
                  </w:tcBorders>
                  <w:vAlign w:val="center"/>
                </w:tcPr>
                <w:p w14:paraId="0C611029">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872" w:type="dxa"/>
                  <w:tcBorders>
                    <w:tl2br w:val="nil"/>
                    <w:tr2bl w:val="nil"/>
                  </w:tcBorders>
                  <w:vAlign w:val="center"/>
                </w:tcPr>
                <w:p w14:paraId="342C4228">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1003" w:type="dxa"/>
                  <w:tcBorders>
                    <w:tl2br w:val="nil"/>
                    <w:tr2bl w:val="nil"/>
                  </w:tcBorders>
                  <w:vAlign w:val="center"/>
                </w:tcPr>
                <w:p w14:paraId="1A2352EF">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2~8</w:t>
                  </w:r>
                </w:p>
              </w:tc>
              <w:tc>
                <w:tcPr>
                  <w:tcW w:w="1363" w:type="dxa"/>
                  <w:tcBorders>
                    <w:tl2br w:val="nil"/>
                    <w:tr2bl w:val="nil"/>
                  </w:tcBorders>
                  <w:vAlign w:val="center"/>
                </w:tcPr>
                <w:p w14:paraId="74476B1E">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0.0002~0.0006</w:t>
                  </w:r>
                </w:p>
              </w:tc>
              <w:tc>
                <w:tcPr>
                  <w:tcW w:w="1004" w:type="dxa"/>
                  <w:tcBorders>
                    <w:tl2br w:val="nil"/>
                    <w:tr2bl w:val="nil"/>
                  </w:tcBorders>
                  <w:vAlign w:val="center"/>
                </w:tcPr>
                <w:p w14:paraId="4E209A30">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11" w:type="dxa"/>
                  <w:tcBorders>
                    <w:tl2br w:val="nil"/>
                    <w:tr2bl w:val="nil"/>
                  </w:tcBorders>
                  <w:vAlign w:val="center"/>
                </w:tcPr>
                <w:p w14:paraId="469271E1">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rPr>
                  </w:pPr>
                  <w:r>
                    <w:rPr>
                      <w:rFonts w:hint="default" w:ascii="Times New Roman" w:hAnsi="Times New Roman" w:eastAsia="宋体" w:cs="Times New Roman"/>
                      <w:i w:val="0"/>
                      <w:iCs w:val="0"/>
                      <w:color w:val="auto"/>
                      <w:kern w:val="0"/>
                      <w:sz w:val="21"/>
                      <w:szCs w:val="21"/>
                      <w:u w:val="none"/>
                      <w:lang w:val="en-US" w:eastAsia="zh-CN" w:bidi="ar"/>
                    </w:rPr>
                    <w:t>/</w:t>
                  </w:r>
                </w:p>
              </w:tc>
            </w:tr>
            <w:tr w14:paraId="0DB38B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563" w:type="pct"/>
                  <w:vMerge w:val="restart"/>
                  <w:tcBorders>
                    <w:tl2br w:val="nil"/>
                    <w:tr2bl w:val="nil"/>
                  </w:tcBorders>
                  <w:vAlign w:val="center"/>
                </w:tcPr>
                <w:p w14:paraId="06508FB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eastAsia" w:cs="Times New Roman"/>
                      <w:b w:val="0"/>
                      <w:bCs/>
                      <w:color w:val="auto"/>
                      <w:spacing w:val="0"/>
                      <w:sz w:val="21"/>
                      <w:szCs w:val="21"/>
                      <w:highlight w:val="none"/>
                      <w:vertAlign w:val="baseline"/>
                      <w:lang w:val="en-US" w:eastAsia="zh-CN"/>
                    </w:rPr>
                    <w:t>地面清洁废水</w:t>
                  </w:r>
                </w:p>
              </w:tc>
              <w:tc>
                <w:tcPr>
                  <w:tcW w:w="363" w:type="pct"/>
                  <w:vMerge w:val="restart"/>
                  <w:tcBorders>
                    <w:tl2br w:val="nil"/>
                    <w:tr2bl w:val="nil"/>
                  </w:tcBorders>
                  <w:vAlign w:val="center"/>
                </w:tcPr>
                <w:p w14:paraId="4F48720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eastAsia" w:cs="Times New Roman"/>
                      <w:b w:val="0"/>
                      <w:bCs/>
                      <w:color w:val="auto"/>
                      <w:spacing w:val="0"/>
                      <w:sz w:val="21"/>
                      <w:szCs w:val="21"/>
                      <w:highlight w:val="none"/>
                      <w:vertAlign w:val="baseline"/>
                      <w:lang w:val="en-US" w:eastAsia="zh-CN"/>
                    </w:rPr>
                    <w:t>86.724</w:t>
                  </w:r>
                </w:p>
              </w:tc>
              <w:tc>
                <w:tcPr>
                  <w:tcW w:w="408" w:type="pct"/>
                  <w:tcBorders>
                    <w:tl2br w:val="nil"/>
                    <w:tr2bl w:val="nil"/>
                  </w:tcBorders>
                  <w:vAlign w:val="center"/>
                </w:tcPr>
                <w:p w14:paraId="1452AE5B">
                  <w:pPr>
                    <w:widowControl w:val="0"/>
                    <w:snapToGrid w:val="0"/>
                    <w:spacing w:line="240" w:lineRule="auto"/>
                    <w:ind w:firstLine="0" w:firstLineChars="0"/>
                    <w:jc w:val="center"/>
                    <w:rPr>
                      <w:rFonts w:hint="default" w:ascii="Times New Roman" w:hAnsi="Times New Roman" w:cs="Times New Roman"/>
                      <w:b w:val="0"/>
                      <w:bCs/>
                      <w:color w:val="auto"/>
                      <w:spacing w:val="0"/>
                      <w:sz w:val="21"/>
                      <w:szCs w:val="21"/>
                      <w:highlight w:val="none"/>
                      <w:vertAlign w:val="baseline"/>
                      <w:lang w:val="en-US" w:eastAsia="zh-CN"/>
                    </w:rPr>
                  </w:pPr>
                  <w:r>
                    <w:rPr>
                      <w:rFonts w:hint="eastAsia" w:cs="Times New Roman"/>
                      <w:snapToGrid w:val="0"/>
                      <w:color w:val="auto"/>
                      <w:kern w:val="2"/>
                      <w:sz w:val="21"/>
                      <w:szCs w:val="21"/>
                      <w:highlight w:val="none"/>
                      <w:lang w:val="en-US" w:eastAsia="zh-CN" w:bidi="ar-SA"/>
                    </w:rPr>
                    <w:t>pH</w:t>
                  </w:r>
                </w:p>
              </w:tc>
              <w:tc>
                <w:tcPr>
                  <w:tcW w:w="1003" w:type="dxa"/>
                  <w:tcBorders>
                    <w:tl2br w:val="nil"/>
                    <w:tr2bl w:val="nil"/>
                  </w:tcBorders>
                  <w:vAlign w:val="center"/>
                </w:tcPr>
                <w:p w14:paraId="064F3EE5">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6~9</w:t>
                  </w:r>
                </w:p>
              </w:tc>
              <w:tc>
                <w:tcPr>
                  <w:tcW w:w="872" w:type="dxa"/>
                  <w:tcBorders>
                    <w:tl2br w:val="nil"/>
                    <w:tr2bl w:val="nil"/>
                  </w:tcBorders>
                  <w:vAlign w:val="center"/>
                </w:tcPr>
                <w:p w14:paraId="43D856A9">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1003" w:type="dxa"/>
                  <w:tcBorders>
                    <w:tl2br w:val="nil"/>
                    <w:tr2bl w:val="nil"/>
                  </w:tcBorders>
                  <w:vAlign w:val="center"/>
                </w:tcPr>
                <w:p w14:paraId="05F5A394">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1363" w:type="dxa"/>
                  <w:tcBorders>
                    <w:tl2br w:val="nil"/>
                    <w:tr2bl w:val="nil"/>
                  </w:tcBorders>
                  <w:vAlign w:val="center"/>
                </w:tcPr>
                <w:p w14:paraId="0182FA29">
                  <w:pPr>
                    <w:keepNext w:val="0"/>
                    <w:keepLines w:val="0"/>
                    <w:widowControl/>
                    <w:suppressLineNumbers w:val="0"/>
                    <w:jc w:val="center"/>
                    <w:textAlignment w:val="center"/>
                    <w:rPr>
                      <w:rFonts w:hint="eastAsia"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1004" w:type="dxa"/>
                  <w:tcBorders>
                    <w:tl2br w:val="nil"/>
                    <w:tr2bl w:val="nil"/>
                  </w:tcBorders>
                  <w:vAlign w:val="center"/>
                </w:tcPr>
                <w:p w14:paraId="54E1C34E">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811" w:type="dxa"/>
                  <w:tcBorders>
                    <w:tl2br w:val="nil"/>
                    <w:tr2bl w:val="nil"/>
                  </w:tcBorders>
                  <w:vAlign w:val="center"/>
                </w:tcPr>
                <w:p w14:paraId="37CE8992">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r>
            <w:tr w14:paraId="397EA2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563" w:type="pct"/>
                  <w:vMerge w:val="continue"/>
                  <w:tcBorders>
                    <w:tl2br w:val="nil"/>
                    <w:tr2bl w:val="nil"/>
                  </w:tcBorders>
                  <w:vAlign w:val="center"/>
                </w:tcPr>
                <w:p w14:paraId="6770EB5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rPr>
                  </w:pPr>
                </w:p>
              </w:tc>
              <w:tc>
                <w:tcPr>
                  <w:tcW w:w="363" w:type="pct"/>
                  <w:vMerge w:val="continue"/>
                  <w:tcBorders>
                    <w:tl2br w:val="nil"/>
                    <w:tr2bl w:val="nil"/>
                  </w:tcBorders>
                  <w:vAlign w:val="center"/>
                </w:tcPr>
                <w:p w14:paraId="6CC81A4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rPr>
                  </w:pPr>
                </w:p>
              </w:tc>
              <w:tc>
                <w:tcPr>
                  <w:tcW w:w="408" w:type="pct"/>
                  <w:tcBorders>
                    <w:tl2br w:val="nil"/>
                    <w:tr2bl w:val="nil"/>
                  </w:tcBorders>
                  <w:vAlign w:val="center"/>
                </w:tcPr>
                <w:p w14:paraId="5A860EB7">
                  <w:pPr>
                    <w:widowControl w:val="0"/>
                    <w:snapToGrid w:val="0"/>
                    <w:spacing w:line="240" w:lineRule="auto"/>
                    <w:ind w:firstLine="0" w:firstLineChars="0"/>
                    <w:jc w:val="center"/>
                    <w:rPr>
                      <w:rFonts w:hint="default" w:ascii="Times New Roman" w:hAnsi="Times New Roman" w:cs="Times New Roman"/>
                      <w:b w:val="0"/>
                      <w:bCs/>
                      <w:color w:val="auto"/>
                      <w:spacing w:val="0"/>
                      <w:sz w:val="21"/>
                      <w:szCs w:val="21"/>
                      <w:highlight w:val="none"/>
                      <w:vertAlign w:val="baseline"/>
                      <w:lang w:val="en-US" w:eastAsia="zh-CN"/>
                    </w:rPr>
                  </w:pPr>
                  <w:r>
                    <w:rPr>
                      <w:rFonts w:ascii="Times New Roman" w:hAnsi="Times New Roman" w:eastAsia="宋体" w:cs="Times New Roman"/>
                      <w:snapToGrid w:val="0"/>
                      <w:color w:val="auto"/>
                      <w:kern w:val="2"/>
                      <w:sz w:val="21"/>
                      <w:szCs w:val="21"/>
                      <w:highlight w:val="none"/>
                      <w:lang w:val="en-US" w:eastAsia="zh-CN" w:bidi="ar-SA"/>
                    </w:rPr>
                    <w:t>COD</w:t>
                  </w:r>
                </w:p>
              </w:tc>
              <w:tc>
                <w:tcPr>
                  <w:tcW w:w="1003" w:type="dxa"/>
                  <w:tcBorders>
                    <w:tl2br w:val="nil"/>
                    <w:tr2bl w:val="nil"/>
                  </w:tcBorders>
                  <w:vAlign w:val="center"/>
                </w:tcPr>
                <w:p w14:paraId="386F4A83">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400</w:t>
                  </w:r>
                </w:p>
              </w:tc>
              <w:tc>
                <w:tcPr>
                  <w:tcW w:w="872" w:type="dxa"/>
                  <w:tcBorders>
                    <w:tl2br w:val="nil"/>
                    <w:tr2bl w:val="nil"/>
                  </w:tcBorders>
                  <w:vAlign w:val="center"/>
                </w:tcPr>
                <w:p w14:paraId="5B6D73C4">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0.035 </w:t>
                  </w:r>
                </w:p>
              </w:tc>
              <w:tc>
                <w:tcPr>
                  <w:tcW w:w="1003" w:type="dxa"/>
                  <w:tcBorders>
                    <w:tl2br w:val="nil"/>
                    <w:tr2bl w:val="nil"/>
                  </w:tcBorders>
                  <w:vAlign w:val="center"/>
                </w:tcPr>
                <w:p w14:paraId="2F8C1FBF">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1363" w:type="dxa"/>
                  <w:tcBorders>
                    <w:tl2br w:val="nil"/>
                    <w:tr2bl w:val="nil"/>
                  </w:tcBorders>
                  <w:vAlign w:val="center"/>
                </w:tcPr>
                <w:p w14:paraId="0292008D">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1004" w:type="dxa"/>
                  <w:tcBorders>
                    <w:tl2br w:val="nil"/>
                    <w:tr2bl w:val="nil"/>
                  </w:tcBorders>
                  <w:vAlign w:val="center"/>
                </w:tcPr>
                <w:p w14:paraId="2217549C">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811" w:type="dxa"/>
                  <w:tcBorders>
                    <w:tl2br w:val="nil"/>
                    <w:tr2bl w:val="nil"/>
                  </w:tcBorders>
                  <w:vAlign w:val="center"/>
                </w:tcPr>
                <w:p w14:paraId="72EA46E0">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r>
            <w:tr w14:paraId="6AB5EE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563" w:type="pct"/>
                  <w:vMerge w:val="continue"/>
                  <w:tcBorders>
                    <w:tl2br w:val="nil"/>
                    <w:tr2bl w:val="nil"/>
                  </w:tcBorders>
                  <w:vAlign w:val="center"/>
                </w:tcPr>
                <w:p w14:paraId="710E1C3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lang w:val="en-US" w:eastAsia="zh-CN"/>
                    </w:rPr>
                  </w:pPr>
                </w:p>
              </w:tc>
              <w:tc>
                <w:tcPr>
                  <w:tcW w:w="363" w:type="pct"/>
                  <w:vMerge w:val="continue"/>
                  <w:tcBorders>
                    <w:tl2br w:val="nil"/>
                    <w:tr2bl w:val="nil"/>
                  </w:tcBorders>
                  <w:vAlign w:val="center"/>
                </w:tcPr>
                <w:p w14:paraId="116324B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lang w:val="en-US" w:eastAsia="zh-CN"/>
                    </w:rPr>
                  </w:pPr>
                </w:p>
              </w:tc>
              <w:tc>
                <w:tcPr>
                  <w:tcW w:w="408" w:type="pct"/>
                  <w:tcBorders>
                    <w:tl2br w:val="nil"/>
                    <w:tr2bl w:val="nil"/>
                  </w:tcBorders>
                  <w:vAlign w:val="center"/>
                </w:tcPr>
                <w:p w14:paraId="216A492F">
                  <w:pPr>
                    <w:widowControl w:val="0"/>
                    <w:snapToGrid w:val="0"/>
                    <w:spacing w:line="240" w:lineRule="auto"/>
                    <w:ind w:firstLine="0" w:firstLineChars="0"/>
                    <w:jc w:val="center"/>
                    <w:rPr>
                      <w:rFonts w:hint="default" w:ascii="Times New Roman" w:hAnsi="Times New Roman" w:cs="Times New Roman"/>
                      <w:b w:val="0"/>
                      <w:bCs/>
                      <w:color w:val="auto"/>
                      <w:spacing w:val="0"/>
                      <w:sz w:val="21"/>
                      <w:szCs w:val="21"/>
                      <w:highlight w:val="none"/>
                      <w:vertAlign w:val="baseline"/>
                      <w:lang w:val="en-US" w:eastAsia="zh-CN"/>
                    </w:rPr>
                  </w:pPr>
                  <w:r>
                    <w:rPr>
                      <w:rFonts w:ascii="Times New Roman" w:hAnsi="Times New Roman" w:eastAsia="宋体" w:cs="Times New Roman"/>
                      <w:snapToGrid w:val="0"/>
                      <w:color w:val="auto"/>
                      <w:kern w:val="2"/>
                      <w:sz w:val="21"/>
                      <w:szCs w:val="21"/>
                      <w:highlight w:val="none"/>
                      <w:lang w:val="en-US" w:eastAsia="zh-CN" w:bidi="ar-SA"/>
                    </w:rPr>
                    <w:t>SS</w:t>
                  </w:r>
                </w:p>
              </w:tc>
              <w:tc>
                <w:tcPr>
                  <w:tcW w:w="1003" w:type="dxa"/>
                  <w:tcBorders>
                    <w:tl2br w:val="nil"/>
                    <w:tr2bl w:val="nil"/>
                  </w:tcBorders>
                  <w:vAlign w:val="center"/>
                </w:tcPr>
                <w:p w14:paraId="63B8B3F9">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350</w:t>
                  </w:r>
                </w:p>
              </w:tc>
              <w:tc>
                <w:tcPr>
                  <w:tcW w:w="872" w:type="dxa"/>
                  <w:tcBorders>
                    <w:tl2br w:val="nil"/>
                    <w:tr2bl w:val="nil"/>
                  </w:tcBorders>
                  <w:vAlign w:val="center"/>
                </w:tcPr>
                <w:p w14:paraId="5B5B6350">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0.030 </w:t>
                  </w:r>
                </w:p>
              </w:tc>
              <w:tc>
                <w:tcPr>
                  <w:tcW w:w="1003" w:type="dxa"/>
                  <w:tcBorders>
                    <w:tl2br w:val="nil"/>
                    <w:tr2bl w:val="nil"/>
                  </w:tcBorders>
                  <w:vAlign w:val="center"/>
                </w:tcPr>
                <w:p w14:paraId="6621FEB2">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1363" w:type="dxa"/>
                  <w:tcBorders>
                    <w:tl2br w:val="nil"/>
                    <w:tr2bl w:val="nil"/>
                  </w:tcBorders>
                  <w:vAlign w:val="center"/>
                </w:tcPr>
                <w:p w14:paraId="4665D6A2">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1004" w:type="dxa"/>
                  <w:tcBorders>
                    <w:tl2br w:val="nil"/>
                    <w:tr2bl w:val="nil"/>
                  </w:tcBorders>
                  <w:vAlign w:val="center"/>
                </w:tcPr>
                <w:p w14:paraId="475C4F34">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811" w:type="dxa"/>
                  <w:tcBorders>
                    <w:tl2br w:val="nil"/>
                    <w:tr2bl w:val="nil"/>
                  </w:tcBorders>
                  <w:vAlign w:val="center"/>
                </w:tcPr>
                <w:p w14:paraId="1FA06A37">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r>
            <w:tr w14:paraId="0E1319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563" w:type="pct"/>
                  <w:vMerge w:val="continue"/>
                  <w:tcBorders>
                    <w:tl2br w:val="nil"/>
                    <w:tr2bl w:val="nil"/>
                  </w:tcBorders>
                  <w:vAlign w:val="center"/>
                </w:tcPr>
                <w:p w14:paraId="78BE7EC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lang w:val="en-US" w:eastAsia="zh-CN"/>
                    </w:rPr>
                  </w:pPr>
                </w:p>
              </w:tc>
              <w:tc>
                <w:tcPr>
                  <w:tcW w:w="363" w:type="pct"/>
                  <w:vMerge w:val="continue"/>
                  <w:tcBorders>
                    <w:tl2br w:val="nil"/>
                    <w:tr2bl w:val="nil"/>
                  </w:tcBorders>
                  <w:vAlign w:val="center"/>
                </w:tcPr>
                <w:p w14:paraId="08D97DD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lang w:val="en-US" w:eastAsia="zh-CN"/>
                    </w:rPr>
                  </w:pPr>
                </w:p>
              </w:tc>
              <w:tc>
                <w:tcPr>
                  <w:tcW w:w="408" w:type="pct"/>
                  <w:tcBorders>
                    <w:tl2br w:val="nil"/>
                    <w:tr2bl w:val="nil"/>
                  </w:tcBorders>
                  <w:vAlign w:val="center"/>
                </w:tcPr>
                <w:p w14:paraId="13F3C106">
                  <w:pPr>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firstLineChars="0"/>
                    <w:jc w:val="center"/>
                    <w:textAlignment w:val="auto"/>
                    <w:rPr>
                      <w:rFonts w:hint="default" w:ascii="Times New Roman" w:hAnsi="Times New Roman" w:cs="Times New Roman"/>
                      <w:b w:val="0"/>
                      <w:bCs/>
                      <w:color w:val="auto"/>
                      <w:spacing w:val="0"/>
                      <w:sz w:val="21"/>
                      <w:szCs w:val="21"/>
                      <w:highlight w:val="none"/>
                      <w:vertAlign w:val="baseline"/>
                      <w:lang w:val="en-US" w:eastAsia="zh-CN"/>
                    </w:rPr>
                  </w:pPr>
                  <w:r>
                    <w:rPr>
                      <w:rFonts w:ascii="Times New Roman" w:hAnsi="Times New Roman" w:eastAsia="宋体" w:cs="Times New Roman"/>
                      <w:snapToGrid w:val="0"/>
                      <w:color w:val="auto"/>
                      <w:kern w:val="2"/>
                      <w:sz w:val="21"/>
                      <w:szCs w:val="21"/>
                      <w:highlight w:val="none"/>
                      <w:lang w:val="en-US" w:eastAsia="zh-CN" w:bidi="ar-SA"/>
                    </w:rPr>
                    <w:t>BOD</w:t>
                  </w:r>
                  <w:r>
                    <w:rPr>
                      <w:rFonts w:ascii="Times New Roman" w:hAnsi="Times New Roman" w:eastAsia="宋体" w:cs="Times New Roman"/>
                      <w:snapToGrid w:val="0"/>
                      <w:color w:val="auto"/>
                      <w:kern w:val="2"/>
                      <w:sz w:val="21"/>
                      <w:szCs w:val="21"/>
                      <w:highlight w:val="none"/>
                      <w:vertAlign w:val="subscript"/>
                      <w:lang w:val="en-US" w:eastAsia="zh-CN" w:bidi="ar-SA"/>
                    </w:rPr>
                    <w:t>5</w:t>
                  </w:r>
                </w:p>
              </w:tc>
              <w:tc>
                <w:tcPr>
                  <w:tcW w:w="1003" w:type="dxa"/>
                  <w:tcBorders>
                    <w:tl2br w:val="nil"/>
                    <w:tr2bl w:val="nil"/>
                  </w:tcBorders>
                  <w:vAlign w:val="center"/>
                </w:tcPr>
                <w:p w14:paraId="4F3EA215">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400</w:t>
                  </w:r>
                </w:p>
              </w:tc>
              <w:tc>
                <w:tcPr>
                  <w:tcW w:w="872" w:type="dxa"/>
                  <w:tcBorders>
                    <w:tl2br w:val="nil"/>
                    <w:tr2bl w:val="nil"/>
                  </w:tcBorders>
                  <w:vAlign w:val="center"/>
                </w:tcPr>
                <w:p w14:paraId="2985813A">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0.035 </w:t>
                  </w:r>
                </w:p>
              </w:tc>
              <w:tc>
                <w:tcPr>
                  <w:tcW w:w="1003" w:type="dxa"/>
                  <w:tcBorders>
                    <w:tl2br w:val="nil"/>
                    <w:tr2bl w:val="nil"/>
                  </w:tcBorders>
                  <w:vAlign w:val="center"/>
                </w:tcPr>
                <w:p w14:paraId="0F0BC271">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1363" w:type="dxa"/>
                  <w:tcBorders>
                    <w:tl2br w:val="nil"/>
                    <w:tr2bl w:val="nil"/>
                  </w:tcBorders>
                  <w:vAlign w:val="center"/>
                </w:tcPr>
                <w:p w14:paraId="66BF420E">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1004" w:type="dxa"/>
                  <w:tcBorders>
                    <w:tl2br w:val="nil"/>
                    <w:tr2bl w:val="nil"/>
                  </w:tcBorders>
                  <w:vAlign w:val="center"/>
                </w:tcPr>
                <w:p w14:paraId="7C2C2D3E">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811" w:type="dxa"/>
                  <w:tcBorders>
                    <w:tl2br w:val="nil"/>
                    <w:tr2bl w:val="nil"/>
                  </w:tcBorders>
                  <w:vAlign w:val="center"/>
                </w:tcPr>
                <w:p w14:paraId="210597D8">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r>
            <w:tr w14:paraId="4E0797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 w:hRule="atLeast"/>
              </w:trPr>
              <w:tc>
                <w:tcPr>
                  <w:tcW w:w="563" w:type="pct"/>
                  <w:vMerge w:val="restart"/>
                  <w:tcBorders>
                    <w:tl2br w:val="nil"/>
                    <w:tr2bl w:val="nil"/>
                  </w:tcBorders>
                  <w:vAlign w:val="center"/>
                </w:tcPr>
                <w:p w14:paraId="446845E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eastAsia" w:cs="Times New Roman"/>
                      <w:b w:val="0"/>
                      <w:bCs/>
                      <w:color w:val="auto"/>
                      <w:spacing w:val="0"/>
                      <w:sz w:val="21"/>
                      <w:szCs w:val="21"/>
                      <w:highlight w:val="none"/>
                      <w:vertAlign w:val="baseline"/>
                      <w:lang w:val="en-US" w:eastAsia="zh-CN"/>
                    </w:rPr>
                    <w:t>美容洗浴废水</w:t>
                  </w:r>
                </w:p>
              </w:tc>
              <w:tc>
                <w:tcPr>
                  <w:tcW w:w="363" w:type="pct"/>
                  <w:vMerge w:val="restart"/>
                  <w:tcBorders>
                    <w:tl2br w:val="nil"/>
                    <w:tr2bl w:val="nil"/>
                  </w:tcBorders>
                  <w:vAlign w:val="center"/>
                </w:tcPr>
                <w:p w14:paraId="25E1D74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eastAsia" w:cs="Times New Roman"/>
                      <w:b w:val="0"/>
                      <w:bCs/>
                      <w:color w:val="auto"/>
                      <w:spacing w:val="0"/>
                      <w:sz w:val="21"/>
                      <w:szCs w:val="21"/>
                      <w:highlight w:val="none"/>
                      <w:vertAlign w:val="baseline"/>
                      <w:lang w:val="en-US" w:eastAsia="zh-CN"/>
                    </w:rPr>
                    <w:t>65.7</w:t>
                  </w:r>
                </w:p>
              </w:tc>
              <w:tc>
                <w:tcPr>
                  <w:tcW w:w="408" w:type="pct"/>
                  <w:tcBorders>
                    <w:tl2br w:val="nil"/>
                    <w:tr2bl w:val="nil"/>
                  </w:tcBorders>
                  <w:vAlign w:val="center"/>
                </w:tcPr>
                <w:p w14:paraId="6816D6E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cs="Times New Roman"/>
                      <w:b w:val="0"/>
                      <w:bCs/>
                      <w:color w:val="auto"/>
                      <w:spacing w:val="0"/>
                      <w:sz w:val="21"/>
                      <w:szCs w:val="21"/>
                      <w:highlight w:val="none"/>
                      <w:vertAlign w:val="baseline"/>
                      <w:lang w:val="en-US" w:eastAsia="zh-CN"/>
                    </w:rPr>
                    <w:t>pH</w:t>
                  </w:r>
                </w:p>
              </w:tc>
              <w:tc>
                <w:tcPr>
                  <w:tcW w:w="1003" w:type="dxa"/>
                  <w:tcBorders>
                    <w:tl2br w:val="nil"/>
                    <w:tr2bl w:val="nil"/>
                  </w:tcBorders>
                  <w:vAlign w:val="center"/>
                </w:tcPr>
                <w:p w14:paraId="7A087143">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6~9</w:t>
                  </w:r>
                </w:p>
              </w:tc>
              <w:tc>
                <w:tcPr>
                  <w:tcW w:w="872" w:type="dxa"/>
                  <w:tcBorders>
                    <w:tl2br w:val="nil"/>
                    <w:tr2bl w:val="nil"/>
                  </w:tcBorders>
                  <w:vAlign w:val="center"/>
                </w:tcPr>
                <w:p w14:paraId="7A0709BF">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1003" w:type="dxa"/>
                  <w:tcBorders>
                    <w:tl2br w:val="nil"/>
                    <w:tr2bl w:val="nil"/>
                  </w:tcBorders>
                  <w:vAlign w:val="center"/>
                </w:tcPr>
                <w:p w14:paraId="7413ACA6">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1363" w:type="dxa"/>
                  <w:tcBorders>
                    <w:tl2br w:val="nil"/>
                    <w:tr2bl w:val="nil"/>
                  </w:tcBorders>
                  <w:vAlign w:val="center"/>
                </w:tcPr>
                <w:p w14:paraId="49221CA5">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004" w:type="dxa"/>
                  <w:tcBorders>
                    <w:tl2br w:val="nil"/>
                    <w:tr2bl w:val="nil"/>
                  </w:tcBorders>
                  <w:vAlign w:val="center"/>
                </w:tcPr>
                <w:p w14:paraId="144CFFA7">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11" w:type="dxa"/>
                  <w:tcBorders>
                    <w:tl2br w:val="nil"/>
                    <w:tr2bl w:val="nil"/>
                  </w:tcBorders>
                  <w:vAlign w:val="center"/>
                </w:tcPr>
                <w:p w14:paraId="7949F22C">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rPr>
                  </w:pPr>
                  <w:r>
                    <w:rPr>
                      <w:rFonts w:hint="default" w:ascii="Times New Roman" w:hAnsi="Times New Roman" w:eastAsia="宋体" w:cs="Times New Roman"/>
                      <w:i w:val="0"/>
                      <w:iCs w:val="0"/>
                      <w:color w:val="auto"/>
                      <w:kern w:val="0"/>
                      <w:sz w:val="21"/>
                      <w:szCs w:val="21"/>
                      <w:u w:val="none"/>
                      <w:lang w:val="en-US" w:eastAsia="zh-CN" w:bidi="ar"/>
                    </w:rPr>
                    <w:t>/</w:t>
                  </w:r>
                </w:p>
              </w:tc>
            </w:tr>
            <w:tr w14:paraId="0F4721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 w:hRule="atLeast"/>
              </w:trPr>
              <w:tc>
                <w:tcPr>
                  <w:tcW w:w="563" w:type="pct"/>
                  <w:vMerge w:val="continue"/>
                  <w:tcBorders>
                    <w:tl2br w:val="nil"/>
                    <w:tr2bl w:val="nil"/>
                  </w:tcBorders>
                  <w:vAlign w:val="center"/>
                </w:tcPr>
                <w:p w14:paraId="05FDA62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rPr>
                  </w:pPr>
                </w:p>
              </w:tc>
              <w:tc>
                <w:tcPr>
                  <w:tcW w:w="363" w:type="pct"/>
                  <w:vMerge w:val="continue"/>
                  <w:tcBorders>
                    <w:tl2br w:val="nil"/>
                    <w:tr2bl w:val="nil"/>
                  </w:tcBorders>
                  <w:vAlign w:val="center"/>
                </w:tcPr>
                <w:p w14:paraId="2BEC908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rPr>
                  </w:pPr>
                </w:p>
              </w:tc>
              <w:tc>
                <w:tcPr>
                  <w:tcW w:w="408" w:type="pct"/>
                  <w:tcBorders>
                    <w:tl2br w:val="nil"/>
                    <w:tr2bl w:val="nil"/>
                  </w:tcBorders>
                  <w:vAlign w:val="center"/>
                </w:tcPr>
                <w:p w14:paraId="2A853E9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cs="Times New Roman"/>
                      <w:b w:val="0"/>
                      <w:bCs/>
                      <w:color w:val="auto"/>
                      <w:spacing w:val="0"/>
                      <w:sz w:val="21"/>
                      <w:szCs w:val="21"/>
                      <w:highlight w:val="none"/>
                      <w:vertAlign w:val="baseline"/>
                      <w:lang w:val="en-US" w:eastAsia="zh-CN"/>
                    </w:rPr>
                    <w:t>COD</w:t>
                  </w:r>
                </w:p>
              </w:tc>
              <w:tc>
                <w:tcPr>
                  <w:tcW w:w="1003" w:type="dxa"/>
                  <w:tcBorders>
                    <w:tl2br w:val="nil"/>
                    <w:tr2bl w:val="nil"/>
                  </w:tcBorders>
                  <w:vAlign w:val="center"/>
                </w:tcPr>
                <w:p w14:paraId="3FEFDDF7">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600</w:t>
                  </w:r>
                </w:p>
              </w:tc>
              <w:tc>
                <w:tcPr>
                  <w:tcW w:w="872" w:type="dxa"/>
                  <w:tcBorders>
                    <w:tl2br w:val="nil"/>
                    <w:tr2bl w:val="nil"/>
                  </w:tcBorders>
                  <w:vAlign w:val="center"/>
                </w:tcPr>
                <w:p w14:paraId="0CC7A35D">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0.039 </w:t>
                  </w:r>
                </w:p>
              </w:tc>
              <w:tc>
                <w:tcPr>
                  <w:tcW w:w="1003" w:type="dxa"/>
                  <w:tcBorders>
                    <w:tl2br w:val="nil"/>
                    <w:tr2bl w:val="nil"/>
                  </w:tcBorders>
                  <w:vAlign w:val="center"/>
                </w:tcPr>
                <w:p w14:paraId="14321F07">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1363" w:type="dxa"/>
                  <w:tcBorders>
                    <w:tl2br w:val="nil"/>
                    <w:tr2bl w:val="nil"/>
                  </w:tcBorders>
                  <w:vAlign w:val="center"/>
                </w:tcPr>
                <w:p w14:paraId="3A48A9AD">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1004" w:type="dxa"/>
                  <w:tcBorders>
                    <w:tl2br w:val="nil"/>
                    <w:tr2bl w:val="nil"/>
                  </w:tcBorders>
                  <w:vAlign w:val="center"/>
                </w:tcPr>
                <w:p w14:paraId="77DD174F">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811" w:type="dxa"/>
                  <w:tcBorders>
                    <w:tl2br w:val="nil"/>
                    <w:tr2bl w:val="nil"/>
                  </w:tcBorders>
                  <w:vAlign w:val="center"/>
                </w:tcPr>
                <w:p w14:paraId="7B4E841A">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r>
            <w:tr w14:paraId="43896C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 w:hRule="atLeast"/>
              </w:trPr>
              <w:tc>
                <w:tcPr>
                  <w:tcW w:w="563" w:type="pct"/>
                  <w:vMerge w:val="continue"/>
                  <w:tcBorders>
                    <w:tl2br w:val="nil"/>
                    <w:tr2bl w:val="nil"/>
                  </w:tcBorders>
                  <w:vAlign w:val="center"/>
                </w:tcPr>
                <w:p w14:paraId="230BD38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lang w:val="en-US" w:eastAsia="zh-CN"/>
                    </w:rPr>
                  </w:pPr>
                </w:p>
              </w:tc>
              <w:tc>
                <w:tcPr>
                  <w:tcW w:w="363" w:type="pct"/>
                  <w:vMerge w:val="continue"/>
                  <w:tcBorders>
                    <w:tl2br w:val="nil"/>
                    <w:tr2bl w:val="nil"/>
                  </w:tcBorders>
                  <w:vAlign w:val="center"/>
                </w:tcPr>
                <w:p w14:paraId="47AD353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lang w:val="en-US" w:eastAsia="zh-CN"/>
                    </w:rPr>
                  </w:pPr>
                </w:p>
              </w:tc>
              <w:tc>
                <w:tcPr>
                  <w:tcW w:w="408" w:type="pct"/>
                  <w:tcBorders>
                    <w:tl2br w:val="nil"/>
                    <w:tr2bl w:val="nil"/>
                  </w:tcBorders>
                  <w:vAlign w:val="center"/>
                </w:tcPr>
                <w:p w14:paraId="35C17FC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cs="Times New Roman"/>
                      <w:b w:val="0"/>
                      <w:bCs/>
                      <w:color w:val="auto"/>
                      <w:spacing w:val="0"/>
                      <w:sz w:val="21"/>
                      <w:szCs w:val="21"/>
                      <w:highlight w:val="none"/>
                      <w:vertAlign w:val="baseline"/>
                      <w:lang w:val="en-US" w:eastAsia="zh-CN"/>
                    </w:rPr>
                    <w:t>BOD</w:t>
                  </w:r>
                  <w:r>
                    <w:rPr>
                      <w:rFonts w:hint="default" w:ascii="Times New Roman" w:hAnsi="Times New Roman" w:cs="Times New Roman"/>
                      <w:b w:val="0"/>
                      <w:bCs/>
                      <w:color w:val="auto"/>
                      <w:spacing w:val="0"/>
                      <w:sz w:val="21"/>
                      <w:szCs w:val="21"/>
                      <w:highlight w:val="none"/>
                      <w:vertAlign w:val="subscript"/>
                      <w:lang w:val="en-US" w:eastAsia="zh-CN"/>
                    </w:rPr>
                    <w:t>5</w:t>
                  </w:r>
                </w:p>
              </w:tc>
              <w:tc>
                <w:tcPr>
                  <w:tcW w:w="1003" w:type="dxa"/>
                  <w:tcBorders>
                    <w:tl2br w:val="nil"/>
                    <w:tr2bl w:val="nil"/>
                  </w:tcBorders>
                  <w:vAlign w:val="center"/>
                </w:tcPr>
                <w:p w14:paraId="2CFD97DB">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700</w:t>
                  </w:r>
                </w:p>
              </w:tc>
              <w:tc>
                <w:tcPr>
                  <w:tcW w:w="872" w:type="dxa"/>
                  <w:tcBorders>
                    <w:tl2br w:val="nil"/>
                    <w:tr2bl w:val="nil"/>
                  </w:tcBorders>
                  <w:vAlign w:val="center"/>
                </w:tcPr>
                <w:p w14:paraId="3AEB7CFA">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0.046 </w:t>
                  </w:r>
                </w:p>
              </w:tc>
              <w:tc>
                <w:tcPr>
                  <w:tcW w:w="1003" w:type="dxa"/>
                  <w:tcBorders>
                    <w:tl2br w:val="nil"/>
                    <w:tr2bl w:val="nil"/>
                  </w:tcBorders>
                  <w:vAlign w:val="center"/>
                </w:tcPr>
                <w:p w14:paraId="23A5FE00">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1363" w:type="dxa"/>
                  <w:tcBorders>
                    <w:tl2br w:val="nil"/>
                    <w:tr2bl w:val="nil"/>
                  </w:tcBorders>
                  <w:vAlign w:val="center"/>
                </w:tcPr>
                <w:p w14:paraId="6F0586B1">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1004" w:type="dxa"/>
                  <w:tcBorders>
                    <w:tl2br w:val="nil"/>
                    <w:tr2bl w:val="nil"/>
                  </w:tcBorders>
                  <w:vAlign w:val="center"/>
                </w:tcPr>
                <w:p w14:paraId="2789927B">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811" w:type="dxa"/>
                  <w:tcBorders>
                    <w:tl2br w:val="nil"/>
                    <w:tr2bl w:val="nil"/>
                  </w:tcBorders>
                  <w:vAlign w:val="center"/>
                </w:tcPr>
                <w:p w14:paraId="2ABF145A">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r>
            <w:tr w14:paraId="1FB812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 w:hRule="atLeast"/>
              </w:trPr>
              <w:tc>
                <w:tcPr>
                  <w:tcW w:w="563" w:type="pct"/>
                  <w:vMerge w:val="continue"/>
                  <w:tcBorders>
                    <w:tl2br w:val="nil"/>
                    <w:tr2bl w:val="nil"/>
                  </w:tcBorders>
                  <w:vAlign w:val="center"/>
                </w:tcPr>
                <w:p w14:paraId="06D0B66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lang w:val="en-US" w:eastAsia="zh-CN"/>
                    </w:rPr>
                  </w:pPr>
                </w:p>
              </w:tc>
              <w:tc>
                <w:tcPr>
                  <w:tcW w:w="363" w:type="pct"/>
                  <w:vMerge w:val="continue"/>
                  <w:tcBorders>
                    <w:tl2br w:val="nil"/>
                    <w:tr2bl w:val="nil"/>
                  </w:tcBorders>
                  <w:vAlign w:val="center"/>
                </w:tcPr>
                <w:p w14:paraId="7C9D37B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lang w:val="en-US" w:eastAsia="zh-CN"/>
                    </w:rPr>
                  </w:pPr>
                </w:p>
              </w:tc>
              <w:tc>
                <w:tcPr>
                  <w:tcW w:w="408" w:type="pct"/>
                  <w:tcBorders>
                    <w:tl2br w:val="nil"/>
                    <w:tr2bl w:val="nil"/>
                  </w:tcBorders>
                  <w:vAlign w:val="center"/>
                </w:tcPr>
                <w:p w14:paraId="0412A63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cs="Times New Roman"/>
                      <w:b w:val="0"/>
                      <w:bCs/>
                      <w:color w:val="auto"/>
                      <w:spacing w:val="0"/>
                      <w:sz w:val="21"/>
                      <w:szCs w:val="21"/>
                      <w:highlight w:val="none"/>
                      <w:vertAlign w:val="baseline"/>
                      <w:lang w:val="en-US" w:eastAsia="zh-CN"/>
                    </w:rPr>
                    <w:t>氨氮</w:t>
                  </w:r>
                </w:p>
              </w:tc>
              <w:tc>
                <w:tcPr>
                  <w:tcW w:w="1003" w:type="dxa"/>
                  <w:tcBorders>
                    <w:tl2br w:val="nil"/>
                    <w:tr2bl w:val="nil"/>
                  </w:tcBorders>
                  <w:vAlign w:val="center"/>
                </w:tcPr>
                <w:p w14:paraId="73E09A78">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50</w:t>
                  </w:r>
                </w:p>
              </w:tc>
              <w:tc>
                <w:tcPr>
                  <w:tcW w:w="872" w:type="dxa"/>
                  <w:tcBorders>
                    <w:tl2br w:val="nil"/>
                    <w:tr2bl w:val="nil"/>
                  </w:tcBorders>
                  <w:vAlign w:val="center"/>
                </w:tcPr>
                <w:p w14:paraId="3F85F6DA">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0.003 </w:t>
                  </w:r>
                </w:p>
              </w:tc>
              <w:tc>
                <w:tcPr>
                  <w:tcW w:w="1003" w:type="dxa"/>
                  <w:tcBorders>
                    <w:tl2br w:val="nil"/>
                    <w:tr2bl w:val="nil"/>
                  </w:tcBorders>
                  <w:vAlign w:val="center"/>
                </w:tcPr>
                <w:p w14:paraId="4A8FA761">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1363" w:type="dxa"/>
                  <w:tcBorders>
                    <w:tl2br w:val="nil"/>
                    <w:tr2bl w:val="nil"/>
                  </w:tcBorders>
                  <w:vAlign w:val="center"/>
                </w:tcPr>
                <w:p w14:paraId="5A40065D">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1004" w:type="dxa"/>
                  <w:tcBorders>
                    <w:tl2br w:val="nil"/>
                    <w:tr2bl w:val="nil"/>
                  </w:tcBorders>
                  <w:vAlign w:val="center"/>
                </w:tcPr>
                <w:p w14:paraId="0C7D8198">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811" w:type="dxa"/>
                  <w:tcBorders>
                    <w:tl2br w:val="nil"/>
                    <w:tr2bl w:val="nil"/>
                  </w:tcBorders>
                  <w:vAlign w:val="center"/>
                </w:tcPr>
                <w:p w14:paraId="0762D88C">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r>
            <w:tr w14:paraId="6A4D65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 w:hRule="atLeast"/>
              </w:trPr>
              <w:tc>
                <w:tcPr>
                  <w:tcW w:w="563" w:type="pct"/>
                  <w:vMerge w:val="continue"/>
                  <w:tcBorders>
                    <w:tl2br w:val="nil"/>
                    <w:tr2bl w:val="nil"/>
                  </w:tcBorders>
                  <w:vAlign w:val="center"/>
                </w:tcPr>
                <w:p w14:paraId="693C69A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lang w:val="en-US" w:eastAsia="zh-CN"/>
                    </w:rPr>
                  </w:pPr>
                </w:p>
              </w:tc>
              <w:tc>
                <w:tcPr>
                  <w:tcW w:w="363" w:type="pct"/>
                  <w:vMerge w:val="continue"/>
                  <w:tcBorders>
                    <w:tl2br w:val="nil"/>
                    <w:tr2bl w:val="nil"/>
                  </w:tcBorders>
                  <w:vAlign w:val="center"/>
                </w:tcPr>
                <w:p w14:paraId="62D030A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lang w:val="en-US" w:eastAsia="zh-CN"/>
                    </w:rPr>
                  </w:pPr>
                </w:p>
              </w:tc>
              <w:tc>
                <w:tcPr>
                  <w:tcW w:w="408" w:type="pct"/>
                  <w:tcBorders>
                    <w:tl2br w:val="nil"/>
                    <w:tr2bl w:val="nil"/>
                  </w:tcBorders>
                  <w:vAlign w:val="center"/>
                </w:tcPr>
                <w:p w14:paraId="7121618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cs="Times New Roman"/>
                      <w:b w:val="0"/>
                      <w:bCs/>
                      <w:color w:val="auto"/>
                      <w:spacing w:val="0"/>
                      <w:sz w:val="21"/>
                      <w:szCs w:val="21"/>
                      <w:highlight w:val="none"/>
                      <w:vertAlign w:val="baseline"/>
                      <w:lang w:val="en-US" w:eastAsia="zh-CN"/>
                    </w:rPr>
                    <w:t>SS</w:t>
                  </w:r>
                </w:p>
              </w:tc>
              <w:tc>
                <w:tcPr>
                  <w:tcW w:w="1003" w:type="dxa"/>
                  <w:tcBorders>
                    <w:tl2br w:val="nil"/>
                    <w:tr2bl w:val="nil"/>
                  </w:tcBorders>
                  <w:vAlign w:val="center"/>
                </w:tcPr>
                <w:p w14:paraId="70C71885">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500</w:t>
                  </w:r>
                </w:p>
              </w:tc>
              <w:tc>
                <w:tcPr>
                  <w:tcW w:w="872" w:type="dxa"/>
                  <w:tcBorders>
                    <w:tl2br w:val="nil"/>
                    <w:tr2bl w:val="nil"/>
                  </w:tcBorders>
                  <w:vAlign w:val="center"/>
                </w:tcPr>
                <w:p w14:paraId="4BE13DEC">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0.033 </w:t>
                  </w:r>
                </w:p>
              </w:tc>
              <w:tc>
                <w:tcPr>
                  <w:tcW w:w="1003" w:type="dxa"/>
                  <w:tcBorders>
                    <w:tl2br w:val="nil"/>
                    <w:tr2bl w:val="nil"/>
                  </w:tcBorders>
                  <w:vAlign w:val="center"/>
                </w:tcPr>
                <w:p w14:paraId="65E7869A">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1363" w:type="dxa"/>
                  <w:tcBorders>
                    <w:tl2br w:val="nil"/>
                    <w:tr2bl w:val="nil"/>
                  </w:tcBorders>
                  <w:vAlign w:val="center"/>
                </w:tcPr>
                <w:p w14:paraId="43CD7C41">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1004" w:type="dxa"/>
                  <w:tcBorders>
                    <w:tl2br w:val="nil"/>
                    <w:tr2bl w:val="nil"/>
                  </w:tcBorders>
                  <w:vAlign w:val="center"/>
                </w:tcPr>
                <w:p w14:paraId="16AADCDA">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811" w:type="dxa"/>
                  <w:tcBorders>
                    <w:tl2br w:val="nil"/>
                    <w:tr2bl w:val="nil"/>
                  </w:tcBorders>
                  <w:vAlign w:val="center"/>
                </w:tcPr>
                <w:p w14:paraId="5E9F4A32">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r>
            <w:tr w14:paraId="37E533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 w:hRule="atLeast"/>
              </w:trPr>
              <w:tc>
                <w:tcPr>
                  <w:tcW w:w="563" w:type="pct"/>
                  <w:vMerge w:val="continue"/>
                  <w:tcBorders>
                    <w:tl2br w:val="nil"/>
                    <w:tr2bl w:val="nil"/>
                  </w:tcBorders>
                  <w:vAlign w:val="center"/>
                </w:tcPr>
                <w:p w14:paraId="2AF9532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lang w:val="en-US" w:eastAsia="zh-CN"/>
                    </w:rPr>
                  </w:pPr>
                </w:p>
              </w:tc>
              <w:tc>
                <w:tcPr>
                  <w:tcW w:w="363" w:type="pct"/>
                  <w:vMerge w:val="continue"/>
                  <w:tcBorders>
                    <w:tl2br w:val="nil"/>
                    <w:tr2bl w:val="nil"/>
                  </w:tcBorders>
                  <w:vAlign w:val="center"/>
                </w:tcPr>
                <w:p w14:paraId="6C7E7B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lang w:val="en-US" w:eastAsia="zh-CN"/>
                    </w:rPr>
                  </w:pPr>
                </w:p>
              </w:tc>
              <w:tc>
                <w:tcPr>
                  <w:tcW w:w="408" w:type="pct"/>
                  <w:tcBorders>
                    <w:tl2br w:val="nil"/>
                    <w:tr2bl w:val="nil"/>
                  </w:tcBorders>
                  <w:vAlign w:val="center"/>
                </w:tcPr>
                <w:p w14:paraId="15EB8DF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lang w:val="en-US" w:eastAsia="zh-CN"/>
                    </w:rPr>
                  </w:pPr>
                  <w:r>
                    <w:rPr>
                      <w:rFonts w:hint="eastAsia" w:cs="Times New Roman"/>
                      <w:b w:val="0"/>
                      <w:bCs/>
                      <w:color w:val="auto"/>
                      <w:spacing w:val="0"/>
                      <w:sz w:val="21"/>
                      <w:szCs w:val="21"/>
                      <w:highlight w:val="none"/>
                      <w:vertAlign w:val="baseline"/>
                      <w:lang w:val="en-US" w:eastAsia="zh-CN"/>
                    </w:rPr>
                    <w:t>TP</w:t>
                  </w:r>
                </w:p>
              </w:tc>
              <w:tc>
                <w:tcPr>
                  <w:tcW w:w="1003" w:type="dxa"/>
                  <w:tcBorders>
                    <w:tl2br w:val="nil"/>
                    <w:tr2bl w:val="nil"/>
                  </w:tcBorders>
                  <w:vAlign w:val="center"/>
                </w:tcPr>
                <w:p w14:paraId="20C0BF2A">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15</w:t>
                  </w:r>
                </w:p>
              </w:tc>
              <w:tc>
                <w:tcPr>
                  <w:tcW w:w="872" w:type="dxa"/>
                  <w:tcBorders>
                    <w:tl2br w:val="nil"/>
                    <w:tr2bl w:val="nil"/>
                  </w:tcBorders>
                  <w:vAlign w:val="center"/>
                </w:tcPr>
                <w:p w14:paraId="07628A48">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0.001 </w:t>
                  </w:r>
                </w:p>
              </w:tc>
              <w:tc>
                <w:tcPr>
                  <w:tcW w:w="1003" w:type="dxa"/>
                  <w:tcBorders>
                    <w:tl2br w:val="nil"/>
                    <w:tr2bl w:val="nil"/>
                  </w:tcBorders>
                  <w:vAlign w:val="center"/>
                </w:tcPr>
                <w:p w14:paraId="00AC161A">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1363" w:type="dxa"/>
                  <w:tcBorders>
                    <w:tl2br w:val="nil"/>
                    <w:tr2bl w:val="nil"/>
                  </w:tcBorders>
                  <w:vAlign w:val="center"/>
                </w:tcPr>
                <w:p w14:paraId="047EBB24">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1004" w:type="dxa"/>
                  <w:tcBorders>
                    <w:tl2br w:val="nil"/>
                    <w:tr2bl w:val="nil"/>
                  </w:tcBorders>
                  <w:vAlign w:val="center"/>
                </w:tcPr>
                <w:p w14:paraId="2300CC70">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811" w:type="dxa"/>
                  <w:tcBorders>
                    <w:tl2br w:val="nil"/>
                    <w:tr2bl w:val="nil"/>
                  </w:tcBorders>
                  <w:vAlign w:val="center"/>
                </w:tcPr>
                <w:p w14:paraId="04A867C5">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r>
            <w:tr w14:paraId="3783AD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 w:hRule="atLeast"/>
              </w:trPr>
              <w:tc>
                <w:tcPr>
                  <w:tcW w:w="563" w:type="pct"/>
                  <w:vMerge w:val="continue"/>
                  <w:tcBorders>
                    <w:tl2br w:val="nil"/>
                    <w:tr2bl w:val="nil"/>
                  </w:tcBorders>
                  <w:vAlign w:val="center"/>
                </w:tcPr>
                <w:p w14:paraId="0147928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lang w:val="en-US" w:eastAsia="zh-CN"/>
                    </w:rPr>
                  </w:pPr>
                </w:p>
              </w:tc>
              <w:tc>
                <w:tcPr>
                  <w:tcW w:w="363" w:type="pct"/>
                  <w:vMerge w:val="continue"/>
                  <w:tcBorders>
                    <w:tl2br w:val="nil"/>
                    <w:tr2bl w:val="nil"/>
                  </w:tcBorders>
                  <w:vAlign w:val="center"/>
                </w:tcPr>
                <w:p w14:paraId="292E3F3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lang w:val="en-US" w:eastAsia="zh-CN"/>
                    </w:rPr>
                  </w:pPr>
                </w:p>
              </w:tc>
              <w:tc>
                <w:tcPr>
                  <w:tcW w:w="408" w:type="pct"/>
                  <w:tcBorders>
                    <w:tl2br w:val="nil"/>
                    <w:tr2bl w:val="nil"/>
                  </w:tcBorders>
                  <w:vAlign w:val="center"/>
                </w:tcPr>
                <w:p w14:paraId="3FA09A9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lang w:val="en-US" w:eastAsia="zh-CN"/>
                    </w:rPr>
                  </w:pPr>
                  <w:r>
                    <w:rPr>
                      <w:rFonts w:hint="eastAsia" w:cs="Times New Roman"/>
                      <w:b w:val="0"/>
                      <w:bCs/>
                      <w:color w:val="auto"/>
                      <w:spacing w:val="0"/>
                      <w:sz w:val="21"/>
                      <w:szCs w:val="21"/>
                      <w:highlight w:val="none"/>
                      <w:vertAlign w:val="baseline"/>
                      <w:lang w:val="en-US" w:eastAsia="zh-CN"/>
                    </w:rPr>
                    <w:t>LAS</w:t>
                  </w:r>
                </w:p>
              </w:tc>
              <w:tc>
                <w:tcPr>
                  <w:tcW w:w="1003" w:type="dxa"/>
                  <w:tcBorders>
                    <w:tl2br w:val="nil"/>
                    <w:tr2bl w:val="nil"/>
                  </w:tcBorders>
                  <w:vAlign w:val="center"/>
                </w:tcPr>
                <w:p w14:paraId="6AE43F73">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10</w:t>
                  </w:r>
                </w:p>
              </w:tc>
              <w:tc>
                <w:tcPr>
                  <w:tcW w:w="872" w:type="dxa"/>
                  <w:tcBorders>
                    <w:tl2br w:val="nil"/>
                    <w:tr2bl w:val="nil"/>
                  </w:tcBorders>
                  <w:vAlign w:val="center"/>
                </w:tcPr>
                <w:p w14:paraId="6ED48F0E">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0.001 </w:t>
                  </w:r>
                </w:p>
              </w:tc>
              <w:tc>
                <w:tcPr>
                  <w:tcW w:w="1003" w:type="dxa"/>
                  <w:tcBorders>
                    <w:tl2br w:val="nil"/>
                    <w:tr2bl w:val="nil"/>
                  </w:tcBorders>
                  <w:vAlign w:val="center"/>
                </w:tcPr>
                <w:p w14:paraId="5ADA687E">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1363" w:type="dxa"/>
                  <w:tcBorders>
                    <w:tl2br w:val="nil"/>
                    <w:tr2bl w:val="nil"/>
                  </w:tcBorders>
                  <w:vAlign w:val="center"/>
                </w:tcPr>
                <w:p w14:paraId="0C65875A">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1004" w:type="dxa"/>
                  <w:tcBorders>
                    <w:tl2br w:val="nil"/>
                    <w:tr2bl w:val="nil"/>
                  </w:tcBorders>
                  <w:vAlign w:val="center"/>
                </w:tcPr>
                <w:p w14:paraId="654BA172">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811" w:type="dxa"/>
                  <w:tcBorders>
                    <w:tl2br w:val="nil"/>
                    <w:tr2bl w:val="nil"/>
                  </w:tcBorders>
                  <w:vAlign w:val="center"/>
                </w:tcPr>
                <w:p w14:paraId="1BBF1B15">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r>
            <w:tr w14:paraId="4A30F5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3" w:type="pct"/>
                  <w:vMerge w:val="restart"/>
                  <w:tcBorders>
                    <w:tl2br w:val="nil"/>
                    <w:tr2bl w:val="nil"/>
                  </w:tcBorders>
                  <w:vAlign w:val="center"/>
                </w:tcPr>
                <w:p w14:paraId="07E3D4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cs="Times New Roman"/>
                      <w:b w:val="0"/>
                      <w:bCs/>
                      <w:color w:val="auto"/>
                      <w:spacing w:val="0"/>
                      <w:sz w:val="21"/>
                      <w:szCs w:val="21"/>
                      <w:highlight w:val="none"/>
                      <w:vertAlign w:val="baseline"/>
                      <w:lang w:val="en-US" w:eastAsia="zh-CN"/>
                    </w:rPr>
                    <w:t>工服清洗</w:t>
                  </w:r>
                  <w:r>
                    <w:rPr>
                      <w:rFonts w:hint="eastAsia" w:cs="Times New Roman"/>
                      <w:b w:val="0"/>
                      <w:bCs/>
                      <w:color w:val="auto"/>
                      <w:spacing w:val="0"/>
                      <w:sz w:val="21"/>
                      <w:szCs w:val="21"/>
                      <w:highlight w:val="none"/>
                      <w:vertAlign w:val="baseline"/>
                      <w:lang w:val="en-US" w:eastAsia="zh-CN"/>
                    </w:rPr>
                    <w:t>、宠物毛毯清洗废水</w:t>
                  </w:r>
                </w:p>
              </w:tc>
              <w:tc>
                <w:tcPr>
                  <w:tcW w:w="363" w:type="pct"/>
                  <w:vMerge w:val="restart"/>
                  <w:tcBorders>
                    <w:tl2br w:val="nil"/>
                    <w:tr2bl w:val="nil"/>
                  </w:tcBorders>
                  <w:vAlign w:val="center"/>
                </w:tcPr>
                <w:p w14:paraId="300EB39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eastAsia" w:cs="Times New Roman"/>
                      <w:b w:val="0"/>
                      <w:bCs/>
                      <w:color w:val="auto"/>
                      <w:spacing w:val="0"/>
                      <w:sz w:val="21"/>
                      <w:szCs w:val="21"/>
                      <w:highlight w:val="none"/>
                      <w:vertAlign w:val="baseline"/>
                      <w:lang w:val="en-US" w:eastAsia="zh-CN"/>
                    </w:rPr>
                    <w:t>78.84</w:t>
                  </w:r>
                </w:p>
              </w:tc>
              <w:tc>
                <w:tcPr>
                  <w:tcW w:w="408" w:type="pct"/>
                  <w:tcBorders>
                    <w:tl2br w:val="nil"/>
                    <w:tr2bl w:val="nil"/>
                  </w:tcBorders>
                  <w:shd w:val="clear" w:color="auto" w:fill="auto"/>
                  <w:vAlign w:val="center"/>
                </w:tcPr>
                <w:p w14:paraId="5FC1939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kern w:val="2"/>
                      <w:sz w:val="21"/>
                      <w:szCs w:val="21"/>
                      <w:highlight w:val="none"/>
                      <w:vertAlign w:val="baseline"/>
                      <w:lang w:val="en-US" w:eastAsia="zh-CN" w:bidi="ar-SA"/>
                    </w:rPr>
                  </w:pPr>
                  <w:r>
                    <w:rPr>
                      <w:rFonts w:hint="default" w:ascii="Times New Roman" w:hAnsi="Times New Roman" w:cs="Times New Roman"/>
                      <w:b w:val="0"/>
                      <w:bCs/>
                      <w:color w:val="auto"/>
                      <w:spacing w:val="0"/>
                      <w:sz w:val="21"/>
                      <w:szCs w:val="21"/>
                      <w:highlight w:val="none"/>
                      <w:vertAlign w:val="baseline"/>
                      <w:lang w:val="en-US" w:eastAsia="zh-CN"/>
                    </w:rPr>
                    <w:t>pH</w:t>
                  </w:r>
                </w:p>
              </w:tc>
              <w:tc>
                <w:tcPr>
                  <w:tcW w:w="1003" w:type="dxa"/>
                  <w:tcBorders>
                    <w:tl2br w:val="nil"/>
                    <w:tr2bl w:val="nil"/>
                  </w:tcBorders>
                  <w:vAlign w:val="center"/>
                </w:tcPr>
                <w:p w14:paraId="7A7959BE">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6~9</w:t>
                  </w:r>
                </w:p>
              </w:tc>
              <w:tc>
                <w:tcPr>
                  <w:tcW w:w="872" w:type="dxa"/>
                  <w:tcBorders>
                    <w:tl2br w:val="nil"/>
                    <w:tr2bl w:val="nil"/>
                  </w:tcBorders>
                  <w:vAlign w:val="center"/>
                </w:tcPr>
                <w:p w14:paraId="1484500A">
                  <w:pPr>
                    <w:keepNext w:val="0"/>
                    <w:keepLines w:val="0"/>
                    <w:widowControl/>
                    <w:suppressLineNumbers w:val="0"/>
                    <w:jc w:val="center"/>
                    <w:textAlignment w:val="center"/>
                    <w:rPr>
                      <w:rFonts w:hint="eastAsia"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1003" w:type="dxa"/>
                  <w:tcBorders>
                    <w:tl2br w:val="nil"/>
                    <w:tr2bl w:val="nil"/>
                  </w:tcBorders>
                  <w:vAlign w:val="center"/>
                </w:tcPr>
                <w:p w14:paraId="029DAA63">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363" w:type="dxa"/>
                  <w:tcBorders>
                    <w:tl2br w:val="nil"/>
                    <w:tr2bl w:val="nil"/>
                  </w:tcBorders>
                  <w:vAlign w:val="center"/>
                </w:tcPr>
                <w:p w14:paraId="71948418">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004" w:type="dxa"/>
                  <w:tcBorders>
                    <w:tl2br w:val="nil"/>
                    <w:tr2bl w:val="nil"/>
                  </w:tcBorders>
                  <w:vAlign w:val="center"/>
                </w:tcPr>
                <w:p w14:paraId="01E3B50E">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11" w:type="dxa"/>
                  <w:tcBorders>
                    <w:tl2br w:val="nil"/>
                    <w:tr2bl w:val="nil"/>
                  </w:tcBorders>
                  <w:vAlign w:val="center"/>
                </w:tcPr>
                <w:p w14:paraId="258810A2">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rPr>
                  </w:pPr>
                  <w:r>
                    <w:rPr>
                      <w:rFonts w:hint="default" w:ascii="Times New Roman" w:hAnsi="Times New Roman" w:eastAsia="宋体" w:cs="Times New Roman"/>
                      <w:i w:val="0"/>
                      <w:iCs w:val="0"/>
                      <w:color w:val="auto"/>
                      <w:kern w:val="0"/>
                      <w:sz w:val="21"/>
                      <w:szCs w:val="21"/>
                      <w:u w:val="none"/>
                      <w:lang w:val="en-US" w:eastAsia="zh-CN" w:bidi="ar"/>
                    </w:rPr>
                    <w:t>/</w:t>
                  </w:r>
                </w:p>
              </w:tc>
            </w:tr>
            <w:tr w14:paraId="012CC5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3" w:type="pct"/>
                  <w:vMerge w:val="continue"/>
                  <w:tcBorders>
                    <w:tl2br w:val="nil"/>
                    <w:tr2bl w:val="nil"/>
                  </w:tcBorders>
                  <w:vAlign w:val="center"/>
                </w:tcPr>
                <w:p w14:paraId="38DA35F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rPr>
                  </w:pPr>
                </w:p>
              </w:tc>
              <w:tc>
                <w:tcPr>
                  <w:tcW w:w="363" w:type="pct"/>
                  <w:vMerge w:val="continue"/>
                  <w:tcBorders>
                    <w:tl2br w:val="nil"/>
                    <w:tr2bl w:val="nil"/>
                  </w:tcBorders>
                  <w:vAlign w:val="center"/>
                </w:tcPr>
                <w:p w14:paraId="502B885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rPr>
                  </w:pPr>
                </w:p>
              </w:tc>
              <w:tc>
                <w:tcPr>
                  <w:tcW w:w="408" w:type="pct"/>
                  <w:tcBorders>
                    <w:tl2br w:val="nil"/>
                    <w:tr2bl w:val="nil"/>
                  </w:tcBorders>
                  <w:shd w:val="clear" w:color="auto" w:fill="auto"/>
                  <w:vAlign w:val="center"/>
                </w:tcPr>
                <w:p w14:paraId="0184908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kern w:val="2"/>
                      <w:sz w:val="21"/>
                      <w:szCs w:val="21"/>
                      <w:highlight w:val="none"/>
                      <w:vertAlign w:val="baseline"/>
                      <w:lang w:val="en-US" w:eastAsia="zh-CN" w:bidi="ar-SA"/>
                    </w:rPr>
                  </w:pPr>
                  <w:r>
                    <w:rPr>
                      <w:rFonts w:hint="default" w:ascii="Times New Roman" w:hAnsi="Times New Roman" w:cs="Times New Roman"/>
                      <w:b w:val="0"/>
                      <w:bCs/>
                      <w:color w:val="auto"/>
                      <w:spacing w:val="0"/>
                      <w:sz w:val="21"/>
                      <w:szCs w:val="21"/>
                      <w:highlight w:val="none"/>
                      <w:vertAlign w:val="baseline"/>
                      <w:lang w:val="en-US" w:eastAsia="zh-CN"/>
                    </w:rPr>
                    <w:t>COD</w:t>
                  </w:r>
                </w:p>
              </w:tc>
              <w:tc>
                <w:tcPr>
                  <w:tcW w:w="1003" w:type="dxa"/>
                  <w:tcBorders>
                    <w:tl2br w:val="nil"/>
                    <w:tr2bl w:val="nil"/>
                  </w:tcBorders>
                  <w:vAlign w:val="center"/>
                </w:tcPr>
                <w:p w14:paraId="093E0233">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500</w:t>
                  </w:r>
                </w:p>
              </w:tc>
              <w:tc>
                <w:tcPr>
                  <w:tcW w:w="872" w:type="dxa"/>
                  <w:tcBorders>
                    <w:tl2br w:val="nil"/>
                    <w:tr2bl w:val="nil"/>
                  </w:tcBorders>
                  <w:vAlign w:val="center"/>
                </w:tcPr>
                <w:p w14:paraId="3EB9EEA4">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0.039 </w:t>
                  </w:r>
                </w:p>
              </w:tc>
              <w:tc>
                <w:tcPr>
                  <w:tcW w:w="1003" w:type="dxa"/>
                  <w:tcBorders>
                    <w:tl2br w:val="nil"/>
                    <w:tr2bl w:val="nil"/>
                  </w:tcBorders>
                  <w:vAlign w:val="center"/>
                </w:tcPr>
                <w:p w14:paraId="31BDED68">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363" w:type="dxa"/>
                  <w:tcBorders>
                    <w:tl2br w:val="nil"/>
                    <w:tr2bl w:val="nil"/>
                  </w:tcBorders>
                  <w:vAlign w:val="center"/>
                </w:tcPr>
                <w:p w14:paraId="05F29B00">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004" w:type="dxa"/>
                  <w:tcBorders>
                    <w:tl2br w:val="nil"/>
                    <w:tr2bl w:val="nil"/>
                  </w:tcBorders>
                  <w:vAlign w:val="center"/>
                </w:tcPr>
                <w:p w14:paraId="3B52898F">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11" w:type="dxa"/>
                  <w:tcBorders>
                    <w:tl2br w:val="nil"/>
                    <w:tr2bl w:val="nil"/>
                  </w:tcBorders>
                  <w:vAlign w:val="center"/>
                </w:tcPr>
                <w:p w14:paraId="13DC6AA0">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rPr>
                  </w:pPr>
                  <w:r>
                    <w:rPr>
                      <w:rFonts w:hint="default" w:ascii="Times New Roman" w:hAnsi="Times New Roman" w:eastAsia="宋体" w:cs="Times New Roman"/>
                      <w:i w:val="0"/>
                      <w:iCs w:val="0"/>
                      <w:color w:val="auto"/>
                      <w:kern w:val="0"/>
                      <w:sz w:val="21"/>
                      <w:szCs w:val="21"/>
                      <w:u w:val="none"/>
                      <w:lang w:val="en-US" w:eastAsia="zh-CN" w:bidi="ar"/>
                    </w:rPr>
                    <w:t>/</w:t>
                  </w:r>
                </w:p>
              </w:tc>
            </w:tr>
            <w:tr w14:paraId="0D02BF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3" w:type="pct"/>
                  <w:vMerge w:val="continue"/>
                  <w:tcBorders>
                    <w:tl2br w:val="nil"/>
                    <w:tr2bl w:val="nil"/>
                  </w:tcBorders>
                  <w:vAlign w:val="center"/>
                </w:tcPr>
                <w:p w14:paraId="6E96B65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rPr>
                  </w:pPr>
                </w:p>
              </w:tc>
              <w:tc>
                <w:tcPr>
                  <w:tcW w:w="363" w:type="pct"/>
                  <w:vMerge w:val="continue"/>
                  <w:tcBorders>
                    <w:tl2br w:val="nil"/>
                    <w:tr2bl w:val="nil"/>
                  </w:tcBorders>
                  <w:vAlign w:val="center"/>
                </w:tcPr>
                <w:p w14:paraId="0190A41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rPr>
                  </w:pPr>
                </w:p>
              </w:tc>
              <w:tc>
                <w:tcPr>
                  <w:tcW w:w="408" w:type="pct"/>
                  <w:tcBorders>
                    <w:tl2br w:val="nil"/>
                    <w:tr2bl w:val="nil"/>
                  </w:tcBorders>
                  <w:vAlign w:val="center"/>
                </w:tcPr>
                <w:p w14:paraId="5CA5095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rPr>
                  </w:pPr>
                  <w:r>
                    <w:rPr>
                      <w:rFonts w:hint="default" w:ascii="Times New Roman" w:hAnsi="Times New Roman" w:cs="Times New Roman"/>
                      <w:b w:val="0"/>
                      <w:bCs/>
                      <w:color w:val="auto"/>
                      <w:spacing w:val="0"/>
                      <w:sz w:val="21"/>
                      <w:szCs w:val="21"/>
                      <w:highlight w:val="none"/>
                      <w:vertAlign w:val="baseline"/>
                      <w:lang w:val="en-US" w:eastAsia="zh-CN"/>
                    </w:rPr>
                    <w:t>SS</w:t>
                  </w:r>
                </w:p>
              </w:tc>
              <w:tc>
                <w:tcPr>
                  <w:tcW w:w="1003" w:type="dxa"/>
                  <w:tcBorders>
                    <w:tl2br w:val="nil"/>
                    <w:tr2bl w:val="nil"/>
                  </w:tcBorders>
                  <w:vAlign w:val="center"/>
                </w:tcPr>
                <w:p w14:paraId="0D5542C5">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400</w:t>
                  </w:r>
                </w:p>
              </w:tc>
              <w:tc>
                <w:tcPr>
                  <w:tcW w:w="872" w:type="dxa"/>
                  <w:tcBorders>
                    <w:tl2br w:val="nil"/>
                    <w:tr2bl w:val="nil"/>
                  </w:tcBorders>
                  <w:vAlign w:val="center"/>
                </w:tcPr>
                <w:p w14:paraId="59291BDD">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0.032 </w:t>
                  </w:r>
                </w:p>
              </w:tc>
              <w:tc>
                <w:tcPr>
                  <w:tcW w:w="1003" w:type="dxa"/>
                  <w:tcBorders>
                    <w:tl2br w:val="nil"/>
                    <w:tr2bl w:val="nil"/>
                  </w:tcBorders>
                  <w:vAlign w:val="center"/>
                </w:tcPr>
                <w:p w14:paraId="787A7D5C">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363" w:type="dxa"/>
                  <w:tcBorders>
                    <w:tl2br w:val="nil"/>
                    <w:tr2bl w:val="nil"/>
                  </w:tcBorders>
                  <w:vAlign w:val="center"/>
                </w:tcPr>
                <w:p w14:paraId="407C203F">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004" w:type="dxa"/>
                  <w:tcBorders>
                    <w:tl2br w:val="nil"/>
                    <w:tr2bl w:val="nil"/>
                  </w:tcBorders>
                  <w:vAlign w:val="center"/>
                </w:tcPr>
                <w:p w14:paraId="72E2AD1D">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11" w:type="dxa"/>
                  <w:tcBorders>
                    <w:tl2br w:val="nil"/>
                    <w:tr2bl w:val="nil"/>
                  </w:tcBorders>
                  <w:vAlign w:val="center"/>
                </w:tcPr>
                <w:p w14:paraId="31FBE67A">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rPr>
                  </w:pPr>
                  <w:r>
                    <w:rPr>
                      <w:rFonts w:hint="default" w:ascii="Times New Roman" w:hAnsi="Times New Roman" w:eastAsia="宋体" w:cs="Times New Roman"/>
                      <w:i w:val="0"/>
                      <w:iCs w:val="0"/>
                      <w:color w:val="auto"/>
                      <w:kern w:val="0"/>
                      <w:sz w:val="21"/>
                      <w:szCs w:val="21"/>
                      <w:u w:val="none"/>
                      <w:lang w:val="en-US" w:eastAsia="zh-CN" w:bidi="ar"/>
                    </w:rPr>
                    <w:t>/</w:t>
                  </w:r>
                </w:p>
              </w:tc>
            </w:tr>
            <w:tr w14:paraId="0883C3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3" w:type="pct"/>
                  <w:vMerge w:val="continue"/>
                  <w:tcBorders>
                    <w:tl2br w:val="nil"/>
                    <w:tr2bl w:val="nil"/>
                  </w:tcBorders>
                  <w:vAlign w:val="center"/>
                </w:tcPr>
                <w:p w14:paraId="6B70161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rPr>
                  </w:pPr>
                </w:p>
              </w:tc>
              <w:tc>
                <w:tcPr>
                  <w:tcW w:w="363" w:type="pct"/>
                  <w:vMerge w:val="continue"/>
                  <w:tcBorders>
                    <w:tl2br w:val="nil"/>
                    <w:tr2bl w:val="nil"/>
                  </w:tcBorders>
                  <w:vAlign w:val="center"/>
                </w:tcPr>
                <w:p w14:paraId="3C90119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rPr>
                  </w:pPr>
                </w:p>
              </w:tc>
              <w:tc>
                <w:tcPr>
                  <w:tcW w:w="408" w:type="pct"/>
                  <w:tcBorders>
                    <w:tl2br w:val="nil"/>
                    <w:tr2bl w:val="nil"/>
                  </w:tcBorders>
                  <w:vAlign w:val="center"/>
                </w:tcPr>
                <w:p w14:paraId="28C533C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lang w:val="en-US" w:eastAsia="zh-CN"/>
                    </w:rPr>
                  </w:pPr>
                  <w:r>
                    <w:rPr>
                      <w:rFonts w:hint="eastAsia" w:cs="Times New Roman"/>
                      <w:b w:val="0"/>
                      <w:bCs/>
                      <w:color w:val="auto"/>
                      <w:spacing w:val="0"/>
                      <w:sz w:val="21"/>
                      <w:szCs w:val="21"/>
                      <w:highlight w:val="none"/>
                      <w:vertAlign w:val="baseline"/>
                      <w:lang w:val="en-US" w:eastAsia="zh-CN"/>
                    </w:rPr>
                    <w:t>TP</w:t>
                  </w:r>
                </w:p>
              </w:tc>
              <w:tc>
                <w:tcPr>
                  <w:tcW w:w="1003" w:type="dxa"/>
                  <w:tcBorders>
                    <w:tl2br w:val="nil"/>
                    <w:tr2bl w:val="nil"/>
                  </w:tcBorders>
                  <w:vAlign w:val="center"/>
                </w:tcPr>
                <w:p w14:paraId="2D3EB2AA">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15</w:t>
                  </w:r>
                </w:p>
              </w:tc>
              <w:tc>
                <w:tcPr>
                  <w:tcW w:w="872" w:type="dxa"/>
                  <w:tcBorders>
                    <w:tl2br w:val="nil"/>
                    <w:tr2bl w:val="nil"/>
                  </w:tcBorders>
                  <w:vAlign w:val="center"/>
                </w:tcPr>
                <w:p w14:paraId="451272F2">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0.001 </w:t>
                  </w:r>
                </w:p>
              </w:tc>
              <w:tc>
                <w:tcPr>
                  <w:tcW w:w="1003" w:type="dxa"/>
                  <w:tcBorders>
                    <w:tl2br w:val="nil"/>
                    <w:tr2bl w:val="nil"/>
                  </w:tcBorders>
                  <w:vAlign w:val="center"/>
                </w:tcPr>
                <w:p w14:paraId="0B03A14B">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363" w:type="dxa"/>
                  <w:tcBorders>
                    <w:tl2br w:val="nil"/>
                    <w:tr2bl w:val="nil"/>
                  </w:tcBorders>
                  <w:vAlign w:val="center"/>
                </w:tcPr>
                <w:p w14:paraId="03FC7322">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004" w:type="dxa"/>
                  <w:tcBorders>
                    <w:tl2br w:val="nil"/>
                    <w:tr2bl w:val="nil"/>
                  </w:tcBorders>
                  <w:vAlign w:val="center"/>
                </w:tcPr>
                <w:p w14:paraId="3B13E276">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11" w:type="dxa"/>
                  <w:tcBorders>
                    <w:tl2br w:val="nil"/>
                    <w:tr2bl w:val="nil"/>
                  </w:tcBorders>
                  <w:vAlign w:val="center"/>
                </w:tcPr>
                <w:p w14:paraId="781CD2AF">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rPr>
                  </w:pPr>
                  <w:r>
                    <w:rPr>
                      <w:rFonts w:hint="default" w:ascii="Times New Roman" w:hAnsi="Times New Roman" w:eastAsia="宋体" w:cs="Times New Roman"/>
                      <w:i w:val="0"/>
                      <w:iCs w:val="0"/>
                      <w:color w:val="auto"/>
                      <w:kern w:val="0"/>
                      <w:sz w:val="21"/>
                      <w:szCs w:val="21"/>
                      <w:u w:val="none"/>
                      <w:lang w:val="en-US" w:eastAsia="zh-CN" w:bidi="ar"/>
                    </w:rPr>
                    <w:t>/</w:t>
                  </w:r>
                </w:p>
              </w:tc>
            </w:tr>
            <w:tr w14:paraId="4AE4E7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3" w:type="pct"/>
                  <w:vMerge w:val="continue"/>
                  <w:tcBorders>
                    <w:tl2br w:val="nil"/>
                    <w:tr2bl w:val="nil"/>
                  </w:tcBorders>
                  <w:vAlign w:val="center"/>
                </w:tcPr>
                <w:p w14:paraId="236C997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rPr>
                  </w:pPr>
                </w:p>
              </w:tc>
              <w:tc>
                <w:tcPr>
                  <w:tcW w:w="363" w:type="pct"/>
                  <w:vMerge w:val="continue"/>
                  <w:tcBorders>
                    <w:tl2br w:val="nil"/>
                    <w:tr2bl w:val="nil"/>
                  </w:tcBorders>
                  <w:vAlign w:val="center"/>
                </w:tcPr>
                <w:p w14:paraId="4C49C4C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rPr>
                  </w:pPr>
                </w:p>
              </w:tc>
              <w:tc>
                <w:tcPr>
                  <w:tcW w:w="408" w:type="pct"/>
                  <w:tcBorders>
                    <w:tl2br w:val="nil"/>
                    <w:tr2bl w:val="nil"/>
                  </w:tcBorders>
                  <w:vAlign w:val="center"/>
                </w:tcPr>
                <w:p w14:paraId="48F5A69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cs="Times New Roman"/>
                      <w:b w:val="0"/>
                      <w:bCs/>
                      <w:color w:val="auto"/>
                      <w:spacing w:val="0"/>
                      <w:sz w:val="21"/>
                      <w:szCs w:val="21"/>
                      <w:highlight w:val="none"/>
                      <w:vertAlign w:val="baseline"/>
                      <w:lang w:val="en-US" w:eastAsia="zh-CN"/>
                    </w:rPr>
                    <w:t>LAS</w:t>
                  </w:r>
                </w:p>
              </w:tc>
              <w:tc>
                <w:tcPr>
                  <w:tcW w:w="1003" w:type="dxa"/>
                  <w:tcBorders>
                    <w:tl2br w:val="nil"/>
                    <w:tr2bl w:val="nil"/>
                  </w:tcBorders>
                  <w:vAlign w:val="center"/>
                </w:tcPr>
                <w:p w14:paraId="1FCB6AB3">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33.4</w:t>
                  </w:r>
                </w:p>
              </w:tc>
              <w:tc>
                <w:tcPr>
                  <w:tcW w:w="872" w:type="dxa"/>
                  <w:tcBorders>
                    <w:tl2br w:val="nil"/>
                    <w:tr2bl w:val="nil"/>
                  </w:tcBorders>
                  <w:vAlign w:val="center"/>
                </w:tcPr>
                <w:p w14:paraId="13DC79DC">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0.003 </w:t>
                  </w:r>
                </w:p>
              </w:tc>
              <w:tc>
                <w:tcPr>
                  <w:tcW w:w="1003" w:type="dxa"/>
                  <w:tcBorders>
                    <w:tl2br w:val="nil"/>
                    <w:tr2bl w:val="nil"/>
                  </w:tcBorders>
                  <w:vAlign w:val="center"/>
                </w:tcPr>
                <w:p w14:paraId="7A6B7CB7">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363" w:type="dxa"/>
                  <w:tcBorders>
                    <w:tl2br w:val="nil"/>
                    <w:tr2bl w:val="nil"/>
                  </w:tcBorders>
                  <w:vAlign w:val="center"/>
                </w:tcPr>
                <w:p w14:paraId="6FCA5309">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004" w:type="dxa"/>
                  <w:tcBorders>
                    <w:tl2br w:val="nil"/>
                    <w:tr2bl w:val="nil"/>
                  </w:tcBorders>
                  <w:vAlign w:val="center"/>
                </w:tcPr>
                <w:p w14:paraId="6E1CF9CC">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11" w:type="dxa"/>
                  <w:tcBorders>
                    <w:tl2br w:val="nil"/>
                    <w:tr2bl w:val="nil"/>
                  </w:tcBorders>
                  <w:vAlign w:val="center"/>
                </w:tcPr>
                <w:p w14:paraId="5AF5CE2C">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rPr>
                  </w:pPr>
                  <w:r>
                    <w:rPr>
                      <w:rFonts w:hint="default" w:ascii="Times New Roman" w:hAnsi="Times New Roman" w:eastAsia="宋体" w:cs="Times New Roman"/>
                      <w:i w:val="0"/>
                      <w:iCs w:val="0"/>
                      <w:color w:val="auto"/>
                      <w:kern w:val="0"/>
                      <w:sz w:val="21"/>
                      <w:szCs w:val="21"/>
                      <w:u w:val="none"/>
                      <w:lang w:val="en-US" w:eastAsia="zh-CN" w:bidi="ar"/>
                    </w:rPr>
                    <w:t>/</w:t>
                  </w:r>
                </w:p>
              </w:tc>
            </w:tr>
            <w:tr w14:paraId="0A6472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3" w:type="pct"/>
                  <w:vMerge w:val="restart"/>
                  <w:tcBorders>
                    <w:tl2br w:val="nil"/>
                    <w:tr2bl w:val="nil"/>
                  </w:tcBorders>
                  <w:vAlign w:val="center"/>
                </w:tcPr>
                <w:p w14:paraId="0707BCD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cs="Times New Roman"/>
                      <w:b w:val="0"/>
                      <w:bCs/>
                      <w:color w:val="auto"/>
                      <w:spacing w:val="0"/>
                      <w:sz w:val="21"/>
                      <w:szCs w:val="21"/>
                      <w:highlight w:val="none"/>
                      <w:vertAlign w:val="baseline"/>
                      <w:lang w:val="en-US" w:eastAsia="zh-CN"/>
                    </w:rPr>
                    <w:t>综合废水</w:t>
                  </w:r>
                </w:p>
              </w:tc>
              <w:tc>
                <w:tcPr>
                  <w:tcW w:w="363" w:type="pct"/>
                  <w:vMerge w:val="restart"/>
                  <w:tcBorders>
                    <w:tl2br w:val="nil"/>
                    <w:tr2bl w:val="nil"/>
                  </w:tcBorders>
                  <w:vAlign w:val="center"/>
                </w:tcPr>
                <w:p w14:paraId="2CDF76A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eastAsia" w:cs="Times New Roman"/>
                      <w:b w:val="0"/>
                      <w:bCs/>
                      <w:color w:val="auto"/>
                      <w:spacing w:val="0"/>
                      <w:sz w:val="21"/>
                      <w:szCs w:val="21"/>
                      <w:highlight w:val="none"/>
                      <w:vertAlign w:val="baseline"/>
                      <w:lang w:val="en-US" w:eastAsia="zh-CN"/>
                    </w:rPr>
                    <w:t>485.8515</w:t>
                  </w:r>
                </w:p>
              </w:tc>
              <w:tc>
                <w:tcPr>
                  <w:tcW w:w="408" w:type="pct"/>
                  <w:tcBorders>
                    <w:tl2br w:val="nil"/>
                    <w:tr2bl w:val="nil"/>
                  </w:tcBorders>
                  <w:shd w:val="clear" w:color="auto" w:fill="auto"/>
                  <w:vAlign w:val="center"/>
                </w:tcPr>
                <w:p w14:paraId="2226A6E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kern w:val="2"/>
                      <w:sz w:val="21"/>
                      <w:szCs w:val="21"/>
                      <w:highlight w:val="none"/>
                      <w:vertAlign w:val="baseline"/>
                      <w:lang w:val="en-US" w:eastAsia="zh-CN" w:bidi="ar-SA"/>
                    </w:rPr>
                  </w:pPr>
                  <w:r>
                    <w:rPr>
                      <w:rFonts w:hint="default" w:ascii="Times New Roman" w:hAnsi="Times New Roman" w:cs="Times New Roman"/>
                      <w:b w:val="0"/>
                      <w:bCs/>
                      <w:color w:val="auto"/>
                      <w:spacing w:val="0"/>
                      <w:sz w:val="21"/>
                      <w:szCs w:val="21"/>
                      <w:highlight w:val="none"/>
                      <w:vertAlign w:val="baseline"/>
                      <w:lang w:val="en-US" w:eastAsia="zh-CN"/>
                    </w:rPr>
                    <w:t>pH</w:t>
                  </w:r>
                </w:p>
              </w:tc>
              <w:tc>
                <w:tcPr>
                  <w:tcW w:w="1003" w:type="dxa"/>
                  <w:tcBorders>
                    <w:tl2br w:val="nil"/>
                    <w:tr2bl w:val="nil"/>
                  </w:tcBorders>
                  <w:vAlign w:val="center"/>
                </w:tcPr>
                <w:p w14:paraId="79A4B998">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6~-9</w:t>
                  </w:r>
                </w:p>
              </w:tc>
              <w:tc>
                <w:tcPr>
                  <w:tcW w:w="872" w:type="dxa"/>
                  <w:tcBorders>
                    <w:tl2br w:val="nil"/>
                    <w:tr2bl w:val="nil"/>
                  </w:tcBorders>
                  <w:vAlign w:val="center"/>
                </w:tcPr>
                <w:p w14:paraId="7062C115">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1003" w:type="dxa"/>
                  <w:tcBorders>
                    <w:tl2br w:val="nil"/>
                    <w:tr2bl w:val="nil"/>
                  </w:tcBorders>
                  <w:shd w:val="clear" w:color="auto" w:fill="auto"/>
                  <w:vAlign w:val="center"/>
                </w:tcPr>
                <w:p w14:paraId="54F3C638">
                  <w:pPr>
                    <w:keepNext w:val="0"/>
                    <w:keepLines w:val="0"/>
                    <w:widowControl/>
                    <w:suppressLineNumbers w:val="0"/>
                    <w:jc w:val="center"/>
                    <w:textAlignment w:val="center"/>
                    <w:rPr>
                      <w:rFonts w:hint="default" w:ascii="Times New Roman" w:hAnsi="Times New Roman" w:eastAsia="宋体" w:cs="Times New Roman"/>
                      <w:b w:val="0"/>
                      <w:bCs/>
                      <w:color w:val="auto"/>
                      <w:spacing w:val="0"/>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6~-9</w:t>
                  </w:r>
                </w:p>
              </w:tc>
              <w:tc>
                <w:tcPr>
                  <w:tcW w:w="1363" w:type="dxa"/>
                  <w:tcBorders>
                    <w:tl2br w:val="nil"/>
                    <w:tr2bl w:val="nil"/>
                  </w:tcBorders>
                  <w:shd w:val="clear" w:color="auto" w:fill="auto"/>
                  <w:vAlign w:val="center"/>
                </w:tcPr>
                <w:p w14:paraId="266DE82B">
                  <w:pPr>
                    <w:keepNext w:val="0"/>
                    <w:keepLines w:val="0"/>
                    <w:widowControl/>
                    <w:suppressLineNumbers w:val="0"/>
                    <w:jc w:val="center"/>
                    <w:textAlignment w:val="center"/>
                    <w:rPr>
                      <w:rFonts w:hint="default" w:ascii="Times New Roman" w:hAnsi="Times New Roman" w:eastAsia="宋体" w:cs="Times New Roman"/>
                      <w:b w:val="0"/>
                      <w:bCs/>
                      <w:color w:val="auto"/>
                      <w:spacing w:val="0"/>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1004" w:type="dxa"/>
                  <w:tcBorders>
                    <w:tl2br w:val="nil"/>
                    <w:tr2bl w:val="nil"/>
                  </w:tcBorders>
                  <w:shd w:val="clear" w:color="auto" w:fill="auto"/>
                  <w:vAlign w:val="center"/>
                </w:tcPr>
                <w:p w14:paraId="38B2A862">
                  <w:pPr>
                    <w:keepNext w:val="0"/>
                    <w:keepLines w:val="0"/>
                    <w:widowControl/>
                    <w:suppressLineNumbers w:val="0"/>
                    <w:jc w:val="center"/>
                    <w:textAlignment w:val="center"/>
                    <w:rPr>
                      <w:rFonts w:hint="default" w:ascii="Times New Roman" w:hAnsi="Times New Roman" w:eastAsia="宋体" w:cs="Times New Roman"/>
                      <w:b w:val="0"/>
                      <w:bCs/>
                      <w:color w:val="auto"/>
                      <w:spacing w:val="0"/>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6~-9</w:t>
                  </w:r>
                </w:p>
              </w:tc>
              <w:tc>
                <w:tcPr>
                  <w:tcW w:w="811" w:type="dxa"/>
                  <w:tcBorders>
                    <w:tl2br w:val="nil"/>
                    <w:tr2bl w:val="nil"/>
                  </w:tcBorders>
                  <w:shd w:val="clear" w:color="auto" w:fill="auto"/>
                  <w:vAlign w:val="center"/>
                </w:tcPr>
                <w:p w14:paraId="107CB6B5">
                  <w:pPr>
                    <w:keepNext w:val="0"/>
                    <w:keepLines w:val="0"/>
                    <w:widowControl/>
                    <w:suppressLineNumbers w:val="0"/>
                    <w:jc w:val="center"/>
                    <w:textAlignment w:val="center"/>
                    <w:rPr>
                      <w:rFonts w:hint="default" w:ascii="Times New Roman" w:hAnsi="Times New Roman" w:eastAsia="宋体" w:cs="Times New Roman"/>
                      <w:b w:val="0"/>
                      <w:bCs/>
                      <w:color w:val="auto"/>
                      <w:spacing w:val="0"/>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r>
            <w:tr w14:paraId="530A39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3" w:type="pct"/>
                  <w:vMerge w:val="continue"/>
                  <w:tcBorders>
                    <w:tl2br w:val="nil"/>
                    <w:tr2bl w:val="nil"/>
                  </w:tcBorders>
                  <w:vAlign w:val="center"/>
                </w:tcPr>
                <w:p w14:paraId="002E502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rPr>
                  </w:pPr>
                </w:p>
              </w:tc>
              <w:tc>
                <w:tcPr>
                  <w:tcW w:w="363" w:type="pct"/>
                  <w:vMerge w:val="continue"/>
                  <w:tcBorders>
                    <w:tl2br w:val="nil"/>
                    <w:tr2bl w:val="nil"/>
                  </w:tcBorders>
                  <w:vAlign w:val="center"/>
                </w:tcPr>
                <w:p w14:paraId="09DBEF5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rPr>
                  </w:pPr>
                </w:p>
              </w:tc>
              <w:tc>
                <w:tcPr>
                  <w:tcW w:w="408" w:type="pct"/>
                  <w:tcBorders>
                    <w:tl2br w:val="nil"/>
                    <w:tr2bl w:val="nil"/>
                  </w:tcBorders>
                  <w:shd w:val="clear" w:color="auto" w:fill="auto"/>
                  <w:vAlign w:val="center"/>
                </w:tcPr>
                <w:p w14:paraId="3EFFAF4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kern w:val="2"/>
                      <w:sz w:val="21"/>
                      <w:szCs w:val="21"/>
                      <w:highlight w:val="none"/>
                      <w:vertAlign w:val="baseline"/>
                      <w:lang w:val="en-US" w:eastAsia="zh-CN" w:bidi="ar-SA"/>
                    </w:rPr>
                  </w:pPr>
                  <w:r>
                    <w:rPr>
                      <w:rFonts w:hint="default" w:ascii="Times New Roman" w:hAnsi="Times New Roman" w:cs="Times New Roman"/>
                      <w:b w:val="0"/>
                      <w:bCs/>
                      <w:color w:val="auto"/>
                      <w:spacing w:val="0"/>
                      <w:sz w:val="21"/>
                      <w:szCs w:val="21"/>
                      <w:highlight w:val="none"/>
                      <w:vertAlign w:val="baseline"/>
                      <w:lang w:val="en-US" w:eastAsia="zh-CN"/>
                    </w:rPr>
                    <w:t>COD</w:t>
                  </w:r>
                </w:p>
              </w:tc>
              <w:tc>
                <w:tcPr>
                  <w:tcW w:w="1003" w:type="dxa"/>
                  <w:tcBorders>
                    <w:tl2br w:val="nil"/>
                    <w:tr2bl w:val="nil"/>
                  </w:tcBorders>
                  <w:vAlign w:val="center"/>
                </w:tcPr>
                <w:p w14:paraId="67A48F16">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419</w:t>
                  </w:r>
                </w:p>
              </w:tc>
              <w:tc>
                <w:tcPr>
                  <w:tcW w:w="872" w:type="dxa"/>
                  <w:tcBorders>
                    <w:tl2br w:val="nil"/>
                    <w:tr2bl w:val="nil"/>
                  </w:tcBorders>
                  <w:vAlign w:val="center"/>
                </w:tcPr>
                <w:p w14:paraId="6D0F6A45">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0.202 </w:t>
                  </w:r>
                </w:p>
              </w:tc>
              <w:tc>
                <w:tcPr>
                  <w:tcW w:w="1003" w:type="dxa"/>
                  <w:tcBorders>
                    <w:tl2br w:val="nil"/>
                    <w:tr2bl w:val="nil"/>
                  </w:tcBorders>
                  <w:vAlign w:val="center"/>
                </w:tcPr>
                <w:p w14:paraId="01EEE2CA">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500</w:t>
                  </w:r>
                </w:p>
              </w:tc>
              <w:tc>
                <w:tcPr>
                  <w:tcW w:w="1363" w:type="dxa"/>
                  <w:tcBorders>
                    <w:tl2br w:val="nil"/>
                    <w:tr2bl w:val="nil"/>
                  </w:tcBorders>
                  <w:vAlign w:val="center"/>
                </w:tcPr>
                <w:p w14:paraId="5ABF6A6D">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rPr>
                  </w:pPr>
                  <w:r>
                    <w:rPr>
                      <w:rFonts w:hint="default" w:ascii="Times New Roman" w:hAnsi="Times New Roman" w:eastAsia="宋体" w:cs="Times New Roman"/>
                      <w:i w:val="0"/>
                      <w:iCs w:val="0"/>
                      <w:color w:val="auto"/>
                      <w:kern w:val="0"/>
                      <w:sz w:val="21"/>
                      <w:szCs w:val="21"/>
                      <w:u w:val="none"/>
                      <w:lang w:val="en-US" w:eastAsia="zh-CN" w:bidi="ar"/>
                    </w:rPr>
                    <w:t xml:space="preserve">0.243 </w:t>
                  </w:r>
                </w:p>
              </w:tc>
              <w:tc>
                <w:tcPr>
                  <w:tcW w:w="1004" w:type="dxa"/>
                  <w:tcBorders>
                    <w:tl2br w:val="nil"/>
                    <w:tr2bl w:val="nil"/>
                  </w:tcBorders>
                  <w:vAlign w:val="center"/>
                </w:tcPr>
                <w:p w14:paraId="4C4C1F67">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30</w:t>
                  </w:r>
                </w:p>
              </w:tc>
              <w:tc>
                <w:tcPr>
                  <w:tcW w:w="811" w:type="dxa"/>
                  <w:tcBorders>
                    <w:tl2br w:val="nil"/>
                    <w:tr2bl w:val="nil"/>
                  </w:tcBorders>
                  <w:vAlign w:val="center"/>
                </w:tcPr>
                <w:p w14:paraId="6ECCB526">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0.015 </w:t>
                  </w:r>
                </w:p>
              </w:tc>
            </w:tr>
            <w:tr w14:paraId="43E312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3" w:type="pct"/>
                  <w:vMerge w:val="continue"/>
                  <w:tcBorders>
                    <w:tl2br w:val="nil"/>
                    <w:tr2bl w:val="nil"/>
                  </w:tcBorders>
                  <w:vAlign w:val="center"/>
                </w:tcPr>
                <w:p w14:paraId="0673867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rPr>
                  </w:pPr>
                </w:p>
              </w:tc>
              <w:tc>
                <w:tcPr>
                  <w:tcW w:w="363" w:type="pct"/>
                  <w:vMerge w:val="continue"/>
                  <w:tcBorders>
                    <w:tl2br w:val="nil"/>
                    <w:tr2bl w:val="nil"/>
                  </w:tcBorders>
                  <w:vAlign w:val="center"/>
                </w:tcPr>
                <w:p w14:paraId="7DD5DE0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rPr>
                  </w:pPr>
                </w:p>
              </w:tc>
              <w:tc>
                <w:tcPr>
                  <w:tcW w:w="408" w:type="pct"/>
                  <w:tcBorders>
                    <w:tl2br w:val="nil"/>
                    <w:tr2bl w:val="nil"/>
                  </w:tcBorders>
                  <w:shd w:val="clear" w:color="auto" w:fill="auto"/>
                  <w:vAlign w:val="center"/>
                </w:tcPr>
                <w:p w14:paraId="54D04B4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kern w:val="2"/>
                      <w:sz w:val="21"/>
                      <w:szCs w:val="21"/>
                      <w:highlight w:val="none"/>
                      <w:vertAlign w:val="baseline"/>
                      <w:lang w:val="en-US" w:eastAsia="zh-CN" w:bidi="ar-SA"/>
                    </w:rPr>
                  </w:pPr>
                  <w:r>
                    <w:rPr>
                      <w:rFonts w:hint="default" w:ascii="Times New Roman" w:hAnsi="Times New Roman" w:cs="Times New Roman"/>
                      <w:b w:val="0"/>
                      <w:bCs/>
                      <w:color w:val="auto"/>
                      <w:spacing w:val="0"/>
                      <w:sz w:val="21"/>
                      <w:szCs w:val="21"/>
                      <w:highlight w:val="none"/>
                      <w:vertAlign w:val="baseline"/>
                      <w:lang w:val="en-US" w:eastAsia="zh-CN"/>
                    </w:rPr>
                    <w:t>BOD</w:t>
                  </w:r>
                  <w:r>
                    <w:rPr>
                      <w:rFonts w:hint="default" w:ascii="Times New Roman" w:hAnsi="Times New Roman" w:cs="Times New Roman"/>
                      <w:b w:val="0"/>
                      <w:bCs/>
                      <w:color w:val="auto"/>
                      <w:spacing w:val="0"/>
                      <w:sz w:val="21"/>
                      <w:szCs w:val="21"/>
                      <w:highlight w:val="none"/>
                      <w:vertAlign w:val="subscript"/>
                      <w:lang w:val="en-US" w:eastAsia="zh-CN"/>
                    </w:rPr>
                    <w:t>5</w:t>
                  </w:r>
                </w:p>
              </w:tc>
              <w:tc>
                <w:tcPr>
                  <w:tcW w:w="1003" w:type="dxa"/>
                  <w:tcBorders>
                    <w:tl2br w:val="nil"/>
                    <w:tr2bl w:val="nil"/>
                  </w:tcBorders>
                  <w:vAlign w:val="center"/>
                </w:tcPr>
                <w:p w14:paraId="497C6BBF">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310</w:t>
                  </w:r>
                </w:p>
              </w:tc>
              <w:tc>
                <w:tcPr>
                  <w:tcW w:w="872" w:type="dxa"/>
                  <w:tcBorders>
                    <w:tl2br w:val="nil"/>
                    <w:tr2bl w:val="nil"/>
                  </w:tcBorders>
                  <w:vAlign w:val="center"/>
                </w:tcPr>
                <w:p w14:paraId="4E2D405E">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0.148 </w:t>
                  </w:r>
                </w:p>
              </w:tc>
              <w:tc>
                <w:tcPr>
                  <w:tcW w:w="1003" w:type="dxa"/>
                  <w:tcBorders>
                    <w:tl2br w:val="nil"/>
                    <w:tr2bl w:val="nil"/>
                  </w:tcBorders>
                  <w:vAlign w:val="center"/>
                </w:tcPr>
                <w:p w14:paraId="184EA3CA">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300</w:t>
                  </w:r>
                </w:p>
              </w:tc>
              <w:tc>
                <w:tcPr>
                  <w:tcW w:w="1363" w:type="dxa"/>
                  <w:tcBorders>
                    <w:tl2br w:val="nil"/>
                    <w:tr2bl w:val="nil"/>
                  </w:tcBorders>
                  <w:vAlign w:val="center"/>
                </w:tcPr>
                <w:p w14:paraId="0DB5CB48">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rPr>
                  </w:pPr>
                  <w:r>
                    <w:rPr>
                      <w:rFonts w:hint="default" w:ascii="Times New Roman" w:hAnsi="Times New Roman" w:eastAsia="宋体" w:cs="Times New Roman"/>
                      <w:i w:val="0"/>
                      <w:iCs w:val="0"/>
                      <w:color w:val="auto"/>
                      <w:kern w:val="0"/>
                      <w:sz w:val="21"/>
                      <w:szCs w:val="21"/>
                      <w:u w:val="none"/>
                      <w:lang w:val="en-US" w:eastAsia="zh-CN" w:bidi="ar"/>
                    </w:rPr>
                    <w:t xml:space="preserve">0.146 </w:t>
                  </w:r>
                </w:p>
              </w:tc>
              <w:tc>
                <w:tcPr>
                  <w:tcW w:w="1004" w:type="dxa"/>
                  <w:tcBorders>
                    <w:tl2br w:val="nil"/>
                    <w:tr2bl w:val="nil"/>
                  </w:tcBorders>
                  <w:vAlign w:val="center"/>
                </w:tcPr>
                <w:p w14:paraId="01BF7207">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6</w:t>
                  </w:r>
                </w:p>
              </w:tc>
              <w:tc>
                <w:tcPr>
                  <w:tcW w:w="811" w:type="dxa"/>
                  <w:tcBorders>
                    <w:tl2br w:val="nil"/>
                    <w:tr2bl w:val="nil"/>
                  </w:tcBorders>
                  <w:vAlign w:val="center"/>
                </w:tcPr>
                <w:p w14:paraId="28B896A7">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0.003 </w:t>
                  </w:r>
                </w:p>
              </w:tc>
            </w:tr>
            <w:tr w14:paraId="028FCB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3" w:type="pct"/>
                  <w:vMerge w:val="continue"/>
                  <w:tcBorders>
                    <w:tl2br w:val="nil"/>
                    <w:tr2bl w:val="nil"/>
                  </w:tcBorders>
                  <w:vAlign w:val="center"/>
                </w:tcPr>
                <w:p w14:paraId="41E0AA1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rPr>
                  </w:pPr>
                </w:p>
              </w:tc>
              <w:tc>
                <w:tcPr>
                  <w:tcW w:w="363" w:type="pct"/>
                  <w:vMerge w:val="continue"/>
                  <w:tcBorders>
                    <w:tl2br w:val="nil"/>
                    <w:tr2bl w:val="nil"/>
                  </w:tcBorders>
                  <w:vAlign w:val="center"/>
                </w:tcPr>
                <w:p w14:paraId="60D29A7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rPr>
                  </w:pPr>
                </w:p>
              </w:tc>
              <w:tc>
                <w:tcPr>
                  <w:tcW w:w="408" w:type="pct"/>
                  <w:tcBorders>
                    <w:tl2br w:val="nil"/>
                    <w:tr2bl w:val="nil"/>
                  </w:tcBorders>
                  <w:shd w:val="clear" w:color="auto" w:fill="auto"/>
                  <w:vAlign w:val="center"/>
                </w:tcPr>
                <w:p w14:paraId="5D9FBE9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kern w:val="2"/>
                      <w:sz w:val="21"/>
                      <w:szCs w:val="21"/>
                      <w:highlight w:val="none"/>
                      <w:vertAlign w:val="baseline"/>
                      <w:lang w:val="en-US" w:eastAsia="zh-CN" w:bidi="ar-SA"/>
                    </w:rPr>
                  </w:pPr>
                  <w:r>
                    <w:rPr>
                      <w:rFonts w:hint="default" w:ascii="Times New Roman" w:hAnsi="Times New Roman" w:cs="Times New Roman"/>
                      <w:b w:val="0"/>
                      <w:bCs/>
                      <w:color w:val="auto"/>
                      <w:spacing w:val="0"/>
                      <w:sz w:val="21"/>
                      <w:szCs w:val="21"/>
                      <w:highlight w:val="none"/>
                      <w:vertAlign w:val="baseline"/>
                      <w:lang w:val="en-US" w:eastAsia="zh-CN"/>
                    </w:rPr>
                    <w:t>氨氮</w:t>
                  </w:r>
                </w:p>
              </w:tc>
              <w:tc>
                <w:tcPr>
                  <w:tcW w:w="1003" w:type="dxa"/>
                  <w:tcBorders>
                    <w:tl2br w:val="nil"/>
                    <w:tr2bl w:val="nil"/>
                  </w:tcBorders>
                  <w:vAlign w:val="center"/>
                </w:tcPr>
                <w:p w14:paraId="2DC7CF9F">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26</w:t>
                  </w:r>
                </w:p>
              </w:tc>
              <w:tc>
                <w:tcPr>
                  <w:tcW w:w="872" w:type="dxa"/>
                  <w:tcBorders>
                    <w:tl2br w:val="nil"/>
                    <w:tr2bl w:val="nil"/>
                  </w:tcBorders>
                  <w:vAlign w:val="center"/>
                </w:tcPr>
                <w:p w14:paraId="1F11E334">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0.013 </w:t>
                  </w:r>
                </w:p>
              </w:tc>
              <w:tc>
                <w:tcPr>
                  <w:tcW w:w="1003" w:type="dxa"/>
                  <w:tcBorders>
                    <w:tl2br w:val="nil"/>
                    <w:tr2bl w:val="nil"/>
                  </w:tcBorders>
                  <w:vAlign w:val="center"/>
                </w:tcPr>
                <w:p w14:paraId="435A0071">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45</w:t>
                  </w:r>
                </w:p>
              </w:tc>
              <w:tc>
                <w:tcPr>
                  <w:tcW w:w="1363" w:type="dxa"/>
                  <w:tcBorders>
                    <w:tl2br w:val="nil"/>
                    <w:tr2bl w:val="nil"/>
                  </w:tcBorders>
                  <w:vAlign w:val="center"/>
                </w:tcPr>
                <w:p w14:paraId="0B5C9457">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rPr>
                  </w:pPr>
                  <w:r>
                    <w:rPr>
                      <w:rFonts w:hint="default" w:ascii="Times New Roman" w:hAnsi="Times New Roman" w:eastAsia="宋体" w:cs="Times New Roman"/>
                      <w:i w:val="0"/>
                      <w:iCs w:val="0"/>
                      <w:color w:val="auto"/>
                      <w:kern w:val="0"/>
                      <w:sz w:val="21"/>
                      <w:szCs w:val="21"/>
                      <w:u w:val="none"/>
                      <w:lang w:val="en-US" w:eastAsia="zh-CN" w:bidi="ar"/>
                    </w:rPr>
                    <w:t xml:space="preserve">0.013 </w:t>
                  </w:r>
                </w:p>
              </w:tc>
              <w:tc>
                <w:tcPr>
                  <w:tcW w:w="1004" w:type="dxa"/>
                  <w:tcBorders>
                    <w:tl2br w:val="nil"/>
                    <w:tr2bl w:val="nil"/>
                  </w:tcBorders>
                  <w:vAlign w:val="center"/>
                </w:tcPr>
                <w:p w14:paraId="74692DD0">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1.5</w:t>
                  </w:r>
                </w:p>
              </w:tc>
              <w:tc>
                <w:tcPr>
                  <w:tcW w:w="811" w:type="dxa"/>
                  <w:tcBorders>
                    <w:tl2br w:val="nil"/>
                    <w:tr2bl w:val="nil"/>
                  </w:tcBorders>
                  <w:vAlign w:val="center"/>
                </w:tcPr>
                <w:p w14:paraId="5C446C50">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0.001 </w:t>
                  </w:r>
                </w:p>
              </w:tc>
            </w:tr>
            <w:tr w14:paraId="6CFE72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3" w:type="pct"/>
                  <w:vMerge w:val="continue"/>
                  <w:tcBorders>
                    <w:tl2br w:val="nil"/>
                    <w:tr2bl w:val="nil"/>
                  </w:tcBorders>
                  <w:vAlign w:val="center"/>
                </w:tcPr>
                <w:p w14:paraId="7C4A9EA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rPr>
                  </w:pPr>
                </w:p>
              </w:tc>
              <w:tc>
                <w:tcPr>
                  <w:tcW w:w="363" w:type="pct"/>
                  <w:vMerge w:val="continue"/>
                  <w:tcBorders>
                    <w:tl2br w:val="nil"/>
                    <w:tr2bl w:val="nil"/>
                  </w:tcBorders>
                  <w:vAlign w:val="center"/>
                </w:tcPr>
                <w:p w14:paraId="03C20C8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rPr>
                  </w:pPr>
                </w:p>
              </w:tc>
              <w:tc>
                <w:tcPr>
                  <w:tcW w:w="408" w:type="pct"/>
                  <w:tcBorders>
                    <w:tl2br w:val="nil"/>
                    <w:tr2bl w:val="nil"/>
                  </w:tcBorders>
                  <w:shd w:val="clear" w:color="auto" w:fill="auto"/>
                  <w:vAlign w:val="center"/>
                </w:tcPr>
                <w:p w14:paraId="49AFF80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kern w:val="2"/>
                      <w:sz w:val="21"/>
                      <w:szCs w:val="21"/>
                      <w:highlight w:val="none"/>
                      <w:vertAlign w:val="baseline"/>
                      <w:lang w:val="en-US" w:eastAsia="zh-CN" w:bidi="ar-SA"/>
                    </w:rPr>
                  </w:pPr>
                  <w:r>
                    <w:rPr>
                      <w:rFonts w:hint="default" w:ascii="Times New Roman" w:hAnsi="Times New Roman" w:cs="Times New Roman"/>
                      <w:b w:val="0"/>
                      <w:bCs/>
                      <w:color w:val="auto"/>
                      <w:spacing w:val="0"/>
                      <w:sz w:val="21"/>
                      <w:szCs w:val="21"/>
                      <w:highlight w:val="none"/>
                      <w:vertAlign w:val="baseline"/>
                      <w:lang w:val="en-US" w:eastAsia="zh-CN"/>
                    </w:rPr>
                    <w:t>SS</w:t>
                  </w:r>
                </w:p>
              </w:tc>
              <w:tc>
                <w:tcPr>
                  <w:tcW w:w="1003" w:type="dxa"/>
                  <w:tcBorders>
                    <w:tl2br w:val="nil"/>
                    <w:tr2bl w:val="nil"/>
                  </w:tcBorders>
                  <w:vAlign w:val="center"/>
                </w:tcPr>
                <w:p w14:paraId="4AAEFF01">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336</w:t>
                  </w:r>
                </w:p>
              </w:tc>
              <w:tc>
                <w:tcPr>
                  <w:tcW w:w="872" w:type="dxa"/>
                  <w:tcBorders>
                    <w:tl2br w:val="nil"/>
                    <w:tr2bl w:val="nil"/>
                  </w:tcBorders>
                  <w:vAlign w:val="center"/>
                </w:tcPr>
                <w:p w14:paraId="1F32AA00">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0.160 </w:t>
                  </w:r>
                </w:p>
              </w:tc>
              <w:tc>
                <w:tcPr>
                  <w:tcW w:w="1003" w:type="dxa"/>
                  <w:tcBorders>
                    <w:tl2br w:val="nil"/>
                    <w:tr2bl w:val="nil"/>
                  </w:tcBorders>
                  <w:vAlign w:val="center"/>
                </w:tcPr>
                <w:p w14:paraId="2394C6AE">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400</w:t>
                  </w:r>
                </w:p>
              </w:tc>
              <w:tc>
                <w:tcPr>
                  <w:tcW w:w="1363" w:type="dxa"/>
                  <w:tcBorders>
                    <w:tl2br w:val="nil"/>
                    <w:tr2bl w:val="nil"/>
                  </w:tcBorders>
                  <w:vAlign w:val="center"/>
                </w:tcPr>
                <w:p w14:paraId="7A01A0AE">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rPr>
                  </w:pPr>
                  <w:r>
                    <w:rPr>
                      <w:rFonts w:hint="default" w:ascii="Times New Roman" w:hAnsi="Times New Roman" w:eastAsia="宋体" w:cs="Times New Roman"/>
                      <w:i w:val="0"/>
                      <w:iCs w:val="0"/>
                      <w:color w:val="auto"/>
                      <w:kern w:val="0"/>
                      <w:sz w:val="21"/>
                      <w:szCs w:val="21"/>
                      <w:u w:val="none"/>
                      <w:lang w:val="en-US" w:eastAsia="zh-CN" w:bidi="ar"/>
                    </w:rPr>
                    <w:t xml:space="preserve">0.194 </w:t>
                  </w:r>
                </w:p>
              </w:tc>
              <w:tc>
                <w:tcPr>
                  <w:tcW w:w="1004" w:type="dxa"/>
                  <w:tcBorders>
                    <w:tl2br w:val="nil"/>
                    <w:tr2bl w:val="nil"/>
                  </w:tcBorders>
                  <w:vAlign w:val="center"/>
                </w:tcPr>
                <w:p w14:paraId="3CFC9BF0">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10</w:t>
                  </w:r>
                </w:p>
              </w:tc>
              <w:tc>
                <w:tcPr>
                  <w:tcW w:w="811" w:type="dxa"/>
                  <w:tcBorders>
                    <w:tl2br w:val="nil"/>
                    <w:tr2bl w:val="nil"/>
                  </w:tcBorders>
                  <w:vAlign w:val="center"/>
                </w:tcPr>
                <w:p w14:paraId="6DB1A462">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0.005 </w:t>
                  </w:r>
                </w:p>
              </w:tc>
            </w:tr>
            <w:tr w14:paraId="2A3C05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3" w:type="pct"/>
                  <w:vMerge w:val="continue"/>
                  <w:tcBorders>
                    <w:tl2br w:val="nil"/>
                    <w:tr2bl w:val="nil"/>
                  </w:tcBorders>
                  <w:vAlign w:val="center"/>
                </w:tcPr>
                <w:p w14:paraId="7AF95BB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rPr>
                  </w:pPr>
                </w:p>
              </w:tc>
              <w:tc>
                <w:tcPr>
                  <w:tcW w:w="363" w:type="pct"/>
                  <w:vMerge w:val="continue"/>
                  <w:tcBorders>
                    <w:tl2br w:val="nil"/>
                    <w:tr2bl w:val="nil"/>
                  </w:tcBorders>
                  <w:vAlign w:val="center"/>
                </w:tcPr>
                <w:p w14:paraId="7A131D0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rPr>
                  </w:pPr>
                </w:p>
              </w:tc>
              <w:tc>
                <w:tcPr>
                  <w:tcW w:w="408" w:type="pct"/>
                  <w:tcBorders>
                    <w:tl2br w:val="nil"/>
                    <w:tr2bl w:val="nil"/>
                  </w:tcBorders>
                  <w:shd w:val="clear" w:color="auto" w:fill="auto"/>
                  <w:vAlign w:val="center"/>
                </w:tcPr>
                <w:p w14:paraId="7FC74BF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cs="Times New Roman"/>
                      <w:b w:val="0"/>
                      <w:bCs/>
                      <w:color w:val="auto"/>
                      <w:spacing w:val="0"/>
                      <w:sz w:val="21"/>
                      <w:szCs w:val="21"/>
                      <w:highlight w:val="none"/>
                      <w:vertAlign w:val="baseline"/>
                      <w:lang w:val="en-US" w:eastAsia="zh-CN"/>
                    </w:rPr>
                    <w:t>TP</w:t>
                  </w:r>
                </w:p>
              </w:tc>
              <w:tc>
                <w:tcPr>
                  <w:tcW w:w="1003" w:type="dxa"/>
                  <w:tcBorders>
                    <w:tl2br w:val="nil"/>
                    <w:tr2bl w:val="nil"/>
                  </w:tcBorders>
                  <w:shd w:val="clear" w:color="auto" w:fill="auto"/>
                  <w:vAlign w:val="center"/>
                </w:tcPr>
                <w:p w14:paraId="5B21A311">
                  <w:pPr>
                    <w:keepNext w:val="0"/>
                    <w:keepLines w:val="0"/>
                    <w:widowControl/>
                    <w:suppressLineNumbers w:val="0"/>
                    <w:jc w:val="center"/>
                    <w:textAlignment w:val="center"/>
                    <w:rPr>
                      <w:rFonts w:hint="default" w:ascii="Times New Roman" w:hAnsi="Times New Roman" w:eastAsia="宋体" w:cs="Times New Roman"/>
                      <w:b w:val="0"/>
                      <w:bCs/>
                      <w:color w:val="auto"/>
                      <w:spacing w:val="0"/>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10</w:t>
                  </w:r>
                </w:p>
              </w:tc>
              <w:tc>
                <w:tcPr>
                  <w:tcW w:w="872" w:type="dxa"/>
                  <w:tcBorders>
                    <w:tl2br w:val="nil"/>
                    <w:tr2bl w:val="nil"/>
                  </w:tcBorders>
                  <w:vAlign w:val="center"/>
                </w:tcPr>
                <w:p w14:paraId="02E8A7C8">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0.005 </w:t>
                  </w:r>
                </w:p>
              </w:tc>
              <w:tc>
                <w:tcPr>
                  <w:tcW w:w="1003" w:type="dxa"/>
                  <w:tcBorders>
                    <w:tl2br w:val="nil"/>
                    <w:tr2bl w:val="nil"/>
                  </w:tcBorders>
                  <w:vAlign w:val="center"/>
                </w:tcPr>
                <w:p w14:paraId="4211EADB">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8</w:t>
                  </w:r>
                </w:p>
              </w:tc>
              <w:tc>
                <w:tcPr>
                  <w:tcW w:w="1363" w:type="dxa"/>
                  <w:tcBorders>
                    <w:tl2br w:val="nil"/>
                    <w:tr2bl w:val="nil"/>
                  </w:tcBorders>
                  <w:vAlign w:val="center"/>
                </w:tcPr>
                <w:p w14:paraId="3073EF26">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0.005 </w:t>
                  </w:r>
                </w:p>
              </w:tc>
              <w:tc>
                <w:tcPr>
                  <w:tcW w:w="1004" w:type="dxa"/>
                  <w:tcBorders>
                    <w:tl2br w:val="nil"/>
                    <w:tr2bl w:val="nil"/>
                  </w:tcBorders>
                  <w:vAlign w:val="center"/>
                </w:tcPr>
                <w:p w14:paraId="1B1DAEB7">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0.3</w:t>
                  </w:r>
                </w:p>
              </w:tc>
              <w:tc>
                <w:tcPr>
                  <w:tcW w:w="811" w:type="dxa"/>
                  <w:tcBorders>
                    <w:tl2br w:val="nil"/>
                    <w:tr2bl w:val="nil"/>
                  </w:tcBorders>
                  <w:vAlign w:val="center"/>
                </w:tcPr>
                <w:p w14:paraId="442F26AD">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0.0001 </w:t>
                  </w:r>
                </w:p>
              </w:tc>
            </w:tr>
            <w:tr w14:paraId="484918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563" w:type="pct"/>
                  <w:vMerge w:val="continue"/>
                  <w:tcBorders>
                    <w:tl2br w:val="nil"/>
                    <w:tr2bl w:val="nil"/>
                  </w:tcBorders>
                  <w:vAlign w:val="center"/>
                </w:tcPr>
                <w:p w14:paraId="363352E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rPr>
                  </w:pPr>
                </w:p>
              </w:tc>
              <w:tc>
                <w:tcPr>
                  <w:tcW w:w="363" w:type="pct"/>
                  <w:vMerge w:val="continue"/>
                  <w:tcBorders>
                    <w:tl2br w:val="nil"/>
                    <w:tr2bl w:val="nil"/>
                  </w:tcBorders>
                  <w:vAlign w:val="center"/>
                </w:tcPr>
                <w:p w14:paraId="4B85F24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rPr>
                  </w:pPr>
                </w:p>
              </w:tc>
              <w:tc>
                <w:tcPr>
                  <w:tcW w:w="408" w:type="pct"/>
                  <w:tcBorders>
                    <w:tl2br w:val="nil"/>
                    <w:tr2bl w:val="nil"/>
                  </w:tcBorders>
                  <w:shd w:val="clear" w:color="auto" w:fill="auto"/>
                  <w:vAlign w:val="center"/>
                </w:tcPr>
                <w:p w14:paraId="09C65CD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kern w:val="2"/>
                      <w:sz w:val="21"/>
                      <w:szCs w:val="21"/>
                      <w:highlight w:val="none"/>
                      <w:vertAlign w:val="baseline"/>
                      <w:lang w:val="en-US" w:eastAsia="zh-CN" w:bidi="ar-SA"/>
                    </w:rPr>
                  </w:pPr>
                  <w:r>
                    <w:rPr>
                      <w:rFonts w:hint="default" w:ascii="Times New Roman" w:hAnsi="Times New Roman" w:cs="Times New Roman"/>
                      <w:b w:val="0"/>
                      <w:bCs/>
                      <w:color w:val="auto"/>
                      <w:spacing w:val="0"/>
                      <w:sz w:val="21"/>
                      <w:szCs w:val="21"/>
                      <w:highlight w:val="none"/>
                      <w:vertAlign w:val="baseline"/>
                      <w:lang w:val="en-US" w:eastAsia="zh-CN"/>
                    </w:rPr>
                    <w:t>粪大肠菌群</w:t>
                  </w:r>
                </w:p>
              </w:tc>
              <w:tc>
                <w:tcPr>
                  <w:tcW w:w="1003" w:type="dxa"/>
                  <w:tcBorders>
                    <w:tl2br w:val="nil"/>
                    <w:tr2bl w:val="nil"/>
                  </w:tcBorders>
                  <w:shd w:val="clear" w:color="auto" w:fill="auto"/>
                  <w:vAlign w:val="center"/>
                </w:tcPr>
                <w:p w14:paraId="63C0AA21">
                  <w:pPr>
                    <w:keepNext w:val="0"/>
                    <w:keepLines w:val="0"/>
                    <w:widowControl/>
                    <w:suppressLineNumbers w:val="0"/>
                    <w:jc w:val="center"/>
                    <w:textAlignment w:val="center"/>
                    <w:rPr>
                      <w:rFonts w:hint="default" w:ascii="Times New Roman" w:hAnsi="Times New Roman" w:eastAsia="宋体" w:cs="Times New Roman"/>
                      <w:b w:val="0"/>
                      <w:bCs/>
                      <w:color w:val="auto"/>
                      <w:spacing w:val="0"/>
                      <w:kern w:val="2"/>
                      <w:sz w:val="21"/>
                      <w:szCs w:val="21"/>
                      <w:highlight w:val="none"/>
                      <w:vertAlign w:val="baseline"/>
                      <w:lang w:val="en-US" w:eastAsia="zh-CN" w:bidi="ar-SA"/>
                    </w:rPr>
                  </w:pPr>
                  <w:r>
                    <w:rPr>
                      <w:rFonts w:hint="eastAsia" w:cs="Times New Roman"/>
                      <w:i w:val="0"/>
                      <w:iCs w:val="0"/>
                      <w:color w:val="auto"/>
                      <w:kern w:val="0"/>
                      <w:sz w:val="21"/>
                      <w:szCs w:val="21"/>
                      <w:u w:val="none"/>
                      <w:lang w:val="en-US" w:eastAsia="zh-CN" w:bidi="ar"/>
                    </w:rPr>
                    <w:t>797</w:t>
                  </w:r>
                  <w:r>
                    <w:rPr>
                      <w:rFonts w:hint="eastAsia" w:ascii="宋体" w:hAnsi="宋体" w:eastAsia="宋体" w:cs="宋体"/>
                      <w:i w:val="0"/>
                      <w:iCs w:val="0"/>
                      <w:color w:val="auto"/>
                      <w:kern w:val="0"/>
                      <w:sz w:val="21"/>
                      <w:szCs w:val="21"/>
                      <w:u w:val="none"/>
                      <w:lang w:val="en-US" w:eastAsia="zh-CN" w:bidi="ar"/>
                    </w:rPr>
                    <w:t>个</w:t>
                  </w:r>
                  <w:r>
                    <w:rPr>
                      <w:rStyle w:val="63"/>
                      <w:rFonts w:eastAsia="宋体"/>
                      <w:color w:val="auto"/>
                      <w:lang w:val="en-US" w:eastAsia="zh-CN" w:bidi="ar"/>
                    </w:rPr>
                    <w:t>/L</w:t>
                  </w:r>
                </w:p>
              </w:tc>
              <w:tc>
                <w:tcPr>
                  <w:tcW w:w="872" w:type="dxa"/>
                  <w:tcBorders>
                    <w:tl2br w:val="nil"/>
                    <w:tr2bl w:val="nil"/>
                  </w:tcBorders>
                  <w:vAlign w:val="center"/>
                </w:tcPr>
                <w:p w14:paraId="10FAC49D">
                  <w:pPr>
                    <w:jc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eastAsia" w:ascii="Times New Roman" w:hAnsi="Times New Roman" w:eastAsia="宋体" w:cs="Times New Roman"/>
                      <w:b w:val="0"/>
                      <w:bCs/>
                      <w:color w:val="auto"/>
                      <w:spacing w:val="0"/>
                      <w:sz w:val="21"/>
                      <w:szCs w:val="21"/>
                      <w:highlight w:val="none"/>
                      <w:vertAlign w:val="baseline"/>
                      <w:lang w:val="en-US" w:eastAsia="zh-CN"/>
                    </w:rPr>
                    <w:t>3.9</w:t>
                  </w:r>
                  <w:r>
                    <w:rPr>
                      <w:rFonts w:hint="default" w:ascii="Times New Roman" w:hAnsi="Times New Roman" w:eastAsia="宋体" w:cs="Times New Roman"/>
                      <w:i w:val="0"/>
                      <w:iCs w:val="0"/>
                      <w:color w:val="auto"/>
                      <w:kern w:val="0"/>
                      <w:sz w:val="21"/>
                      <w:szCs w:val="21"/>
                      <w:u w:val="none"/>
                      <w:lang w:val="en-US" w:eastAsia="zh-CN" w:bidi="ar"/>
                    </w:rPr>
                    <w:t>×10</w:t>
                  </w:r>
                  <w:r>
                    <w:rPr>
                      <w:rFonts w:hint="eastAsia" w:ascii="Times New Roman" w:hAnsi="Times New Roman" w:eastAsia="宋体" w:cs="Times New Roman"/>
                      <w:i w:val="0"/>
                      <w:iCs w:val="0"/>
                      <w:color w:val="auto"/>
                      <w:kern w:val="0"/>
                      <w:sz w:val="21"/>
                      <w:szCs w:val="21"/>
                      <w:u w:val="none"/>
                      <w:vertAlign w:val="superscript"/>
                      <w:lang w:val="en-US" w:eastAsia="zh-CN" w:bidi="ar"/>
                    </w:rPr>
                    <w:t>8</w:t>
                  </w:r>
                  <w:r>
                    <w:rPr>
                      <w:rFonts w:hint="eastAsia" w:ascii="宋体" w:hAnsi="宋体" w:eastAsia="宋体" w:cs="宋体"/>
                      <w:i w:val="0"/>
                      <w:iCs w:val="0"/>
                      <w:color w:val="auto"/>
                      <w:kern w:val="0"/>
                      <w:sz w:val="21"/>
                      <w:szCs w:val="21"/>
                      <w:u w:val="none"/>
                      <w:lang w:val="en-US" w:eastAsia="zh-CN" w:bidi="ar"/>
                    </w:rPr>
                    <w:t>个</w:t>
                  </w:r>
                  <w:r>
                    <w:rPr>
                      <w:rStyle w:val="63"/>
                      <w:rFonts w:eastAsia="宋体"/>
                      <w:color w:val="auto"/>
                      <w:lang w:val="en-US" w:eastAsia="zh-CN" w:bidi="ar"/>
                    </w:rPr>
                    <w:t>/L</w:t>
                  </w:r>
                </w:p>
              </w:tc>
              <w:tc>
                <w:tcPr>
                  <w:tcW w:w="607" w:type="pct"/>
                  <w:tcBorders>
                    <w:tl2br w:val="nil"/>
                    <w:tr2bl w:val="nil"/>
                  </w:tcBorders>
                  <w:vAlign w:val="center"/>
                </w:tcPr>
                <w:p w14:paraId="0AFF06EA">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5000</w:t>
                  </w:r>
                  <w:r>
                    <w:rPr>
                      <w:rFonts w:hint="eastAsia" w:ascii="宋体" w:hAnsi="宋体" w:eastAsia="宋体" w:cs="宋体"/>
                      <w:i w:val="0"/>
                      <w:iCs w:val="0"/>
                      <w:color w:val="auto"/>
                      <w:kern w:val="0"/>
                      <w:sz w:val="21"/>
                      <w:szCs w:val="21"/>
                      <w:u w:val="none"/>
                      <w:lang w:val="en-US" w:eastAsia="zh-CN" w:bidi="ar"/>
                    </w:rPr>
                    <w:t>个</w:t>
                  </w:r>
                  <w:r>
                    <w:rPr>
                      <w:rStyle w:val="63"/>
                      <w:rFonts w:eastAsia="宋体"/>
                      <w:color w:val="auto"/>
                      <w:lang w:val="en-US" w:eastAsia="zh-CN" w:bidi="ar"/>
                    </w:rPr>
                    <w:t>/L</w:t>
                  </w:r>
                </w:p>
              </w:tc>
              <w:tc>
                <w:tcPr>
                  <w:tcW w:w="824" w:type="pct"/>
                  <w:tcBorders>
                    <w:tl2br w:val="nil"/>
                    <w:tr2bl w:val="nil"/>
                  </w:tcBorders>
                  <w:vAlign w:val="center"/>
                </w:tcPr>
                <w:p w14:paraId="49C89634">
                  <w:pPr>
                    <w:jc w:val="center"/>
                    <w:rPr>
                      <w:rFonts w:hint="default" w:ascii="Times New Roman" w:hAnsi="Times New Roman" w:cs="Times New Roman"/>
                      <w:b w:val="0"/>
                      <w:bCs/>
                      <w:color w:val="auto"/>
                      <w:spacing w:val="0"/>
                      <w:sz w:val="21"/>
                      <w:szCs w:val="21"/>
                      <w:highlight w:val="none"/>
                      <w:vertAlign w:val="baseline"/>
                    </w:rPr>
                  </w:pPr>
                  <w:r>
                    <w:rPr>
                      <w:rFonts w:hint="eastAsia" w:ascii="Times New Roman" w:hAnsi="Times New Roman" w:eastAsia="宋体" w:cs="Times New Roman"/>
                      <w:b w:val="0"/>
                      <w:bCs/>
                      <w:color w:val="auto"/>
                      <w:spacing w:val="0"/>
                      <w:sz w:val="21"/>
                      <w:szCs w:val="21"/>
                      <w:highlight w:val="none"/>
                      <w:vertAlign w:val="baseline"/>
                      <w:lang w:val="en-US" w:eastAsia="zh-CN"/>
                    </w:rPr>
                    <w:t>3.9</w:t>
                  </w:r>
                  <w:r>
                    <w:rPr>
                      <w:rFonts w:hint="default" w:ascii="Times New Roman" w:hAnsi="Times New Roman" w:eastAsia="宋体" w:cs="Times New Roman"/>
                      <w:i w:val="0"/>
                      <w:iCs w:val="0"/>
                      <w:color w:val="auto"/>
                      <w:kern w:val="0"/>
                      <w:sz w:val="21"/>
                      <w:szCs w:val="21"/>
                      <w:u w:val="none"/>
                      <w:lang w:val="en-US" w:eastAsia="zh-CN" w:bidi="ar"/>
                    </w:rPr>
                    <w:t>×10</w:t>
                  </w:r>
                  <w:r>
                    <w:rPr>
                      <w:rFonts w:hint="eastAsia" w:ascii="Times New Roman" w:hAnsi="Times New Roman" w:eastAsia="宋体" w:cs="Times New Roman"/>
                      <w:i w:val="0"/>
                      <w:iCs w:val="0"/>
                      <w:color w:val="auto"/>
                      <w:kern w:val="0"/>
                      <w:sz w:val="21"/>
                      <w:szCs w:val="21"/>
                      <w:u w:val="none"/>
                      <w:vertAlign w:val="superscript"/>
                      <w:lang w:val="en-US" w:eastAsia="zh-CN" w:bidi="ar"/>
                    </w:rPr>
                    <w:t>8</w:t>
                  </w:r>
                  <w:r>
                    <w:rPr>
                      <w:rFonts w:hint="eastAsia" w:ascii="宋体" w:hAnsi="宋体" w:eastAsia="宋体" w:cs="宋体"/>
                      <w:i w:val="0"/>
                      <w:iCs w:val="0"/>
                      <w:color w:val="auto"/>
                      <w:kern w:val="0"/>
                      <w:sz w:val="21"/>
                      <w:szCs w:val="21"/>
                      <w:u w:val="none"/>
                      <w:lang w:val="en-US" w:eastAsia="zh-CN" w:bidi="ar"/>
                    </w:rPr>
                    <w:t>个</w:t>
                  </w:r>
                  <w:r>
                    <w:rPr>
                      <w:rStyle w:val="63"/>
                      <w:rFonts w:eastAsia="宋体"/>
                      <w:color w:val="auto"/>
                      <w:lang w:val="en-US" w:eastAsia="zh-CN" w:bidi="ar"/>
                    </w:rPr>
                    <w:t>/L</w:t>
                  </w:r>
                </w:p>
              </w:tc>
              <w:tc>
                <w:tcPr>
                  <w:tcW w:w="608" w:type="pct"/>
                  <w:tcBorders>
                    <w:tl2br w:val="nil"/>
                    <w:tr2bl w:val="nil"/>
                  </w:tcBorders>
                  <w:vAlign w:val="center"/>
                </w:tcPr>
                <w:p w14:paraId="4665D0CB">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1000</w:t>
                  </w:r>
                  <w:r>
                    <w:rPr>
                      <w:rFonts w:hint="eastAsia" w:ascii="宋体" w:hAnsi="宋体" w:eastAsia="宋体" w:cs="宋体"/>
                      <w:i w:val="0"/>
                      <w:iCs w:val="0"/>
                      <w:color w:val="auto"/>
                      <w:kern w:val="0"/>
                      <w:sz w:val="21"/>
                      <w:szCs w:val="21"/>
                      <w:u w:val="none"/>
                      <w:lang w:val="en-US" w:eastAsia="zh-CN" w:bidi="ar"/>
                    </w:rPr>
                    <w:t>个</w:t>
                  </w:r>
                  <w:r>
                    <w:rPr>
                      <w:rStyle w:val="63"/>
                      <w:rFonts w:eastAsia="宋体"/>
                      <w:color w:val="auto"/>
                      <w:lang w:val="en-US" w:eastAsia="zh-CN" w:bidi="ar"/>
                    </w:rPr>
                    <w:t>/L</w:t>
                  </w:r>
                </w:p>
              </w:tc>
              <w:tc>
                <w:tcPr>
                  <w:tcW w:w="488" w:type="pct"/>
                  <w:tcBorders>
                    <w:tl2br w:val="nil"/>
                    <w:tr2bl w:val="nil"/>
                  </w:tcBorders>
                  <w:vAlign w:val="center"/>
                </w:tcPr>
                <w:p w14:paraId="71D8D37F">
                  <w:pPr>
                    <w:jc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eastAsia" w:ascii="Times New Roman" w:hAnsi="Times New Roman" w:eastAsia="宋体" w:cs="Times New Roman"/>
                      <w:b w:val="0"/>
                      <w:bCs/>
                      <w:color w:val="auto"/>
                      <w:spacing w:val="0"/>
                      <w:sz w:val="21"/>
                      <w:szCs w:val="21"/>
                      <w:highlight w:val="none"/>
                      <w:vertAlign w:val="baseline"/>
                      <w:lang w:val="en-US" w:eastAsia="zh-CN"/>
                    </w:rPr>
                    <w:t>3.9</w:t>
                  </w:r>
                  <w:r>
                    <w:rPr>
                      <w:rFonts w:hint="default" w:ascii="Times New Roman" w:hAnsi="Times New Roman" w:eastAsia="宋体" w:cs="Times New Roman"/>
                      <w:i w:val="0"/>
                      <w:iCs w:val="0"/>
                      <w:color w:val="auto"/>
                      <w:kern w:val="0"/>
                      <w:sz w:val="21"/>
                      <w:szCs w:val="21"/>
                      <w:u w:val="none"/>
                      <w:lang w:val="en-US" w:eastAsia="zh-CN" w:bidi="ar"/>
                    </w:rPr>
                    <w:t>×10</w:t>
                  </w:r>
                  <w:r>
                    <w:rPr>
                      <w:rFonts w:hint="eastAsia" w:ascii="Times New Roman" w:hAnsi="Times New Roman" w:eastAsia="宋体" w:cs="Times New Roman"/>
                      <w:i w:val="0"/>
                      <w:iCs w:val="0"/>
                      <w:color w:val="auto"/>
                      <w:kern w:val="0"/>
                      <w:sz w:val="21"/>
                      <w:szCs w:val="21"/>
                      <w:u w:val="none"/>
                      <w:vertAlign w:val="superscript"/>
                      <w:lang w:val="en-US" w:eastAsia="zh-CN" w:bidi="ar"/>
                    </w:rPr>
                    <w:t>8</w:t>
                  </w:r>
                  <w:r>
                    <w:rPr>
                      <w:rFonts w:hint="eastAsia" w:ascii="宋体" w:hAnsi="宋体" w:eastAsia="宋体" w:cs="宋体"/>
                      <w:i w:val="0"/>
                      <w:iCs w:val="0"/>
                      <w:color w:val="auto"/>
                      <w:kern w:val="0"/>
                      <w:sz w:val="21"/>
                      <w:szCs w:val="21"/>
                      <w:u w:val="none"/>
                      <w:lang w:val="en-US" w:eastAsia="zh-CN" w:bidi="ar"/>
                    </w:rPr>
                    <w:t>个</w:t>
                  </w:r>
                  <w:r>
                    <w:rPr>
                      <w:rStyle w:val="63"/>
                      <w:rFonts w:eastAsia="宋体"/>
                      <w:color w:val="auto"/>
                      <w:lang w:val="en-US" w:eastAsia="zh-CN" w:bidi="ar"/>
                    </w:rPr>
                    <w:t>/L</w:t>
                  </w:r>
                </w:p>
              </w:tc>
            </w:tr>
            <w:tr w14:paraId="201A7E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3" w:type="pct"/>
                  <w:vMerge w:val="continue"/>
                  <w:tcBorders>
                    <w:tl2br w:val="nil"/>
                    <w:tr2bl w:val="nil"/>
                  </w:tcBorders>
                  <w:vAlign w:val="center"/>
                </w:tcPr>
                <w:p w14:paraId="22968E7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rPr>
                  </w:pPr>
                </w:p>
              </w:tc>
              <w:tc>
                <w:tcPr>
                  <w:tcW w:w="363" w:type="pct"/>
                  <w:vMerge w:val="continue"/>
                  <w:tcBorders>
                    <w:tl2br w:val="nil"/>
                    <w:tr2bl w:val="nil"/>
                  </w:tcBorders>
                  <w:vAlign w:val="center"/>
                </w:tcPr>
                <w:p w14:paraId="58A625E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rPr>
                  </w:pPr>
                </w:p>
              </w:tc>
              <w:tc>
                <w:tcPr>
                  <w:tcW w:w="408" w:type="pct"/>
                  <w:tcBorders>
                    <w:tl2br w:val="nil"/>
                    <w:tr2bl w:val="nil"/>
                  </w:tcBorders>
                  <w:vAlign w:val="center"/>
                </w:tcPr>
                <w:p w14:paraId="38C08CE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rPr>
                  </w:pPr>
                  <w:r>
                    <w:rPr>
                      <w:rFonts w:hint="default" w:ascii="Times New Roman" w:hAnsi="Times New Roman" w:cs="Times New Roman"/>
                      <w:b w:val="0"/>
                      <w:bCs/>
                      <w:color w:val="auto"/>
                      <w:spacing w:val="0"/>
                      <w:sz w:val="21"/>
                      <w:szCs w:val="21"/>
                      <w:highlight w:val="none"/>
                      <w:vertAlign w:val="baseline"/>
                      <w:lang w:val="en-US" w:eastAsia="zh-CN"/>
                    </w:rPr>
                    <w:t>LAS</w:t>
                  </w:r>
                </w:p>
              </w:tc>
              <w:tc>
                <w:tcPr>
                  <w:tcW w:w="1003" w:type="dxa"/>
                  <w:tcBorders>
                    <w:tl2br w:val="nil"/>
                    <w:tr2bl w:val="nil"/>
                  </w:tcBorders>
                  <w:vAlign w:val="center"/>
                </w:tcPr>
                <w:p w14:paraId="33625570">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872" w:type="dxa"/>
                  <w:tcBorders>
                    <w:tl2br w:val="nil"/>
                    <w:tr2bl w:val="nil"/>
                  </w:tcBorders>
                  <w:vAlign w:val="center"/>
                </w:tcPr>
                <w:p w14:paraId="66E569EF">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0.003 </w:t>
                  </w:r>
                </w:p>
              </w:tc>
              <w:tc>
                <w:tcPr>
                  <w:tcW w:w="1003" w:type="dxa"/>
                  <w:tcBorders>
                    <w:tl2br w:val="nil"/>
                    <w:tr2bl w:val="nil"/>
                  </w:tcBorders>
                  <w:vAlign w:val="center"/>
                </w:tcPr>
                <w:p w14:paraId="56E47C7C">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1363" w:type="dxa"/>
                  <w:tcBorders>
                    <w:tl2br w:val="nil"/>
                    <w:tr2bl w:val="nil"/>
                  </w:tcBorders>
                  <w:vAlign w:val="center"/>
                </w:tcPr>
                <w:p w14:paraId="19A10BBB">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rPr>
                  </w:pPr>
                  <w:r>
                    <w:rPr>
                      <w:rFonts w:hint="default" w:ascii="Times New Roman" w:hAnsi="Times New Roman" w:eastAsia="宋体" w:cs="Times New Roman"/>
                      <w:i w:val="0"/>
                      <w:iCs w:val="0"/>
                      <w:color w:val="000000"/>
                      <w:kern w:val="0"/>
                      <w:sz w:val="21"/>
                      <w:szCs w:val="21"/>
                      <w:u w:val="none"/>
                      <w:lang w:val="en-US" w:eastAsia="zh-CN" w:bidi="ar"/>
                    </w:rPr>
                    <w:t>0.003</w:t>
                  </w:r>
                </w:p>
              </w:tc>
              <w:tc>
                <w:tcPr>
                  <w:tcW w:w="1004" w:type="dxa"/>
                  <w:tcBorders>
                    <w:tl2br w:val="nil"/>
                    <w:tr2bl w:val="nil"/>
                  </w:tcBorders>
                  <w:vAlign w:val="center"/>
                </w:tcPr>
                <w:p w14:paraId="789625C5">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0.5</w:t>
                  </w:r>
                </w:p>
              </w:tc>
              <w:tc>
                <w:tcPr>
                  <w:tcW w:w="811" w:type="dxa"/>
                  <w:tcBorders>
                    <w:tl2br w:val="nil"/>
                    <w:tr2bl w:val="nil"/>
                  </w:tcBorders>
                  <w:vAlign w:val="center"/>
                </w:tcPr>
                <w:p w14:paraId="1C769D33">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0.0002 </w:t>
                  </w:r>
                </w:p>
              </w:tc>
            </w:tr>
            <w:tr w14:paraId="20DB54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9"/>
                  <w:tcBorders>
                    <w:tl2br w:val="nil"/>
                    <w:tr2bl w:val="nil"/>
                  </w:tcBorders>
                  <w:vAlign w:val="center"/>
                </w:tcPr>
                <w:p w14:paraId="66EF39FA">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 w:val="0"/>
                      <w:bCs/>
                      <w:color w:val="000000" w:themeColor="text1"/>
                      <w:spacing w:val="0"/>
                      <w:sz w:val="21"/>
                      <w:szCs w:val="21"/>
                      <w:highlight w:val="none"/>
                      <w:vertAlign w:val="baseline"/>
                      <w:lang w:eastAsia="zh-CN"/>
                      <w14:textFill>
                        <w14:solidFill>
                          <w14:schemeClr w14:val="tx1"/>
                        </w14:solidFill>
                      </w14:textFill>
                    </w:rPr>
                  </w:pPr>
                  <w:r>
                    <w:rPr>
                      <w:rFonts w:hint="default" w:ascii="Times New Roman" w:hAnsi="Times New Roman" w:cs="Times New Roman"/>
                      <w:b w:val="0"/>
                      <w:bCs/>
                      <w:color w:val="000000" w:themeColor="text1"/>
                      <w:spacing w:val="0"/>
                      <w:sz w:val="21"/>
                      <w:szCs w:val="21"/>
                      <w:highlight w:val="none"/>
                      <w:vertAlign w:val="baseline"/>
                      <w14:textFill>
                        <w14:solidFill>
                          <w14:schemeClr w14:val="tx1"/>
                        </w14:solidFill>
                      </w14:textFill>
                    </w:rPr>
                    <w:t>注</w:t>
                  </w:r>
                  <w:r>
                    <w:rPr>
                      <w:rFonts w:hint="default" w:ascii="Times New Roman" w:hAnsi="Times New Roman" w:cs="Times New Roman"/>
                      <w:b w:val="0"/>
                      <w:bCs/>
                      <w:color w:val="000000" w:themeColor="text1"/>
                      <w:spacing w:val="0"/>
                      <w:sz w:val="21"/>
                      <w:szCs w:val="21"/>
                      <w:highlight w:val="none"/>
                      <w:vertAlign w:val="baseline"/>
                      <w:lang w:eastAsia="zh-CN"/>
                      <w14:textFill>
                        <w14:solidFill>
                          <w14:schemeClr w14:val="tx1"/>
                        </w14:solidFill>
                      </w14:textFill>
                    </w:rPr>
                    <w:t>：</w:t>
                  </w:r>
                  <w:r>
                    <w:rPr>
                      <w:rFonts w:hint="default" w:ascii="Times New Roman" w:hAnsi="Times New Roman" w:cs="Times New Roman"/>
                      <w:b w:val="0"/>
                      <w:bCs/>
                      <w:color w:val="000000" w:themeColor="text1"/>
                      <w:spacing w:val="0"/>
                      <w:sz w:val="21"/>
                      <w:szCs w:val="21"/>
                      <w:highlight w:val="none"/>
                      <w:vertAlign w:val="baseline"/>
                      <w14:textFill>
                        <w14:solidFill>
                          <w14:schemeClr w14:val="tx1"/>
                        </w14:solidFill>
                      </w14:textFill>
                    </w:rPr>
                    <w:t>总余氯在</w:t>
                  </w:r>
                  <w:r>
                    <w:rPr>
                      <w:rFonts w:hint="eastAsia" w:cs="Times New Roman"/>
                      <w:b w:val="0"/>
                      <w:bCs/>
                      <w:color w:val="000000" w:themeColor="text1"/>
                      <w:spacing w:val="0"/>
                      <w:sz w:val="21"/>
                      <w:szCs w:val="21"/>
                      <w:highlight w:val="none"/>
                      <w:vertAlign w:val="baseline"/>
                      <w:lang w:eastAsia="zh-CN"/>
                      <w14:textFill>
                        <w14:solidFill>
                          <w14:schemeClr w14:val="tx1"/>
                        </w14:solidFill>
                      </w14:textFill>
                    </w:rPr>
                    <w:t>消毒设施</w:t>
                  </w:r>
                  <w:r>
                    <w:rPr>
                      <w:rFonts w:hint="default" w:ascii="Times New Roman" w:hAnsi="Times New Roman" w:cs="Times New Roman"/>
                      <w:b w:val="0"/>
                      <w:bCs/>
                      <w:color w:val="000000" w:themeColor="text1"/>
                      <w:spacing w:val="0"/>
                      <w:sz w:val="21"/>
                      <w:szCs w:val="21"/>
                      <w:highlight w:val="none"/>
                      <w:vertAlign w:val="baseline"/>
                      <w14:textFill>
                        <w14:solidFill>
                          <w14:schemeClr w14:val="tx1"/>
                        </w14:solidFill>
                      </w14:textFill>
                    </w:rPr>
                    <w:t>排放口进行控制，</w:t>
                  </w:r>
                  <w:r>
                    <w:rPr>
                      <w:rFonts w:hint="eastAsia" w:cs="Times New Roman"/>
                      <w:b w:val="0"/>
                      <w:bCs/>
                      <w:color w:val="000000" w:themeColor="text1"/>
                      <w:spacing w:val="0"/>
                      <w:sz w:val="21"/>
                      <w:szCs w:val="21"/>
                      <w:highlight w:val="none"/>
                      <w:vertAlign w:val="baseline"/>
                      <w:lang w:eastAsia="zh-CN"/>
                      <w14:textFill>
                        <w14:solidFill>
                          <w14:schemeClr w14:val="tx1"/>
                        </w14:solidFill>
                      </w14:textFill>
                    </w:rPr>
                    <w:t>消毒设施</w:t>
                  </w:r>
                  <w:r>
                    <w:rPr>
                      <w:rFonts w:hint="default" w:ascii="Times New Roman" w:hAnsi="Times New Roman" w:cs="Times New Roman"/>
                      <w:b w:val="0"/>
                      <w:bCs/>
                      <w:color w:val="000000" w:themeColor="text1"/>
                      <w:spacing w:val="0"/>
                      <w:sz w:val="21"/>
                      <w:szCs w:val="21"/>
                      <w:highlight w:val="none"/>
                      <w:vertAlign w:val="baseline"/>
                      <w14:textFill>
                        <w14:solidFill>
                          <w14:schemeClr w14:val="tx1"/>
                        </w14:solidFill>
                      </w14:textFill>
                    </w:rPr>
                    <w:t>出水参照执行《医疗机构水污染物排放标准》</w:t>
                  </w:r>
                  <w:r>
                    <w:rPr>
                      <w:rFonts w:hint="default" w:ascii="Times New Roman" w:hAnsi="Times New Roman" w:cs="Times New Roman"/>
                      <w:b w:val="0"/>
                      <w:bCs/>
                      <w:color w:val="000000" w:themeColor="text1"/>
                      <w:spacing w:val="0"/>
                      <w:sz w:val="21"/>
                      <w:szCs w:val="21"/>
                      <w:highlight w:val="none"/>
                      <w:vertAlign w:val="baseline"/>
                      <w:lang w:eastAsia="zh-CN"/>
                      <w14:textFill>
                        <w14:solidFill>
                          <w14:schemeClr w14:val="tx1"/>
                        </w14:solidFill>
                      </w14:textFill>
                    </w:rPr>
                    <w:t>（</w:t>
                  </w:r>
                  <w:r>
                    <w:rPr>
                      <w:rFonts w:hint="default" w:ascii="Times New Roman" w:hAnsi="Times New Roman" w:cs="Times New Roman"/>
                      <w:b w:val="0"/>
                      <w:bCs/>
                      <w:color w:val="000000" w:themeColor="text1"/>
                      <w:spacing w:val="0"/>
                      <w:sz w:val="21"/>
                      <w:szCs w:val="21"/>
                      <w:highlight w:val="none"/>
                      <w:vertAlign w:val="baseline"/>
                      <w14:textFill>
                        <w14:solidFill>
                          <w14:schemeClr w14:val="tx1"/>
                        </w14:solidFill>
                      </w14:textFill>
                    </w:rPr>
                    <w:t>GB18466-2005</w:t>
                  </w:r>
                  <w:r>
                    <w:rPr>
                      <w:rFonts w:hint="default" w:ascii="Times New Roman" w:hAnsi="Times New Roman" w:cs="Times New Roman"/>
                      <w:b w:val="0"/>
                      <w:bCs/>
                      <w:color w:val="000000" w:themeColor="text1"/>
                      <w:spacing w:val="0"/>
                      <w:sz w:val="21"/>
                      <w:szCs w:val="21"/>
                      <w:highlight w:val="none"/>
                      <w:vertAlign w:val="baseline"/>
                      <w:lang w:eastAsia="zh-CN"/>
                      <w14:textFill>
                        <w14:solidFill>
                          <w14:schemeClr w14:val="tx1"/>
                        </w14:solidFill>
                      </w14:textFill>
                    </w:rPr>
                    <w:t>）</w:t>
                  </w:r>
                  <w:r>
                    <w:rPr>
                      <w:rFonts w:hint="default" w:ascii="Times New Roman" w:hAnsi="Times New Roman" w:cs="Times New Roman"/>
                      <w:b w:val="0"/>
                      <w:bCs/>
                      <w:color w:val="000000" w:themeColor="text1"/>
                      <w:spacing w:val="0"/>
                      <w:sz w:val="21"/>
                      <w:szCs w:val="21"/>
                      <w:highlight w:val="none"/>
                      <w:vertAlign w:val="baseline"/>
                      <w14:textFill>
                        <w14:solidFill>
                          <w14:schemeClr w14:val="tx1"/>
                        </w14:solidFill>
                      </w14:textFill>
                    </w:rPr>
                    <w:t>预处理标准</w:t>
                  </w:r>
                  <w:r>
                    <w:rPr>
                      <w:rFonts w:hint="eastAsia" w:cs="Times New Roman"/>
                      <w:b w:val="0"/>
                      <w:bCs/>
                      <w:color w:val="000000" w:themeColor="text1"/>
                      <w:spacing w:val="0"/>
                      <w:sz w:val="21"/>
                      <w:szCs w:val="21"/>
                      <w:highlight w:val="none"/>
                      <w:vertAlign w:val="baseline"/>
                      <w:lang w:eastAsia="zh-CN"/>
                      <w14:textFill>
                        <w14:solidFill>
                          <w14:schemeClr w14:val="tx1"/>
                        </w14:solidFill>
                      </w14:textFill>
                    </w:rPr>
                    <w:t>；</w:t>
                  </w:r>
                  <w:r>
                    <w:rPr>
                      <w:rFonts w:hint="default" w:ascii="Times New Roman" w:hAnsi="Times New Roman" w:cs="Times New Roman"/>
                      <w:b w:val="0"/>
                      <w:bCs/>
                      <w:color w:val="000000" w:themeColor="text1"/>
                      <w:spacing w:val="0"/>
                      <w:sz w:val="21"/>
                      <w:szCs w:val="21"/>
                      <w:highlight w:val="none"/>
                      <w:vertAlign w:val="baseline"/>
                      <w14:textFill>
                        <w14:solidFill>
                          <w14:schemeClr w14:val="tx1"/>
                        </w14:solidFill>
                      </w14:textFill>
                    </w:rPr>
                    <w:t>综合废水排放口执行《污水综合排放标准》</w:t>
                  </w:r>
                  <w:r>
                    <w:rPr>
                      <w:rFonts w:hint="default" w:ascii="Times New Roman" w:hAnsi="Times New Roman" w:cs="Times New Roman"/>
                      <w:b w:val="0"/>
                      <w:bCs/>
                      <w:color w:val="000000" w:themeColor="text1"/>
                      <w:spacing w:val="0"/>
                      <w:sz w:val="21"/>
                      <w:szCs w:val="21"/>
                      <w:highlight w:val="none"/>
                      <w:vertAlign w:val="baseline"/>
                      <w:lang w:eastAsia="zh-CN"/>
                      <w14:textFill>
                        <w14:solidFill>
                          <w14:schemeClr w14:val="tx1"/>
                        </w14:solidFill>
                      </w14:textFill>
                    </w:rPr>
                    <w:t>（</w:t>
                  </w:r>
                  <w:r>
                    <w:rPr>
                      <w:rFonts w:hint="default" w:ascii="Times New Roman" w:hAnsi="Times New Roman" w:cs="Times New Roman"/>
                      <w:b w:val="0"/>
                      <w:bCs/>
                      <w:color w:val="000000" w:themeColor="text1"/>
                      <w:spacing w:val="0"/>
                      <w:sz w:val="21"/>
                      <w:szCs w:val="21"/>
                      <w:highlight w:val="none"/>
                      <w:vertAlign w:val="baseline"/>
                      <w14:textFill>
                        <w14:solidFill>
                          <w14:schemeClr w14:val="tx1"/>
                        </w14:solidFill>
                      </w14:textFill>
                    </w:rPr>
                    <w:t>GB8978-1996</w:t>
                  </w:r>
                  <w:r>
                    <w:rPr>
                      <w:rFonts w:hint="default" w:ascii="Times New Roman" w:hAnsi="Times New Roman" w:cs="Times New Roman"/>
                      <w:b w:val="0"/>
                      <w:bCs/>
                      <w:color w:val="000000" w:themeColor="text1"/>
                      <w:spacing w:val="0"/>
                      <w:sz w:val="21"/>
                      <w:szCs w:val="21"/>
                      <w:highlight w:val="none"/>
                      <w:vertAlign w:val="baseline"/>
                      <w:lang w:eastAsia="zh-CN"/>
                      <w14:textFill>
                        <w14:solidFill>
                          <w14:schemeClr w14:val="tx1"/>
                        </w14:solidFill>
                      </w14:textFill>
                    </w:rPr>
                    <w:t>）</w:t>
                  </w:r>
                  <w:r>
                    <w:rPr>
                      <w:rFonts w:hint="default" w:ascii="Times New Roman" w:hAnsi="Times New Roman" w:cs="Times New Roman"/>
                      <w:b w:val="0"/>
                      <w:bCs/>
                      <w:color w:val="000000" w:themeColor="text1"/>
                      <w:spacing w:val="0"/>
                      <w:sz w:val="21"/>
                      <w:szCs w:val="21"/>
                      <w:highlight w:val="none"/>
                      <w:vertAlign w:val="baseline"/>
                      <w14:textFill>
                        <w14:solidFill>
                          <w14:schemeClr w14:val="tx1"/>
                        </w14:solidFill>
                      </w14:textFill>
                    </w:rPr>
                    <w:t>三级标准</w:t>
                  </w:r>
                </w:p>
              </w:tc>
            </w:tr>
          </w:tbl>
          <w:p w14:paraId="0BCC4337">
            <w:pPr>
              <w:pStyle w:val="27"/>
              <w:rPr>
                <w:rFonts w:hint="default" w:ascii="Times New Roman" w:hAnsi="Times New Roman" w:cs="Times New Roman"/>
                <w:b w:val="0"/>
                <w:bCs/>
                <w:color w:val="FF0000"/>
                <w:spacing w:val="0"/>
                <w:sz w:val="24"/>
                <w:szCs w:val="24"/>
                <w:highlight w:val="none"/>
              </w:rPr>
            </w:pPr>
          </w:p>
        </w:tc>
      </w:tr>
    </w:tbl>
    <w:p w14:paraId="0278AF39">
      <w:pPr>
        <w:adjustRightInd w:val="0"/>
        <w:snapToGrid w:val="0"/>
        <w:spacing w:line="360" w:lineRule="auto"/>
        <w:rPr>
          <w:rFonts w:hint="default" w:ascii="Times New Roman" w:hAnsi="Times New Roman" w:cs="Times New Roman"/>
          <w:b/>
          <w:color w:val="FF0000"/>
          <w:kern w:val="0"/>
          <w:sz w:val="28"/>
          <w:szCs w:val="28"/>
          <w:highlight w:val="none"/>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52"/>
        <w:gridCol w:w="12776"/>
      </w:tblGrid>
      <w:tr w14:paraId="2567F6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263" w:hRule="atLeast"/>
        </w:trPr>
        <w:tc>
          <w:tcPr>
            <w:tcW w:w="171" w:type="pct"/>
            <w:tcBorders>
              <w:top w:val="single" w:color="auto" w:sz="8" w:space="0"/>
              <w:left w:val="single" w:color="auto" w:sz="8" w:space="0"/>
              <w:bottom w:val="single" w:color="auto" w:sz="8" w:space="0"/>
            </w:tcBorders>
            <w:vAlign w:val="center"/>
          </w:tcPr>
          <w:p w14:paraId="129E61D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FF0000"/>
                <w:kern w:val="0"/>
                <w:sz w:val="21"/>
                <w:szCs w:val="21"/>
                <w:highlight w:val="none"/>
                <w:vertAlign w:val="baseline"/>
                <w:lang w:val="en-US" w:eastAsia="zh-CN"/>
              </w:rPr>
            </w:pPr>
            <w:r>
              <w:rPr>
                <w:rFonts w:hint="default" w:ascii="Times New Roman" w:hAnsi="Times New Roman" w:cs="Times New Roman"/>
                <w:b w:val="0"/>
                <w:bCs/>
                <w:color w:val="000000" w:themeColor="text1"/>
                <w:kern w:val="0"/>
                <w:sz w:val="21"/>
                <w:szCs w:val="21"/>
                <w:highlight w:val="none"/>
                <w:vertAlign w:val="baseline"/>
                <w:lang w:val="en-US" w:eastAsia="zh-CN"/>
                <w14:textFill>
                  <w14:solidFill>
                    <w14:schemeClr w14:val="tx1"/>
                  </w14:solidFill>
                </w14:textFill>
              </w:rPr>
              <w:t>运营期环境影响和保护措施</w:t>
            </w:r>
          </w:p>
        </w:tc>
        <w:tc>
          <w:tcPr>
            <w:tcW w:w="4828" w:type="pct"/>
            <w:tcBorders>
              <w:top w:val="single" w:color="auto" w:sz="8" w:space="0"/>
              <w:bottom w:val="single" w:color="auto" w:sz="8" w:space="0"/>
              <w:right w:val="single" w:color="auto" w:sz="8" w:space="0"/>
            </w:tcBorders>
            <w:vAlign w:val="center"/>
          </w:tcPr>
          <w:p w14:paraId="6FE512DC">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cs="Times New Roman"/>
                <w:b/>
                <w:bCs w:val="0"/>
                <w:color w:val="000000" w:themeColor="text1"/>
                <w:kern w:val="0"/>
                <w:sz w:val="24"/>
                <w:szCs w:val="24"/>
                <w:highlight w:val="none"/>
                <w:vertAlign w:val="baseline"/>
                <w14:textFill>
                  <w14:solidFill>
                    <w14:schemeClr w14:val="tx1"/>
                  </w14:solidFill>
                </w14:textFill>
              </w:rPr>
            </w:pPr>
            <w:r>
              <w:rPr>
                <w:rFonts w:hint="default" w:ascii="Times New Roman" w:hAnsi="Times New Roman" w:cs="Times New Roman"/>
                <w:b/>
                <w:bCs w:val="0"/>
                <w:color w:val="000000" w:themeColor="text1"/>
                <w:kern w:val="0"/>
                <w:sz w:val="24"/>
                <w:szCs w:val="24"/>
                <w:highlight w:val="none"/>
                <w:vertAlign w:val="baseline"/>
                <w14:textFill>
                  <w14:solidFill>
                    <w14:schemeClr w14:val="tx1"/>
                  </w14:solidFill>
                </w14:textFill>
              </w:rPr>
              <w:t>4.2.2.2 废水污染物排放信息</w:t>
            </w:r>
          </w:p>
          <w:p w14:paraId="77D4409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color w:val="000000" w:themeColor="text1"/>
                <w:kern w:val="0"/>
                <w:sz w:val="24"/>
                <w:szCs w:val="24"/>
                <w:highlight w:val="none"/>
                <w:vertAlign w:val="baseline"/>
                <w14:textFill>
                  <w14:solidFill>
                    <w14:schemeClr w14:val="tx1"/>
                  </w14:solidFill>
                </w14:textFill>
              </w:rPr>
            </w:pPr>
            <w:r>
              <w:rPr>
                <w:rFonts w:hint="default" w:ascii="Times New Roman" w:hAnsi="Times New Roman" w:cs="Times New Roman"/>
                <w:b w:val="0"/>
                <w:bCs/>
                <w:color w:val="000000" w:themeColor="text1"/>
                <w:kern w:val="0"/>
                <w:sz w:val="24"/>
                <w:szCs w:val="24"/>
                <w:highlight w:val="none"/>
                <w:vertAlign w:val="baseline"/>
                <w14:textFill>
                  <w14:solidFill>
                    <w14:schemeClr w14:val="tx1"/>
                  </w14:solidFill>
                </w14:textFill>
              </w:rPr>
              <w:t>废水类别、污染物、产排情况及治理设施信息见表4.2-</w:t>
            </w:r>
            <w:r>
              <w:rPr>
                <w:rFonts w:hint="eastAsia" w:cs="Times New Roman"/>
                <w:b w:val="0"/>
                <w:bCs/>
                <w:color w:val="000000" w:themeColor="text1"/>
                <w:kern w:val="0"/>
                <w:sz w:val="24"/>
                <w:szCs w:val="24"/>
                <w:highlight w:val="none"/>
                <w:vertAlign w:val="baseline"/>
                <w:lang w:val="en-US" w:eastAsia="zh-CN"/>
                <w14:textFill>
                  <w14:solidFill>
                    <w14:schemeClr w14:val="tx1"/>
                  </w14:solidFill>
                </w14:textFill>
              </w:rPr>
              <w:t>2</w:t>
            </w:r>
            <w:r>
              <w:rPr>
                <w:rFonts w:hint="default" w:ascii="Times New Roman" w:hAnsi="Times New Roman" w:cs="Times New Roman"/>
                <w:b w:val="0"/>
                <w:bCs/>
                <w:color w:val="000000" w:themeColor="text1"/>
                <w:kern w:val="0"/>
                <w:sz w:val="24"/>
                <w:szCs w:val="24"/>
                <w:highlight w:val="none"/>
                <w:vertAlign w:val="baseline"/>
                <w14:textFill>
                  <w14:solidFill>
                    <w14:schemeClr w14:val="tx1"/>
                  </w14:solidFill>
                </w14:textFill>
              </w:rPr>
              <w:t>。</w:t>
            </w:r>
          </w:p>
          <w:p w14:paraId="3209BDB4">
            <w:pPr>
              <w:widowControl w:val="0"/>
              <w:spacing w:line="240" w:lineRule="auto"/>
              <w:ind w:firstLine="0" w:firstLineChars="0"/>
              <w:jc w:val="center"/>
              <w:rPr>
                <w:rFonts w:ascii="Times New Roman" w:hAnsi="Times New Roman" w:eastAsia="宋体" w:cs="Times New Roman"/>
                <w:b/>
                <w:bCs w:val="0"/>
                <w:color w:val="000000" w:themeColor="text1"/>
                <w:kern w:val="2"/>
                <w:sz w:val="24"/>
                <w:szCs w:val="24"/>
                <w:highlight w:val="none"/>
                <w:lang w:val="en-US" w:eastAsia="zh-CN" w:bidi="ar-SA"/>
                <w14:textFill>
                  <w14:solidFill>
                    <w14:schemeClr w14:val="tx1"/>
                  </w14:solidFill>
                </w14:textFill>
              </w:rPr>
            </w:pPr>
            <w:r>
              <w:rPr>
                <w:rFonts w:ascii="Times New Roman" w:hAnsi="Times New Roman" w:eastAsia="宋体" w:cs="Times New Roman"/>
                <w:b/>
                <w:bCs w:val="0"/>
                <w:color w:val="000000" w:themeColor="text1"/>
                <w:kern w:val="2"/>
                <w:sz w:val="24"/>
                <w:szCs w:val="24"/>
                <w:highlight w:val="none"/>
                <w:lang w:val="en-US" w:eastAsia="zh-CN" w:bidi="ar-SA"/>
                <w14:textFill>
                  <w14:solidFill>
                    <w14:schemeClr w14:val="tx1"/>
                  </w14:solidFill>
                </w14:textFill>
              </w:rPr>
              <w:t>表 4</w:t>
            </w:r>
            <w:r>
              <w:rPr>
                <w:rFonts w:hint="eastAsia" w:cs="Times New Roman"/>
                <w:b/>
                <w:bCs w:val="0"/>
                <w:color w:val="000000" w:themeColor="text1"/>
                <w:kern w:val="2"/>
                <w:sz w:val="24"/>
                <w:szCs w:val="24"/>
                <w:highlight w:val="none"/>
                <w:lang w:val="en-US" w:eastAsia="zh-CN" w:bidi="ar-SA"/>
                <w14:textFill>
                  <w14:solidFill>
                    <w14:schemeClr w14:val="tx1"/>
                  </w14:solidFill>
                </w14:textFill>
              </w:rPr>
              <w:t>.2-2</w:t>
            </w:r>
            <w:r>
              <w:rPr>
                <w:rFonts w:ascii="Times New Roman" w:hAnsi="Times New Roman" w:eastAsia="宋体" w:cs="Times New Roman"/>
                <w:b/>
                <w:bCs w:val="0"/>
                <w:color w:val="000000" w:themeColor="text1"/>
                <w:kern w:val="2"/>
                <w:sz w:val="24"/>
                <w:szCs w:val="24"/>
                <w:highlight w:val="none"/>
                <w:lang w:val="en-US" w:eastAsia="zh-CN" w:bidi="ar-SA"/>
                <w14:textFill>
                  <w14:solidFill>
                    <w14:schemeClr w14:val="tx1"/>
                  </w14:solidFill>
                </w14:textFill>
              </w:rPr>
              <w:t xml:space="preserve"> 废水类别、污染物及污染治理设施信息表</w:t>
            </w:r>
          </w:p>
          <w:tbl>
            <w:tblPr>
              <w:tblStyle w:val="2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44"/>
              <w:gridCol w:w="1359"/>
              <w:gridCol w:w="1013"/>
              <w:gridCol w:w="1191"/>
              <w:gridCol w:w="1208"/>
              <w:gridCol w:w="1349"/>
              <w:gridCol w:w="1206"/>
              <w:gridCol w:w="1103"/>
              <w:gridCol w:w="1103"/>
              <w:gridCol w:w="2254"/>
            </w:tblGrid>
            <w:tr w14:paraId="71D832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7" w:type="pct"/>
                  <w:vMerge w:val="restart"/>
                  <w:tcBorders>
                    <w:tl2br w:val="nil"/>
                    <w:tr2bl w:val="nil"/>
                  </w:tcBorders>
                  <w:vAlign w:val="center"/>
                </w:tcPr>
                <w:p w14:paraId="35C38416">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废水</w:t>
                  </w:r>
                </w:p>
                <w:p w14:paraId="3CB5ED68">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类别</w:t>
                  </w:r>
                </w:p>
              </w:tc>
              <w:tc>
                <w:tcPr>
                  <w:tcW w:w="542" w:type="pct"/>
                  <w:vMerge w:val="restart"/>
                  <w:tcBorders>
                    <w:tl2br w:val="nil"/>
                    <w:tr2bl w:val="nil"/>
                  </w:tcBorders>
                  <w:vAlign w:val="center"/>
                </w:tcPr>
                <w:p w14:paraId="4E35BE86">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污染物</w:t>
                  </w:r>
                </w:p>
                <w:p w14:paraId="78FE09EC">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种类</w:t>
                  </w:r>
                </w:p>
              </w:tc>
              <w:tc>
                <w:tcPr>
                  <w:tcW w:w="404" w:type="pct"/>
                  <w:vMerge w:val="restart"/>
                  <w:tcBorders>
                    <w:tl2br w:val="nil"/>
                    <w:tr2bl w:val="nil"/>
                  </w:tcBorders>
                  <w:vAlign w:val="center"/>
                </w:tcPr>
                <w:p w14:paraId="3C0A7A0A">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排放</w:t>
                  </w:r>
                </w:p>
                <w:p w14:paraId="215D619E">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去向</w:t>
                  </w:r>
                </w:p>
              </w:tc>
              <w:tc>
                <w:tcPr>
                  <w:tcW w:w="475" w:type="pct"/>
                  <w:vMerge w:val="restart"/>
                  <w:tcBorders>
                    <w:tl2br w:val="nil"/>
                    <w:tr2bl w:val="nil"/>
                  </w:tcBorders>
                  <w:vAlign w:val="center"/>
                </w:tcPr>
                <w:p w14:paraId="03D70D5D">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排放</w:t>
                  </w:r>
                </w:p>
                <w:p w14:paraId="51DAEE2F">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规律</w:t>
                  </w:r>
                </w:p>
              </w:tc>
              <w:tc>
                <w:tcPr>
                  <w:tcW w:w="1501" w:type="pct"/>
                  <w:gridSpan w:val="3"/>
                  <w:tcBorders>
                    <w:tl2br w:val="nil"/>
                    <w:tr2bl w:val="nil"/>
                  </w:tcBorders>
                  <w:vAlign w:val="center"/>
                </w:tcPr>
                <w:p w14:paraId="42672A7F">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污染治理设施</w:t>
                  </w:r>
                </w:p>
              </w:tc>
              <w:tc>
                <w:tcPr>
                  <w:tcW w:w="440" w:type="pct"/>
                  <w:vMerge w:val="restart"/>
                  <w:tcBorders>
                    <w:tl2br w:val="nil"/>
                    <w:tr2bl w:val="nil"/>
                  </w:tcBorders>
                  <w:vAlign w:val="center"/>
                </w:tcPr>
                <w:p w14:paraId="70D66C2F">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排放口编号</w:t>
                  </w:r>
                </w:p>
              </w:tc>
              <w:tc>
                <w:tcPr>
                  <w:tcW w:w="440" w:type="pct"/>
                  <w:vMerge w:val="restart"/>
                  <w:tcBorders>
                    <w:tl2br w:val="nil"/>
                    <w:tr2bl w:val="nil"/>
                  </w:tcBorders>
                  <w:vAlign w:val="center"/>
                </w:tcPr>
                <w:p w14:paraId="076E30B0">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排放口设置是否符合要求</w:t>
                  </w:r>
                </w:p>
              </w:tc>
              <w:tc>
                <w:tcPr>
                  <w:tcW w:w="899" w:type="pct"/>
                  <w:vMerge w:val="restart"/>
                  <w:tcBorders>
                    <w:tl2br w:val="nil"/>
                    <w:tr2bl w:val="nil"/>
                  </w:tcBorders>
                  <w:vAlign w:val="center"/>
                </w:tcPr>
                <w:p w14:paraId="1B9903A1">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排放口类型</w:t>
                  </w:r>
                </w:p>
              </w:tc>
            </w:tr>
            <w:tr w14:paraId="339DAA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7" w:type="pct"/>
                  <w:vMerge w:val="continue"/>
                  <w:tcBorders>
                    <w:tl2br w:val="nil"/>
                    <w:tr2bl w:val="nil"/>
                  </w:tcBorders>
                  <w:vAlign w:val="center"/>
                </w:tcPr>
                <w:p w14:paraId="3C2DCC86">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p>
              </w:tc>
              <w:tc>
                <w:tcPr>
                  <w:tcW w:w="542" w:type="pct"/>
                  <w:vMerge w:val="continue"/>
                  <w:tcBorders>
                    <w:tl2br w:val="nil"/>
                    <w:tr2bl w:val="nil"/>
                  </w:tcBorders>
                  <w:vAlign w:val="center"/>
                </w:tcPr>
                <w:p w14:paraId="26A5F544">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p>
              </w:tc>
              <w:tc>
                <w:tcPr>
                  <w:tcW w:w="404" w:type="pct"/>
                  <w:vMerge w:val="continue"/>
                  <w:tcBorders>
                    <w:tl2br w:val="nil"/>
                    <w:tr2bl w:val="nil"/>
                  </w:tcBorders>
                  <w:vAlign w:val="center"/>
                </w:tcPr>
                <w:p w14:paraId="3B81D385">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p>
              </w:tc>
              <w:tc>
                <w:tcPr>
                  <w:tcW w:w="475" w:type="pct"/>
                  <w:vMerge w:val="continue"/>
                  <w:tcBorders>
                    <w:tl2br w:val="nil"/>
                    <w:tr2bl w:val="nil"/>
                  </w:tcBorders>
                  <w:vAlign w:val="center"/>
                </w:tcPr>
                <w:p w14:paraId="4FDFB22D">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p>
              </w:tc>
              <w:tc>
                <w:tcPr>
                  <w:tcW w:w="482" w:type="pct"/>
                  <w:tcBorders>
                    <w:tl2br w:val="nil"/>
                    <w:tr2bl w:val="nil"/>
                  </w:tcBorders>
                  <w:vAlign w:val="center"/>
                </w:tcPr>
                <w:p w14:paraId="76D0CEA8">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污染治理设施编号</w:t>
                  </w:r>
                </w:p>
              </w:tc>
              <w:tc>
                <w:tcPr>
                  <w:tcW w:w="538" w:type="pct"/>
                  <w:tcBorders>
                    <w:tl2br w:val="nil"/>
                    <w:tr2bl w:val="nil"/>
                  </w:tcBorders>
                  <w:vAlign w:val="center"/>
                </w:tcPr>
                <w:p w14:paraId="7802019E">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污染治理设施名称</w:t>
                  </w:r>
                </w:p>
              </w:tc>
              <w:tc>
                <w:tcPr>
                  <w:tcW w:w="480" w:type="pct"/>
                  <w:tcBorders>
                    <w:tl2br w:val="nil"/>
                    <w:tr2bl w:val="nil"/>
                  </w:tcBorders>
                  <w:vAlign w:val="center"/>
                </w:tcPr>
                <w:p w14:paraId="47DB10EC">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治理设施工艺</w:t>
                  </w:r>
                </w:p>
              </w:tc>
              <w:tc>
                <w:tcPr>
                  <w:tcW w:w="440" w:type="pct"/>
                  <w:vMerge w:val="continue"/>
                  <w:tcBorders>
                    <w:tl2br w:val="nil"/>
                    <w:tr2bl w:val="nil"/>
                  </w:tcBorders>
                  <w:vAlign w:val="center"/>
                </w:tcPr>
                <w:p w14:paraId="555EB3FD">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p>
              </w:tc>
              <w:tc>
                <w:tcPr>
                  <w:tcW w:w="440" w:type="pct"/>
                  <w:vMerge w:val="continue"/>
                  <w:tcBorders>
                    <w:tl2br w:val="nil"/>
                    <w:tr2bl w:val="nil"/>
                  </w:tcBorders>
                  <w:vAlign w:val="center"/>
                </w:tcPr>
                <w:p w14:paraId="5D15525E">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p>
              </w:tc>
              <w:tc>
                <w:tcPr>
                  <w:tcW w:w="899" w:type="pct"/>
                  <w:vMerge w:val="continue"/>
                  <w:tcBorders>
                    <w:tl2br w:val="nil"/>
                    <w:tr2bl w:val="nil"/>
                  </w:tcBorders>
                  <w:vAlign w:val="center"/>
                </w:tcPr>
                <w:p w14:paraId="0BB30F9C">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p>
              </w:tc>
            </w:tr>
            <w:tr w14:paraId="1518C5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7" w:type="pct"/>
                  <w:tcBorders>
                    <w:tl2br w:val="nil"/>
                    <w:tr2bl w:val="nil"/>
                  </w:tcBorders>
                  <w:vAlign w:val="center"/>
                </w:tcPr>
                <w:p w14:paraId="1BEABDCE">
                  <w:pPr>
                    <w:widowControl w:val="0"/>
                    <w:snapToGrid w:val="0"/>
                    <w:spacing w:line="240" w:lineRule="auto"/>
                    <w:ind w:left="-105" w:leftChars="-50" w:right="-105" w:rightChars="-50" w:firstLine="0" w:firstLineChars="0"/>
                    <w:jc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eastAsia" w:cs="Times New Roman"/>
                      <w:snapToGrid w:val="0"/>
                      <w:color w:val="000000" w:themeColor="text1"/>
                      <w:kern w:val="2"/>
                      <w:sz w:val="21"/>
                      <w:szCs w:val="21"/>
                      <w:highlight w:val="none"/>
                      <w:lang w:val="en-US" w:eastAsia="zh-CN" w:bidi="ar-SA"/>
                      <w14:textFill>
                        <w14:solidFill>
                          <w14:schemeClr w14:val="tx1"/>
                        </w14:solidFill>
                      </w14:textFill>
                    </w:rPr>
                    <w:t>综合废水</w:t>
                  </w:r>
                </w:p>
              </w:tc>
              <w:tc>
                <w:tcPr>
                  <w:tcW w:w="542" w:type="pct"/>
                  <w:tcBorders>
                    <w:tl2br w:val="nil"/>
                    <w:tr2bl w:val="nil"/>
                  </w:tcBorders>
                  <w:vAlign w:val="center"/>
                </w:tcPr>
                <w:p w14:paraId="4E0E4750">
                  <w:pPr>
                    <w:widowControl w:val="0"/>
                    <w:snapToGrid w:val="0"/>
                    <w:spacing w:line="240" w:lineRule="auto"/>
                    <w:ind w:left="-105" w:leftChars="-50" w:right="-105" w:rightChars="-50"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pH、</w:t>
                  </w:r>
                </w:p>
                <w:p w14:paraId="577FDE1B">
                  <w:pPr>
                    <w:widowControl w:val="0"/>
                    <w:snapToGrid w:val="0"/>
                    <w:spacing w:line="240" w:lineRule="auto"/>
                    <w:ind w:left="-105" w:leftChars="-50" w:right="-105" w:rightChars="-50"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COD、</w:t>
                  </w:r>
                </w:p>
                <w:p w14:paraId="77D631D2">
                  <w:pPr>
                    <w:widowControl w:val="0"/>
                    <w:snapToGrid w:val="0"/>
                    <w:spacing w:line="240" w:lineRule="auto"/>
                    <w:ind w:left="-105" w:leftChars="-50" w:right="-105" w:rightChars="-50"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SS、BOD</w:t>
                  </w:r>
                  <w:r>
                    <w:rPr>
                      <w:color w:val="000000" w:themeColor="text1"/>
                      <w:kern w:val="0"/>
                      <w:sz w:val="21"/>
                      <w:szCs w:val="21"/>
                      <w:highlight w:val="none"/>
                      <w:vertAlign w:val="subscript"/>
                      <w14:textFill>
                        <w14:solidFill>
                          <w14:schemeClr w14:val="tx1"/>
                        </w14:solidFill>
                      </w14:textFill>
                    </w:rPr>
                    <w:t>5</w:t>
                  </w:r>
                  <w:r>
                    <w:rPr>
                      <w:color w:val="000000" w:themeColor="text1"/>
                      <w:kern w:val="0"/>
                      <w:sz w:val="21"/>
                      <w:szCs w:val="21"/>
                      <w:highlight w:val="none"/>
                      <w14:textFill>
                        <w14:solidFill>
                          <w14:schemeClr w14:val="tx1"/>
                        </w14:solidFill>
                      </w14:textFill>
                    </w:rPr>
                    <w:t>、</w:t>
                  </w:r>
                </w:p>
                <w:p w14:paraId="41C2C747">
                  <w:pPr>
                    <w:widowControl w:val="0"/>
                    <w:snapToGrid w:val="0"/>
                    <w:spacing w:line="240" w:lineRule="auto"/>
                    <w:ind w:left="-105" w:leftChars="-50" w:right="-105" w:rightChars="-50" w:firstLine="0" w:firstLineChars="0"/>
                    <w:jc w:val="center"/>
                    <w:rPr>
                      <w:rFonts w:hint="eastAsia"/>
                      <w:color w:val="000000" w:themeColor="text1"/>
                      <w:kern w:val="0"/>
                      <w:sz w:val="21"/>
                      <w:szCs w:val="21"/>
                      <w:highlight w:val="none"/>
                      <w:lang w:eastAsia="zh-CN"/>
                      <w14:textFill>
                        <w14:solidFill>
                          <w14:schemeClr w14:val="tx1"/>
                        </w14:solidFill>
                      </w14:textFill>
                    </w:rPr>
                  </w:pPr>
                  <w:r>
                    <w:rPr>
                      <w:rFonts w:hint="eastAsia"/>
                      <w:color w:val="000000" w:themeColor="text1"/>
                      <w:kern w:val="0"/>
                      <w:sz w:val="21"/>
                      <w:szCs w:val="21"/>
                      <w:highlight w:val="none"/>
                      <w:lang w:val="en-US" w:eastAsia="zh-CN"/>
                      <w14:textFill>
                        <w14:solidFill>
                          <w14:schemeClr w14:val="tx1"/>
                        </w14:solidFill>
                      </w14:textFill>
                    </w:rPr>
                    <w:t>氨氮</w:t>
                  </w:r>
                  <w:r>
                    <w:rPr>
                      <w:rFonts w:hint="eastAsia"/>
                      <w:color w:val="000000" w:themeColor="text1"/>
                      <w:kern w:val="0"/>
                      <w:sz w:val="21"/>
                      <w:szCs w:val="21"/>
                      <w:highlight w:val="none"/>
                      <w14:textFill>
                        <w14:solidFill>
                          <w14:schemeClr w14:val="tx1"/>
                        </w14:solidFill>
                      </w14:textFill>
                    </w:rPr>
                    <w:t>、L</w:t>
                  </w:r>
                  <w:r>
                    <w:rPr>
                      <w:color w:val="000000" w:themeColor="text1"/>
                      <w:kern w:val="0"/>
                      <w:sz w:val="21"/>
                      <w:szCs w:val="21"/>
                      <w:highlight w:val="none"/>
                      <w14:textFill>
                        <w14:solidFill>
                          <w14:schemeClr w14:val="tx1"/>
                        </w14:solidFill>
                      </w14:textFill>
                    </w:rPr>
                    <w:t>AS</w:t>
                  </w:r>
                  <w:r>
                    <w:rPr>
                      <w:rFonts w:hint="eastAsia"/>
                      <w:color w:val="000000" w:themeColor="text1"/>
                      <w:kern w:val="0"/>
                      <w:sz w:val="21"/>
                      <w:szCs w:val="21"/>
                      <w:highlight w:val="none"/>
                      <w:lang w:eastAsia="zh-CN"/>
                      <w14:textFill>
                        <w14:solidFill>
                          <w14:schemeClr w14:val="tx1"/>
                        </w14:solidFill>
                      </w14:textFill>
                    </w:rPr>
                    <w:t>、</w:t>
                  </w:r>
                </w:p>
                <w:p w14:paraId="47425185">
                  <w:pPr>
                    <w:widowControl w:val="0"/>
                    <w:snapToGrid w:val="0"/>
                    <w:spacing w:line="240" w:lineRule="auto"/>
                    <w:ind w:left="-105" w:leftChars="-50" w:right="-105" w:rightChars="-50" w:firstLine="0" w:firstLineChars="0"/>
                    <w:jc w:val="center"/>
                    <w:rPr>
                      <w:rFonts w:hint="eastAsia"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T</w:t>
                  </w:r>
                  <w:r>
                    <w:rPr>
                      <w:color w:val="000000" w:themeColor="text1"/>
                      <w:kern w:val="0"/>
                      <w:sz w:val="21"/>
                      <w:szCs w:val="21"/>
                      <w:highlight w:val="none"/>
                      <w14:textFill>
                        <w14:solidFill>
                          <w14:schemeClr w14:val="tx1"/>
                        </w14:solidFill>
                      </w14:textFill>
                    </w:rPr>
                    <w:t>P</w:t>
                  </w:r>
                  <w:r>
                    <w:rPr>
                      <w:rFonts w:hint="eastAsia"/>
                      <w:color w:val="000000" w:themeColor="text1"/>
                      <w:kern w:val="0"/>
                      <w:sz w:val="21"/>
                      <w:szCs w:val="21"/>
                      <w:highlight w:val="none"/>
                      <w14:textFill>
                        <w14:solidFill>
                          <w14:schemeClr w14:val="tx1"/>
                        </w14:solidFill>
                      </w14:textFill>
                    </w:rPr>
                    <w:t>、</w:t>
                  </w:r>
                  <w:r>
                    <w:rPr>
                      <w:rFonts w:hint="eastAsia"/>
                      <w:color w:val="000000" w:themeColor="text1"/>
                      <w:kern w:val="0"/>
                      <w:sz w:val="21"/>
                      <w:szCs w:val="21"/>
                      <w:highlight w:val="none"/>
                      <w:lang w:val="en-US" w:eastAsia="zh-CN"/>
                      <w14:textFill>
                        <w14:solidFill>
                          <w14:schemeClr w14:val="tx1"/>
                        </w14:solidFill>
                      </w14:textFill>
                    </w:rPr>
                    <w:t>粪大肠菌群</w:t>
                  </w:r>
                </w:p>
              </w:tc>
              <w:tc>
                <w:tcPr>
                  <w:tcW w:w="404" w:type="pct"/>
                  <w:tcBorders>
                    <w:tl2br w:val="nil"/>
                    <w:tr2bl w:val="nil"/>
                  </w:tcBorders>
                  <w:vAlign w:val="center"/>
                </w:tcPr>
                <w:p w14:paraId="07088567">
                  <w:pPr>
                    <w:widowControl w:val="0"/>
                    <w:snapToGrid w:val="0"/>
                    <w:spacing w:line="240" w:lineRule="auto"/>
                    <w:ind w:left="-105" w:leftChars="-50" w:right="-105" w:rightChars="-50" w:firstLine="0" w:firstLineChars="0"/>
                    <w:jc w:val="center"/>
                    <w:rPr>
                      <w:rFonts w:hint="eastAsia"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eastAsia" w:cs="Times New Roman"/>
                      <w:snapToGrid w:val="0"/>
                      <w:color w:val="000000" w:themeColor="text1"/>
                      <w:kern w:val="2"/>
                      <w:sz w:val="21"/>
                      <w:szCs w:val="21"/>
                      <w:highlight w:val="none"/>
                      <w:lang w:val="en-US" w:eastAsia="zh-CN" w:bidi="ar-SA"/>
                      <w14:textFill>
                        <w14:solidFill>
                          <w14:schemeClr w14:val="tx1"/>
                        </w14:solidFill>
                      </w14:textFill>
                    </w:rPr>
                    <w:t>彩云湖污水处理厂</w:t>
                  </w:r>
                </w:p>
              </w:tc>
              <w:tc>
                <w:tcPr>
                  <w:tcW w:w="475" w:type="pct"/>
                  <w:tcBorders>
                    <w:tl2br w:val="nil"/>
                    <w:tr2bl w:val="nil"/>
                  </w:tcBorders>
                  <w:vAlign w:val="center"/>
                </w:tcPr>
                <w:p w14:paraId="4BA36E70">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间断排放，流量不稳定无规律</w:t>
                  </w:r>
                </w:p>
              </w:tc>
              <w:tc>
                <w:tcPr>
                  <w:tcW w:w="482" w:type="pct"/>
                  <w:tcBorders>
                    <w:tl2br w:val="nil"/>
                    <w:tr2bl w:val="nil"/>
                  </w:tcBorders>
                  <w:vAlign w:val="center"/>
                </w:tcPr>
                <w:p w14:paraId="5366ECEA">
                  <w:pPr>
                    <w:widowControl w:val="0"/>
                    <w:snapToGrid w:val="0"/>
                    <w:spacing w:line="240" w:lineRule="auto"/>
                    <w:ind w:left="-105" w:leftChars="-50" w:right="-105" w:rightChars="-50" w:firstLine="0" w:firstLineChars="0"/>
                    <w:jc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TW001</w:t>
                  </w:r>
                </w:p>
              </w:tc>
              <w:tc>
                <w:tcPr>
                  <w:tcW w:w="538" w:type="pct"/>
                  <w:tcBorders>
                    <w:tl2br w:val="nil"/>
                    <w:tr2bl w:val="nil"/>
                  </w:tcBorders>
                  <w:vAlign w:val="center"/>
                </w:tcPr>
                <w:p w14:paraId="1DFD2487">
                  <w:pPr>
                    <w:widowControl w:val="0"/>
                    <w:snapToGrid w:val="0"/>
                    <w:spacing w:line="240" w:lineRule="auto"/>
                    <w:ind w:left="-105" w:leftChars="-50" w:right="-105" w:rightChars="-50" w:firstLine="0" w:firstLineChars="0"/>
                    <w:jc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生化池</w:t>
                  </w:r>
                </w:p>
              </w:tc>
              <w:tc>
                <w:tcPr>
                  <w:tcW w:w="480" w:type="pct"/>
                  <w:tcBorders>
                    <w:tl2br w:val="nil"/>
                    <w:tr2bl w:val="nil"/>
                  </w:tcBorders>
                  <w:vAlign w:val="center"/>
                </w:tcPr>
                <w:p w14:paraId="61965475">
                  <w:pPr>
                    <w:widowControl w:val="0"/>
                    <w:snapToGrid w:val="0"/>
                    <w:spacing w:line="240" w:lineRule="auto"/>
                    <w:ind w:left="-105" w:leftChars="-50" w:right="-105" w:rightChars="-50" w:firstLine="0" w:firstLineChars="0"/>
                    <w:jc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eastAsia" w:cs="Times New Roman"/>
                      <w:snapToGrid w:val="0"/>
                      <w:color w:val="000000" w:themeColor="text1"/>
                      <w:kern w:val="2"/>
                      <w:sz w:val="21"/>
                      <w:szCs w:val="21"/>
                      <w:highlight w:val="none"/>
                      <w:lang w:val="en-US" w:eastAsia="zh-CN" w:bidi="ar-SA"/>
                      <w14:textFill>
                        <w14:solidFill>
                          <w14:schemeClr w14:val="tx1"/>
                        </w14:solidFill>
                      </w14:textFill>
                    </w:rPr>
                    <w:t>厌氧</w:t>
                  </w:r>
                </w:p>
              </w:tc>
              <w:tc>
                <w:tcPr>
                  <w:tcW w:w="440" w:type="pct"/>
                  <w:tcBorders>
                    <w:tl2br w:val="nil"/>
                    <w:tr2bl w:val="nil"/>
                  </w:tcBorders>
                  <w:shd w:val="clear" w:color="auto" w:fill="auto"/>
                  <w:vAlign w:val="center"/>
                </w:tcPr>
                <w:p w14:paraId="05F441C8">
                  <w:pPr>
                    <w:widowControl w:val="0"/>
                    <w:snapToGrid w:val="0"/>
                    <w:spacing w:line="240" w:lineRule="auto"/>
                    <w:ind w:left="-105" w:leftChars="-50" w:right="-105" w:rightChars="-50" w:firstLine="0" w:firstLineChars="0"/>
                    <w:jc w:val="center"/>
                    <w:rPr>
                      <w:rFonts w:hint="eastAsia"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DW00</w:t>
                  </w:r>
                  <w:r>
                    <w:rPr>
                      <w:rFonts w:hint="eastAsia" w:cs="Times New Roman"/>
                      <w:snapToGrid w:val="0"/>
                      <w:color w:val="000000" w:themeColor="text1"/>
                      <w:kern w:val="2"/>
                      <w:sz w:val="21"/>
                      <w:szCs w:val="21"/>
                      <w:highlight w:val="none"/>
                      <w:lang w:val="en-US" w:eastAsia="zh-CN" w:bidi="ar-SA"/>
                      <w14:textFill>
                        <w14:solidFill>
                          <w14:schemeClr w14:val="tx1"/>
                        </w14:solidFill>
                      </w14:textFill>
                    </w:rPr>
                    <w:t>1</w:t>
                  </w:r>
                </w:p>
              </w:tc>
              <w:tc>
                <w:tcPr>
                  <w:tcW w:w="440" w:type="pct"/>
                  <w:tcBorders>
                    <w:tl2br w:val="nil"/>
                    <w:tr2bl w:val="nil"/>
                  </w:tcBorders>
                  <w:shd w:val="clear" w:color="auto" w:fill="auto"/>
                  <w:vAlign w:val="center"/>
                </w:tcPr>
                <w:p w14:paraId="2C34D676">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sym w:font="Wingdings" w:char="00FE"/>
                  </w:r>
                  <w: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是</w:t>
                  </w:r>
                </w:p>
                <w:p w14:paraId="206B8287">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sym w:font="Wingdings" w:char="00A8"/>
                  </w:r>
                  <w: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否</w:t>
                  </w:r>
                </w:p>
              </w:tc>
              <w:tc>
                <w:tcPr>
                  <w:tcW w:w="899" w:type="pct"/>
                  <w:tcBorders>
                    <w:tl2br w:val="nil"/>
                    <w:tr2bl w:val="nil"/>
                  </w:tcBorders>
                  <w:shd w:val="clear" w:color="auto" w:fill="auto"/>
                  <w:vAlign w:val="center"/>
                </w:tcPr>
                <w:p w14:paraId="7F16A753">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sym w:font="Wingdings" w:char="00FE"/>
                  </w:r>
                  <w: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企业总排</w:t>
                  </w:r>
                </w:p>
                <w:p w14:paraId="37A5DEB3">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sym w:font="Wingdings" w:char="00A8"/>
                  </w:r>
                  <w: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雨水排放</w:t>
                  </w:r>
                </w:p>
                <w:p w14:paraId="3E8FCBF6">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sym w:font="Wingdings" w:char="00A8"/>
                  </w:r>
                  <w: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清净下水排放</w:t>
                  </w:r>
                </w:p>
                <w:p w14:paraId="4B3D9FE6">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sym w:font="Wingdings" w:char="00A8"/>
                  </w:r>
                  <w: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温排水排放</w:t>
                  </w:r>
                </w:p>
                <w:p w14:paraId="7EDE2E12">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sym w:font="Wingdings" w:char="00A8"/>
                  </w:r>
                  <w: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车间或车间处理设施排放</w:t>
                  </w:r>
                </w:p>
              </w:tc>
            </w:tr>
            <w:tr w14:paraId="67E271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7" w:type="pct"/>
                  <w:tcBorders>
                    <w:tl2br w:val="nil"/>
                    <w:tr2bl w:val="nil"/>
                  </w:tcBorders>
                  <w:vAlign w:val="center"/>
                </w:tcPr>
                <w:p w14:paraId="2456AE1E">
                  <w:pPr>
                    <w:widowControl w:val="0"/>
                    <w:snapToGrid w:val="0"/>
                    <w:spacing w:line="240" w:lineRule="auto"/>
                    <w:ind w:left="-105" w:leftChars="-50" w:right="-105" w:rightChars="-50" w:firstLine="0" w:firstLineChars="0"/>
                    <w:jc w:val="center"/>
                    <w:rPr>
                      <w:rFonts w:hint="eastAsia" w:cs="Times New Roman"/>
                      <w:snapToGrid w:val="0"/>
                      <w:color w:val="000000" w:themeColor="text1"/>
                      <w:kern w:val="2"/>
                      <w:sz w:val="21"/>
                      <w:szCs w:val="21"/>
                      <w:highlight w:val="none"/>
                      <w:lang w:val="en-US" w:eastAsia="zh-CN" w:bidi="ar-SA"/>
                      <w14:textFill>
                        <w14:solidFill>
                          <w14:schemeClr w14:val="tx1"/>
                        </w14:solidFill>
                      </w14:textFill>
                    </w:rPr>
                  </w:pPr>
                  <w:r>
                    <w:rPr>
                      <w:rFonts w:hint="eastAsia" w:cs="Times New Roman"/>
                      <w:snapToGrid w:val="0"/>
                      <w:color w:val="000000" w:themeColor="text1"/>
                      <w:kern w:val="2"/>
                      <w:sz w:val="21"/>
                      <w:szCs w:val="21"/>
                      <w:highlight w:val="none"/>
                      <w:lang w:val="en-US" w:eastAsia="zh-CN" w:bidi="ar-SA"/>
                      <w14:textFill>
                        <w14:solidFill>
                          <w14:schemeClr w14:val="tx1"/>
                        </w14:solidFill>
                      </w14:textFill>
                    </w:rPr>
                    <w:t>医疗废水</w:t>
                  </w:r>
                </w:p>
              </w:tc>
              <w:tc>
                <w:tcPr>
                  <w:tcW w:w="542" w:type="pct"/>
                  <w:tcBorders>
                    <w:tl2br w:val="nil"/>
                    <w:tr2bl w:val="nil"/>
                  </w:tcBorders>
                  <w:vAlign w:val="center"/>
                </w:tcPr>
                <w:p w14:paraId="0AD38C3C">
                  <w:pPr>
                    <w:widowControl w:val="0"/>
                    <w:snapToGrid w:val="0"/>
                    <w:spacing w:line="240" w:lineRule="auto"/>
                    <w:ind w:left="-105" w:leftChars="-50" w:right="-105" w:rightChars="-50" w:firstLine="0" w:firstLineChars="0"/>
                    <w:jc w:val="center"/>
                    <w:rPr>
                      <w:rFonts w:hint="eastAsia"/>
                      <w:color w:val="000000" w:themeColor="text1"/>
                      <w:kern w:val="0"/>
                      <w:sz w:val="21"/>
                      <w:szCs w:val="21"/>
                      <w:highlight w:val="none"/>
                      <w14:textFill>
                        <w14:solidFill>
                          <w14:schemeClr w14:val="tx1"/>
                        </w14:solidFill>
                      </w14:textFill>
                    </w:rPr>
                  </w:pPr>
                  <w:r>
                    <w:rPr>
                      <w:rFonts w:hint="eastAsia"/>
                      <w:color w:val="000000" w:themeColor="text1"/>
                      <w:kern w:val="0"/>
                      <w:sz w:val="21"/>
                      <w:szCs w:val="21"/>
                      <w:highlight w:val="none"/>
                      <w:lang w:val="en-US" w:eastAsia="zh-CN"/>
                      <w14:textFill>
                        <w14:solidFill>
                          <w14:schemeClr w14:val="tx1"/>
                        </w14:solidFill>
                      </w14:textFill>
                    </w:rPr>
                    <w:t>粪大肠菌群、总余氯</w:t>
                  </w:r>
                </w:p>
              </w:tc>
              <w:tc>
                <w:tcPr>
                  <w:tcW w:w="404" w:type="pct"/>
                  <w:tcBorders>
                    <w:tl2br w:val="nil"/>
                    <w:tr2bl w:val="nil"/>
                  </w:tcBorders>
                  <w:vAlign w:val="center"/>
                </w:tcPr>
                <w:p w14:paraId="01D199FA">
                  <w:pPr>
                    <w:widowControl w:val="0"/>
                    <w:snapToGrid w:val="0"/>
                    <w:spacing w:line="240" w:lineRule="auto"/>
                    <w:ind w:left="-105" w:leftChars="-50" w:right="-105" w:rightChars="-50" w:firstLine="0" w:firstLineChars="0"/>
                    <w:jc w:val="center"/>
                    <w:rPr>
                      <w:rFonts w:hint="eastAsia" w:cs="Times New Roman"/>
                      <w:snapToGrid w:val="0"/>
                      <w:color w:val="000000" w:themeColor="text1"/>
                      <w:kern w:val="2"/>
                      <w:sz w:val="21"/>
                      <w:szCs w:val="21"/>
                      <w:highlight w:val="none"/>
                      <w:lang w:val="en-US" w:eastAsia="zh-CN" w:bidi="ar-SA"/>
                      <w14:textFill>
                        <w14:solidFill>
                          <w14:schemeClr w14:val="tx1"/>
                        </w14:solidFill>
                      </w14:textFill>
                    </w:rPr>
                  </w:pPr>
                  <w:r>
                    <w:rPr>
                      <w:rFonts w:hint="eastAsia" w:cs="Times New Roman"/>
                      <w:snapToGrid w:val="0"/>
                      <w:color w:val="000000" w:themeColor="text1"/>
                      <w:kern w:val="2"/>
                      <w:sz w:val="21"/>
                      <w:szCs w:val="21"/>
                      <w:highlight w:val="none"/>
                      <w:lang w:val="en-US" w:eastAsia="zh-CN" w:bidi="ar-SA"/>
                      <w14:textFill>
                        <w14:solidFill>
                          <w14:schemeClr w14:val="tx1"/>
                        </w14:solidFill>
                      </w14:textFill>
                    </w:rPr>
                    <w:t>生化池</w:t>
                  </w:r>
                </w:p>
              </w:tc>
              <w:tc>
                <w:tcPr>
                  <w:tcW w:w="475" w:type="pct"/>
                  <w:tcBorders>
                    <w:tl2br w:val="nil"/>
                    <w:tr2bl w:val="nil"/>
                  </w:tcBorders>
                  <w:vAlign w:val="center"/>
                </w:tcPr>
                <w:p w14:paraId="23FAD9E5">
                  <w:pPr>
                    <w:keepNext w:val="0"/>
                    <w:keepLines w:val="0"/>
                    <w:pageBreakBefore w:val="0"/>
                    <w:widowControl w:val="0"/>
                    <w:kinsoku/>
                    <w:wordWrap/>
                    <w:overflowPunct/>
                    <w:topLinePunct w:val="0"/>
                    <w:autoSpaceDE/>
                    <w:autoSpaceDN/>
                    <w:bidi w:val="0"/>
                    <w:adjustRightInd/>
                    <w:snapToGrid w:val="0"/>
                    <w:spacing w:line="240" w:lineRule="auto"/>
                    <w:ind w:left="-63" w:leftChars="-30" w:right="-63" w:rightChars="-30" w:firstLine="0" w:firstLineChars="0"/>
                    <w:jc w:val="center"/>
                    <w:textAlignment w:val="auto"/>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间断排放，流量不稳定无规律</w:t>
                  </w:r>
                </w:p>
              </w:tc>
              <w:tc>
                <w:tcPr>
                  <w:tcW w:w="482" w:type="pct"/>
                  <w:tcBorders>
                    <w:tl2br w:val="nil"/>
                    <w:tr2bl w:val="nil"/>
                  </w:tcBorders>
                  <w:vAlign w:val="center"/>
                </w:tcPr>
                <w:p w14:paraId="4788B112">
                  <w:pPr>
                    <w:widowControl w:val="0"/>
                    <w:snapToGrid w:val="0"/>
                    <w:spacing w:line="240" w:lineRule="auto"/>
                    <w:ind w:left="-105" w:leftChars="-50" w:right="-105" w:rightChars="-50" w:firstLine="0" w:firstLineChars="0"/>
                    <w:jc w:val="center"/>
                    <w:rPr>
                      <w:rFonts w:hint="eastAsia"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TW002</w:t>
                  </w:r>
                </w:p>
              </w:tc>
              <w:tc>
                <w:tcPr>
                  <w:tcW w:w="538" w:type="pct"/>
                  <w:tcBorders>
                    <w:tl2br w:val="nil"/>
                    <w:tr2bl w:val="nil"/>
                  </w:tcBorders>
                  <w:vAlign w:val="center"/>
                </w:tcPr>
                <w:p w14:paraId="567F185D">
                  <w:pPr>
                    <w:widowControl w:val="0"/>
                    <w:snapToGrid w:val="0"/>
                    <w:spacing w:line="240" w:lineRule="auto"/>
                    <w:ind w:left="-105" w:leftChars="-50" w:right="-105" w:rightChars="-50" w:firstLine="0" w:firstLineChars="0"/>
                    <w:jc w:val="center"/>
                    <w:rPr>
                      <w:rFonts w:hint="eastAsia"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eastAsia" w:cs="Times New Roman"/>
                      <w:snapToGrid w:val="0"/>
                      <w:color w:val="000000" w:themeColor="text1"/>
                      <w:kern w:val="2"/>
                      <w:sz w:val="21"/>
                      <w:szCs w:val="21"/>
                      <w:highlight w:val="none"/>
                      <w:lang w:val="en-US" w:eastAsia="zh-CN" w:bidi="ar-SA"/>
                      <w14:textFill>
                        <w14:solidFill>
                          <w14:schemeClr w14:val="tx1"/>
                        </w14:solidFill>
                      </w14:textFill>
                    </w:rPr>
                    <w:t>消毒设施</w:t>
                  </w:r>
                </w:p>
              </w:tc>
              <w:tc>
                <w:tcPr>
                  <w:tcW w:w="480" w:type="pct"/>
                  <w:tcBorders>
                    <w:tl2br w:val="nil"/>
                    <w:tr2bl w:val="nil"/>
                  </w:tcBorders>
                  <w:vAlign w:val="center"/>
                </w:tcPr>
                <w:p w14:paraId="59B70C5C">
                  <w:pPr>
                    <w:widowControl w:val="0"/>
                    <w:snapToGrid w:val="0"/>
                    <w:spacing w:line="240" w:lineRule="auto"/>
                    <w:ind w:left="-105" w:leftChars="-50" w:right="-105" w:rightChars="-50" w:firstLine="0" w:firstLineChars="0"/>
                    <w:jc w:val="center"/>
                    <w:rPr>
                      <w:rFonts w:hint="eastAsia" w:cs="Times New Roman"/>
                      <w:snapToGrid w:val="0"/>
                      <w:color w:val="000000" w:themeColor="text1"/>
                      <w:kern w:val="2"/>
                      <w:sz w:val="21"/>
                      <w:szCs w:val="21"/>
                      <w:highlight w:val="none"/>
                      <w:lang w:val="en-US" w:eastAsia="zh-CN" w:bidi="ar-SA"/>
                      <w14:textFill>
                        <w14:solidFill>
                          <w14:schemeClr w14:val="tx1"/>
                        </w14:solidFill>
                      </w14:textFill>
                    </w:rPr>
                  </w:pPr>
                  <w:r>
                    <w:rPr>
                      <w:rFonts w:hint="eastAsia" w:cs="Times New Roman"/>
                      <w:snapToGrid w:val="0"/>
                      <w:color w:val="000000" w:themeColor="text1"/>
                      <w:kern w:val="2"/>
                      <w:sz w:val="21"/>
                      <w:szCs w:val="21"/>
                      <w:highlight w:val="none"/>
                      <w:lang w:val="en-US" w:eastAsia="zh-CN" w:bidi="ar-SA"/>
                      <w14:textFill>
                        <w14:solidFill>
                          <w14:schemeClr w14:val="tx1"/>
                        </w14:solidFill>
                      </w14:textFill>
                    </w:rPr>
                    <w:t>二氧化氯</w:t>
                  </w:r>
                  <w:r>
                    <w:rPr>
                      <w:rFonts w:hint="eastAsia"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消毒片</w:t>
                  </w:r>
                  <w:r>
                    <w:rPr>
                      <w:rFonts w:hint="eastAsia" w:cs="Times New Roman"/>
                      <w:snapToGrid w:val="0"/>
                      <w:color w:val="000000" w:themeColor="text1"/>
                      <w:kern w:val="2"/>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b w:val="0"/>
                      <w:color w:val="auto"/>
                      <w:sz w:val="21"/>
                      <w:lang w:val="en-US" w:eastAsia="zh-CN" w:bidi="ar-SA"/>
                    </w:rPr>
                    <w:t>三氯异氰尿酸消毒片</w:t>
                  </w:r>
                  <w:r>
                    <w:rPr>
                      <w:rFonts w:hint="eastAsia"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消毒</w:t>
                  </w:r>
                </w:p>
              </w:tc>
              <w:tc>
                <w:tcPr>
                  <w:tcW w:w="440" w:type="pct"/>
                  <w:tcBorders>
                    <w:tl2br w:val="nil"/>
                    <w:tr2bl w:val="nil"/>
                  </w:tcBorders>
                  <w:shd w:val="clear" w:color="auto" w:fill="auto"/>
                  <w:vAlign w:val="center"/>
                </w:tcPr>
                <w:p w14:paraId="55512322">
                  <w:pPr>
                    <w:widowControl w:val="0"/>
                    <w:snapToGrid w:val="0"/>
                    <w:spacing w:line="240" w:lineRule="auto"/>
                    <w:ind w:left="-105" w:leftChars="-50" w:right="-105" w:rightChars="-50" w:firstLine="0" w:firstLineChars="0"/>
                    <w:jc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eastAsia" w:cs="Times New Roman"/>
                      <w:snapToGrid w:val="0"/>
                      <w:color w:val="000000" w:themeColor="text1"/>
                      <w:kern w:val="2"/>
                      <w:sz w:val="21"/>
                      <w:szCs w:val="21"/>
                      <w:highlight w:val="none"/>
                      <w:lang w:val="en-US" w:eastAsia="zh-CN" w:bidi="ar-SA"/>
                      <w14:textFill>
                        <w14:solidFill>
                          <w14:schemeClr w14:val="tx1"/>
                        </w14:solidFill>
                      </w14:textFill>
                    </w:rPr>
                    <w:t>/</w:t>
                  </w:r>
                </w:p>
              </w:tc>
              <w:tc>
                <w:tcPr>
                  <w:tcW w:w="440" w:type="pct"/>
                  <w:tcBorders>
                    <w:tl2br w:val="nil"/>
                    <w:tr2bl w:val="nil"/>
                  </w:tcBorders>
                  <w:shd w:val="clear" w:color="auto" w:fill="auto"/>
                  <w:vAlign w:val="center"/>
                </w:tcPr>
                <w:p w14:paraId="4D35CEB4">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sym w:font="Wingdings" w:char="00FE"/>
                  </w:r>
                  <w: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是</w:t>
                  </w:r>
                </w:p>
                <w:p w14:paraId="04C26937">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sym w:font="Wingdings" w:char="00A8"/>
                  </w:r>
                  <w: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否</w:t>
                  </w:r>
                </w:p>
              </w:tc>
              <w:tc>
                <w:tcPr>
                  <w:tcW w:w="899" w:type="pct"/>
                  <w:tcBorders>
                    <w:tl2br w:val="nil"/>
                    <w:tr2bl w:val="nil"/>
                  </w:tcBorders>
                  <w:shd w:val="clear" w:color="auto" w:fill="auto"/>
                  <w:vAlign w:val="center"/>
                </w:tcPr>
                <w:p w14:paraId="1380AC34">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sym w:font="Wingdings" w:char="00A8"/>
                  </w:r>
                  <w: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企业总排</w:t>
                  </w:r>
                </w:p>
                <w:p w14:paraId="3B5F130F">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sym w:font="Wingdings" w:char="00A8"/>
                  </w:r>
                  <w: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雨水排放</w:t>
                  </w:r>
                </w:p>
                <w:p w14:paraId="1B6021D7">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sym w:font="Wingdings" w:char="00A8"/>
                  </w:r>
                  <w: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清净下水排放</w:t>
                  </w:r>
                </w:p>
                <w:p w14:paraId="08719F5E">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sym w:font="Wingdings" w:char="00A8"/>
                  </w:r>
                  <w: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温排水排放</w:t>
                  </w:r>
                </w:p>
                <w:p w14:paraId="531AB326">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sym w:font="Wingdings" w:char="00FE"/>
                  </w:r>
                  <w: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车间或车间处理设施排放</w:t>
                  </w:r>
                </w:p>
              </w:tc>
            </w:tr>
          </w:tbl>
          <w:p w14:paraId="765D4A8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val="0"/>
                <w:color w:val="000000" w:themeColor="text1"/>
                <w:kern w:val="0"/>
                <w:sz w:val="24"/>
                <w:szCs w:val="24"/>
                <w:highlight w:val="none"/>
                <w:vertAlign w:val="baseline"/>
                <w14:textFill>
                  <w14:solidFill>
                    <w14:schemeClr w14:val="tx1"/>
                  </w14:solidFill>
                </w14:textFill>
              </w:rPr>
            </w:pPr>
            <w:r>
              <w:rPr>
                <w:rFonts w:hint="default" w:ascii="Times New Roman" w:hAnsi="Times New Roman" w:cs="Times New Roman"/>
                <w:b/>
                <w:bCs w:val="0"/>
                <w:color w:val="000000" w:themeColor="text1"/>
                <w:kern w:val="0"/>
                <w:sz w:val="24"/>
                <w:szCs w:val="24"/>
                <w:highlight w:val="none"/>
                <w:vertAlign w:val="baseline"/>
                <w14:textFill>
                  <w14:solidFill>
                    <w14:schemeClr w14:val="tx1"/>
                  </w14:solidFill>
                </w14:textFill>
              </w:rPr>
              <w:t>表4.2-</w:t>
            </w:r>
            <w:r>
              <w:rPr>
                <w:rFonts w:hint="eastAsia" w:cs="Times New Roman"/>
                <w:b/>
                <w:bCs w:val="0"/>
                <w:color w:val="000000" w:themeColor="text1"/>
                <w:kern w:val="0"/>
                <w:sz w:val="24"/>
                <w:szCs w:val="24"/>
                <w:highlight w:val="none"/>
                <w:vertAlign w:val="baseline"/>
                <w:lang w:val="en-US" w:eastAsia="zh-CN"/>
                <w14:textFill>
                  <w14:solidFill>
                    <w14:schemeClr w14:val="tx1"/>
                  </w14:solidFill>
                </w14:textFill>
              </w:rPr>
              <w:t>3</w:t>
            </w:r>
            <w:r>
              <w:rPr>
                <w:rFonts w:hint="default" w:ascii="Times New Roman" w:hAnsi="Times New Roman" w:cs="Times New Roman"/>
                <w:b/>
                <w:bCs w:val="0"/>
                <w:color w:val="000000" w:themeColor="text1"/>
                <w:kern w:val="0"/>
                <w:sz w:val="24"/>
                <w:szCs w:val="24"/>
                <w:highlight w:val="none"/>
                <w:vertAlign w:val="baseline"/>
                <w14:textFill>
                  <w14:solidFill>
                    <w14:schemeClr w14:val="tx1"/>
                  </w14:solidFill>
                </w14:textFill>
              </w:rPr>
              <w:t>废水间接排放口基本情况表</w:t>
            </w:r>
          </w:p>
          <w:tbl>
            <w:tblPr>
              <w:tblStyle w:val="2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09"/>
              <w:gridCol w:w="1186"/>
              <w:gridCol w:w="1536"/>
              <w:gridCol w:w="1721"/>
              <w:gridCol w:w="1214"/>
              <w:gridCol w:w="858"/>
              <w:gridCol w:w="858"/>
              <w:gridCol w:w="960"/>
              <w:gridCol w:w="788"/>
              <w:gridCol w:w="858"/>
              <w:gridCol w:w="2042"/>
            </w:tblGrid>
            <w:tr w14:paraId="66A903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1" w:type="pct"/>
                  <w:vMerge w:val="restart"/>
                  <w:tcBorders>
                    <w:tl2br w:val="nil"/>
                    <w:tr2bl w:val="nil"/>
                  </w:tcBorders>
                  <w:vAlign w:val="center"/>
                </w:tcPr>
                <w:p w14:paraId="1003686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lang w:val="en-US" w:eastAsia="zh-CN"/>
                      <w14:textFill>
                        <w14:solidFill>
                          <w14:schemeClr w14:val="tx1"/>
                        </w14:solidFill>
                      </w14:textFill>
                    </w:rPr>
                    <w:t>序号</w:t>
                  </w:r>
                </w:p>
              </w:tc>
              <w:tc>
                <w:tcPr>
                  <w:tcW w:w="511" w:type="pct"/>
                  <w:vMerge w:val="restart"/>
                  <w:tcBorders>
                    <w:tl2br w:val="nil"/>
                    <w:tr2bl w:val="nil"/>
                  </w:tcBorders>
                  <w:vAlign w:val="center"/>
                </w:tcPr>
                <w:p w14:paraId="0B77D72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lang w:val="en-US" w:eastAsia="zh-CN"/>
                      <w14:textFill>
                        <w14:solidFill>
                          <w14:schemeClr w14:val="tx1"/>
                        </w14:solidFill>
                      </w14:textFill>
                    </w:rPr>
                    <w:t>排放口编号</w:t>
                  </w:r>
                </w:p>
              </w:tc>
              <w:tc>
                <w:tcPr>
                  <w:tcW w:w="1100" w:type="pct"/>
                  <w:gridSpan w:val="2"/>
                  <w:tcBorders>
                    <w:tl2br w:val="nil"/>
                    <w:tr2bl w:val="nil"/>
                  </w:tcBorders>
                  <w:vAlign w:val="center"/>
                </w:tcPr>
                <w:p w14:paraId="27DFE5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lang w:val="en-US" w:eastAsia="zh-CN"/>
                      <w14:textFill>
                        <w14:solidFill>
                          <w14:schemeClr w14:val="tx1"/>
                        </w14:solidFill>
                      </w14:textFill>
                    </w:rPr>
                    <w:t>排放口经纬度</w:t>
                  </w:r>
                </w:p>
              </w:tc>
              <w:tc>
                <w:tcPr>
                  <w:tcW w:w="380" w:type="pct"/>
                  <w:vMerge w:val="restart"/>
                  <w:tcBorders>
                    <w:tl2br w:val="nil"/>
                    <w:tr2bl w:val="nil"/>
                  </w:tcBorders>
                  <w:vAlign w:val="center"/>
                </w:tcPr>
                <w:p w14:paraId="14C48DC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highlight w:val="none"/>
                      <w:vertAlign w:val="baseline"/>
                      <w:lang w:val="en-US" w:eastAsia="zh-CN"/>
                    </w:rPr>
                  </w:pPr>
                  <w:r>
                    <w:rPr>
                      <w:rFonts w:hint="default" w:ascii="Times New Roman" w:hAnsi="Times New Roman" w:cs="Times New Roman"/>
                      <w:b w:val="0"/>
                      <w:bCs/>
                      <w:color w:val="auto"/>
                      <w:kern w:val="0"/>
                      <w:sz w:val="21"/>
                      <w:szCs w:val="21"/>
                      <w:highlight w:val="none"/>
                      <w:vertAlign w:val="baseline"/>
                      <w:lang w:val="en-US" w:eastAsia="zh-CN"/>
                    </w:rPr>
                    <w:t>废水排放量（万t/a）</w:t>
                  </w:r>
                </w:p>
              </w:tc>
              <w:tc>
                <w:tcPr>
                  <w:tcW w:w="380" w:type="pct"/>
                  <w:vMerge w:val="restart"/>
                  <w:tcBorders>
                    <w:tl2br w:val="nil"/>
                    <w:tr2bl w:val="nil"/>
                  </w:tcBorders>
                  <w:vAlign w:val="center"/>
                </w:tcPr>
                <w:p w14:paraId="5013213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lang w:val="en-US" w:eastAsia="zh-CN"/>
                      <w14:textFill>
                        <w14:solidFill>
                          <w14:schemeClr w14:val="tx1"/>
                        </w14:solidFill>
                      </w14:textFill>
                    </w:rPr>
                    <w:t>排放去向</w:t>
                  </w:r>
                </w:p>
              </w:tc>
              <w:tc>
                <w:tcPr>
                  <w:tcW w:w="380" w:type="pct"/>
                  <w:vMerge w:val="restart"/>
                  <w:tcBorders>
                    <w:tl2br w:val="nil"/>
                    <w:tr2bl w:val="nil"/>
                  </w:tcBorders>
                  <w:vAlign w:val="center"/>
                </w:tcPr>
                <w:p w14:paraId="43797E1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lang w:val="en-US" w:eastAsia="zh-CN"/>
                      <w14:textFill>
                        <w14:solidFill>
                          <w14:schemeClr w14:val="tx1"/>
                        </w14:solidFill>
                      </w14:textFill>
                    </w:rPr>
                    <w:t>规律</w:t>
                  </w:r>
                </w:p>
              </w:tc>
              <w:tc>
                <w:tcPr>
                  <w:tcW w:w="393" w:type="pct"/>
                  <w:vMerge w:val="restart"/>
                  <w:tcBorders>
                    <w:tl2br w:val="nil"/>
                    <w:tr2bl w:val="nil"/>
                  </w:tcBorders>
                  <w:vAlign w:val="center"/>
                </w:tcPr>
                <w:p w14:paraId="7B17C85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lang w:val="en-US" w:eastAsia="zh-CN"/>
                      <w14:textFill>
                        <w14:solidFill>
                          <w14:schemeClr w14:val="tx1"/>
                        </w14:solidFill>
                      </w14:textFill>
                    </w:rPr>
                    <w:t>间歇排放时段</w:t>
                  </w:r>
                </w:p>
              </w:tc>
              <w:tc>
                <w:tcPr>
                  <w:tcW w:w="1612" w:type="pct"/>
                  <w:gridSpan w:val="3"/>
                  <w:tcBorders>
                    <w:tl2br w:val="nil"/>
                    <w:tr2bl w:val="nil"/>
                  </w:tcBorders>
                  <w:vAlign w:val="center"/>
                </w:tcPr>
                <w:p w14:paraId="7903FF2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lang w:val="en-US" w:eastAsia="zh-CN"/>
                      <w14:textFill>
                        <w14:solidFill>
                          <w14:schemeClr w14:val="tx1"/>
                        </w14:solidFill>
                      </w14:textFill>
                    </w:rPr>
                    <w:t>受纳污水处理厂信息</w:t>
                  </w:r>
                </w:p>
              </w:tc>
            </w:tr>
            <w:tr w14:paraId="0FA297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1" w:type="pct"/>
                  <w:vMerge w:val="continue"/>
                  <w:tcBorders>
                    <w:tl2br w:val="nil"/>
                    <w:tr2bl w:val="nil"/>
                  </w:tcBorders>
                  <w:vAlign w:val="center"/>
                </w:tcPr>
                <w:p w14:paraId="74F52AB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p>
              </w:tc>
              <w:tc>
                <w:tcPr>
                  <w:tcW w:w="511" w:type="pct"/>
                  <w:vMerge w:val="continue"/>
                  <w:tcBorders>
                    <w:tl2br w:val="nil"/>
                    <w:tr2bl w:val="nil"/>
                  </w:tcBorders>
                  <w:vAlign w:val="center"/>
                </w:tcPr>
                <w:p w14:paraId="1988109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p>
              </w:tc>
              <w:tc>
                <w:tcPr>
                  <w:tcW w:w="571" w:type="pct"/>
                  <w:tcBorders>
                    <w:tl2br w:val="nil"/>
                    <w:tr2bl w:val="nil"/>
                  </w:tcBorders>
                  <w:vAlign w:val="center"/>
                </w:tcPr>
                <w:p w14:paraId="54E56ED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lang w:val="en-US" w:eastAsia="zh-CN"/>
                      <w14:textFill>
                        <w14:solidFill>
                          <w14:schemeClr w14:val="tx1"/>
                        </w14:solidFill>
                      </w14:textFill>
                    </w:rPr>
                    <w:t>经度</w:t>
                  </w:r>
                </w:p>
              </w:tc>
              <w:tc>
                <w:tcPr>
                  <w:tcW w:w="529" w:type="pct"/>
                  <w:tcBorders>
                    <w:tl2br w:val="nil"/>
                    <w:tr2bl w:val="nil"/>
                  </w:tcBorders>
                  <w:vAlign w:val="center"/>
                </w:tcPr>
                <w:p w14:paraId="52B4366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lang w:val="en-US" w:eastAsia="zh-CN"/>
                      <w14:textFill>
                        <w14:solidFill>
                          <w14:schemeClr w14:val="tx1"/>
                        </w14:solidFill>
                      </w14:textFill>
                    </w:rPr>
                    <w:t>纬度</w:t>
                  </w:r>
                </w:p>
              </w:tc>
              <w:tc>
                <w:tcPr>
                  <w:tcW w:w="380" w:type="pct"/>
                  <w:vMerge w:val="continue"/>
                  <w:tcBorders>
                    <w:tl2br w:val="nil"/>
                    <w:tr2bl w:val="nil"/>
                  </w:tcBorders>
                  <w:vAlign w:val="center"/>
                </w:tcPr>
                <w:p w14:paraId="0BD7AF7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kern w:val="0"/>
                      <w:sz w:val="21"/>
                      <w:szCs w:val="21"/>
                      <w:highlight w:val="none"/>
                      <w:vertAlign w:val="baseline"/>
                    </w:rPr>
                  </w:pPr>
                </w:p>
              </w:tc>
              <w:tc>
                <w:tcPr>
                  <w:tcW w:w="380" w:type="pct"/>
                  <w:vMerge w:val="continue"/>
                  <w:tcBorders>
                    <w:tl2br w:val="nil"/>
                    <w:tr2bl w:val="nil"/>
                  </w:tcBorders>
                  <w:vAlign w:val="center"/>
                </w:tcPr>
                <w:p w14:paraId="5F902AB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380" w:type="pct"/>
                  <w:vMerge w:val="continue"/>
                  <w:tcBorders>
                    <w:tl2br w:val="nil"/>
                    <w:tr2bl w:val="nil"/>
                  </w:tcBorders>
                  <w:vAlign w:val="center"/>
                </w:tcPr>
                <w:p w14:paraId="4A1857D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393" w:type="pct"/>
                  <w:vMerge w:val="continue"/>
                  <w:tcBorders>
                    <w:tl2br w:val="nil"/>
                    <w:tr2bl w:val="nil"/>
                  </w:tcBorders>
                  <w:vAlign w:val="center"/>
                </w:tcPr>
                <w:p w14:paraId="0981FF1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380" w:type="pct"/>
                  <w:tcBorders>
                    <w:tl2br w:val="nil"/>
                    <w:tr2bl w:val="nil"/>
                  </w:tcBorders>
                  <w:vAlign w:val="center"/>
                </w:tcPr>
                <w:p w14:paraId="118E06D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lang w:val="en-US" w:eastAsia="zh-CN"/>
                      <w14:textFill>
                        <w14:solidFill>
                          <w14:schemeClr w14:val="tx1"/>
                        </w14:solidFill>
                      </w14:textFill>
                    </w:rPr>
                    <w:t>名称</w:t>
                  </w:r>
                </w:p>
              </w:tc>
              <w:tc>
                <w:tcPr>
                  <w:tcW w:w="380" w:type="pct"/>
                  <w:tcBorders>
                    <w:tl2br w:val="nil"/>
                    <w:tr2bl w:val="nil"/>
                  </w:tcBorders>
                  <w:vAlign w:val="center"/>
                </w:tcPr>
                <w:p w14:paraId="73E9EC8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lang w:val="en-US" w:eastAsia="zh-CN"/>
                      <w14:textFill>
                        <w14:solidFill>
                          <w14:schemeClr w14:val="tx1"/>
                        </w14:solidFill>
                      </w14:textFill>
                    </w:rPr>
                    <w:t>污染物种类</w:t>
                  </w:r>
                </w:p>
              </w:tc>
              <w:tc>
                <w:tcPr>
                  <w:tcW w:w="852" w:type="pct"/>
                  <w:tcBorders>
                    <w:tl2br w:val="nil"/>
                    <w:tr2bl w:val="nil"/>
                  </w:tcBorders>
                  <w:vAlign w:val="center"/>
                </w:tcPr>
                <w:p w14:paraId="39EAA45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t>彩云湖污水处理厂出水水质标准</w:t>
                  </w:r>
                  <w:r>
                    <w:rPr>
                      <w:rFonts w:hint="default" w:ascii="Times New Roman" w:hAnsi="Times New Roman" w:cs="Times New Roman"/>
                      <w:b w:val="0"/>
                      <w:bCs/>
                      <w:color w:val="000000" w:themeColor="text1"/>
                      <w:kern w:val="0"/>
                      <w:sz w:val="21"/>
                      <w:szCs w:val="21"/>
                      <w:highlight w:val="none"/>
                      <w:vertAlign w:val="baseline"/>
                      <w:lang w:eastAsia="zh-CN"/>
                      <w14:textFill>
                        <w14:solidFill>
                          <w14:schemeClr w14:val="tx1"/>
                        </w14:solidFill>
                      </w14:textFill>
                    </w:rPr>
                    <w:t>（</w:t>
                  </w:r>
                  <w:r>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t>mg/L</w:t>
                  </w:r>
                  <w:r>
                    <w:rPr>
                      <w:rFonts w:hint="default" w:ascii="Times New Roman" w:hAnsi="Times New Roman" w:cs="Times New Roman"/>
                      <w:b w:val="0"/>
                      <w:bCs/>
                      <w:color w:val="000000" w:themeColor="text1"/>
                      <w:kern w:val="0"/>
                      <w:sz w:val="21"/>
                      <w:szCs w:val="21"/>
                      <w:highlight w:val="none"/>
                      <w:vertAlign w:val="baseline"/>
                      <w:lang w:eastAsia="zh-CN"/>
                      <w14:textFill>
                        <w14:solidFill>
                          <w14:schemeClr w14:val="tx1"/>
                        </w14:solidFill>
                      </w14:textFill>
                    </w:rPr>
                    <w:t>）</w:t>
                  </w:r>
                </w:p>
              </w:tc>
            </w:tr>
            <w:tr w14:paraId="5855DA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1" w:type="pct"/>
                  <w:vMerge w:val="restart"/>
                  <w:tcBorders>
                    <w:tl2br w:val="nil"/>
                    <w:tr2bl w:val="nil"/>
                  </w:tcBorders>
                  <w:shd w:val="clear" w:color="auto" w:fill="auto"/>
                  <w:vAlign w:val="center"/>
                </w:tcPr>
                <w:p w14:paraId="7BCDF66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lang w:val="en-US" w:eastAsia="zh-CN"/>
                      <w14:textFill>
                        <w14:solidFill>
                          <w14:schemeClr w14:val="tx1"/>
                        </w14:solidFill>
                      </w14:textFill>
                    </w:rPr>
                    <w:t>1</w:t>
                  </w:r>
                </w:p>
              </w:tc>
              <w:tc>
                <w:tcPr>
                  <w:tcW w:w="511" w:type="pct"/>
                  <w:vMerge w:val="restart"/>
                  <w:tcBorders>
                    <w:tl2br w:val="nil"/>
                    <w:tr2bl w:val="nil"/>
                  </w:tcBorders>
                  <w:shd w:val="clear" w:color="auto" w:fill="auto"/>
                  <w:vAlign w:val="center"/>
                </w:tcPr>
                <w:p w14:paraId="11240F4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lang w:val="en-US" w:eastAsia="zh-CN"/>
                      <w14:textFill>
                        <w14:solidFill>
                          <w14:schemeClr w14:val="tx1"/>
                        </w14:solidFill>
                      </w14:textFill>
                    </w:rPr>
                    <w:t>DW001</w:t>
                  </w:r>
                </w:p>
              </w:tc>
              <w:tc>
                <w:tcPr>
                  <w:tcW w:w="571" w:type="pct"/>
                  <w:vMerge w:val="restart"/>
                  <w:tcBorders>
                    <w:tl2br w:val="nil"/>
                    <w:tr2bl w:val="nil"/>
                  </w:tcBorders>
                  <w:vAlign w:val="center"/>
                </w:tcPr>
                <w:p w14:paraId="2DE7135F">
                  <w:pPr>
                    <w:pStyle w:val="41"/>
                    <w:keepNext w:val="0"/>
                    <w:keepLines w:val="0"/>
                    <w:pageBreakBefore w:val="0"/>
                    <w:widowControl w:val="0"/>
                    <w:kinsoku/>
                    <w:wordWrap/>
                    <w:overflowPunct/>
                    <w:topLinePunct w:val="0"/>
                    <w:autoSpaceDE/>
                    <w:autoSpaceDN/>
                    <w:bidi w:val="0"/>
                    <w:adjustRightInd w:val="0"/>
                    <w:snapToGrid w:val="0"/>
                    <w:spacing w:beforeLines="0" w:afterLines="0"/>
                    <w:ind w:left="0" w:leftChars="0" w:firstLine="0" w:firstLineChars="0"/>
                    <w:jc w:val="center"/>
                    <w:textAlignment w:val="baseline"/>
                    <w:rPr>
                      <w:rFonts w:hint="default" w:ascii="Times New Roman" w:hAnsi="Times New Roman" w:eastAsia="宋体" w:cs="Times New Roman"/>
                      <w:b w:val="0"/>
                      <w:bCs/>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val="en-US" w:eastAsia="zh-CN" w:bidi="ar-SA"/>
                      <w14:textFill>
                        <w14:solidFill>
                          <w14:schemeClr w14:val="tx1"/>
                        </w14:solidFill>
                      </w14:textFill>
                    </w:rPr>
                    <w:t>106°27′52.180″</w:t>
                  </w:r>
                </w:p>
              </w:tc>
              <w:tc>
                <w:tcPr>
                  <w:tcW w:w="529" w:type="pct"/>
                  <w:vMerge w:val="restart"/>
                  <w:tcBorders>
                    <w:tl2br w:val="nil"/>
                    <w:tr2bl w:val="nil"/>
                  </w:tcBorders>
                  <w:vAlign w:val="center"/>
                </w:tcPr>
                <w:p w14:paraId="59965EBF">
                  <w:pPr>
                    <w:pStyle w:val="41"/>
                    <w:keepNext w:val="0"/>
                    <w:keepLines w:val="0"/>
                    <w:pageBreakBefore w:val="0"/>
                    <w:widowControl w:val="0"/>
                    <w:kinsoku/>
                    <w:wordWrap/>
                    <w:overflowPunct/>
                    <w:topLinePunct w:val="0"/>
                    <w:autoSpaceDE/>
                    <w:autoSpaceDN/>
                    <w:bidi w:val="0"/>
                    <w:adjustRightInd w:val="0"/>
                    <w:snapToGrid w:val="0"/>
                    <w:spacing w:beforeLines="0" w:afterLines="0"/>
                    <w:ind w:left="0" w:leftChars="0" w:firstLine="0" w:firstLineChars="0"/>
                    <w:jc w:val="center"/>
                    <w:textAlignment w:val="baseline"/>
                    <w:rPr>
                      <w:rFonts w:hint="default" w:ascii="Times New Roman" w:hAnsi="Times New Roman" w:eastAsia="宋体" w:cs="Times New Roman"/>
                      <w:b w:val="0"/>
                      <w:bCs/>
                      <w:color w:val="000000" w:themeColor="text1"/>
                      <w:kern w:val="0"/>
                      <w:sz w:val="21"/>
                      <w:szCs w:val="21"/>
                      <w:highlight w:val="none"/>
                      <w:vertAlign w:val="baseline"/>
                      <w:lang w:val="en-US" w:eastAsia="zh-CN" w:bidi="ar-SA"/>
                      <w14:textFill>
                        <w14:solidFill>
                          <w14:schemeClr w14:val="tx1"/>
                        </w14:solidFill>
                      </w14:textFill>
                    </w:rPr>
                  </w:pPr>
                  <w:r>
                    <w:rPr>
                      <w:rFonts w:hint="eastAsia" w:ascii="Times New Roman" w:cs="Times New Roman"/>
                      <w:b w:val="0"/>
                      <w:bCs/>
                      <w:color w:val="000000" w:themeColor="text1"/>
                      <w:kern w:val="0"/>
                      <w:sz w:val="21"/>
                      <w:szCs w:val="21"/>
                      <w:highlight w:val="none"/>
                      <w:vertAlign w:val="baseline"/>
                      <w:lang w:val="en-US" w:eastAsia="zh-CN" w:bidi="ar-SA"/>
                      <w14:textFill>
                        <w14:solidFill>
                          <w14:schemeClr w14:val="tx1"/>
                        </w14:solidFill>
                      </w14:textFill>
                    </w:rPr>
                    <w:t>29°30′21.984</w:t>
                  </w:r>
                  <w:r>
                    <w:rPr>
                      <w:rFonts w:hint="default" w:ascii="Times New Roman" w:hAnsi="Times New Roman" w:eastAsia="宋体" w:cs="Times New Roman"/>
                      <w:b w:val="0"/>
                      <w:bCs/>
                      <w:color w:val="000000" w:themeColor="text1"/>
                      <w:kern w:val="0"/>
                      <w:sz w:val="21"/>
                      <w:szCs w:val="21"/>
                      <w:highlight w:val="none"/>
                      <w:vertAlign w:val="baseline"/>
                      <w:lang w:val="en-US" w:eastAsia="zh-CN" w:bidi="ar-SA"/>
                      <w14:textFill>
                        <w14:solidFill>
                          <w14:schemeClr w14:val="tx1"/>
                        </w14:solidFill>
                      </w14:textFill>
                    </w:rPr>
                    <w:t>″</w:t>
                  </w:r>
                </w:p>
              </w:tc>
              <w:tc>
                <w:tcPr>
                  <w:tcW w:w="380" w:type="pct"/>
                  <w:vMerge w:val="restart"/>
                  <w:tcBorders>
                    <w:tl2br w:val="nil"/>
                    <w:tr2bl w:val="nil"/>
                  </w:tcBorders>
                  <w:vAlign w:val="center"/>
                </w:tcPr>
                <w:p w14:paraId="75262A3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kern w:val="0"/>
                      <w:sz w:val="21"/>
                      <w:szCs w:val="21"/>
                      <w:highlight w:val="none"/>
                      <w:vertAlign w:val="baseline"/>
                      <w:lang w:val="en-US"/>
                    </w:rPr>
                  </w:pPr>
                  <w:r>
                    <w:rPr>
                      <w:rFonts w:hint="eastAsia" w:cs="Times New Roman"/>
                      <w:b w:val="0"/>
                      <w:bCs/>
                      <w:color w:val="auto"/>
                      <w:spacing w:val="0"/>
                      <w:sz w:val="21"/>
                      <w:szCs w:val="21"/>
                      <w:highlight w:val="none"/>
                      <w:vertAlign w:val="baseline"/>
                      <w:lang w:val="en-US" w:eastAsia="zh-CN"/>
                    </w:rPr>
                    <w:t>0.04891356</w:t>
                  </w:r>
                </w:p>
              </w:tc>
              <w:tc>
                <w:tcPr>
                  <w:tcW w:w="380" w:type="pct"/>
                  <w:vMerge w:val="restart"/>
                  <w:tcBorders>
                    <w:tl2br w:val="nil"/>
                    <w:tr2bl w:val="nil"/>
                  </w:tcBorders>
                  <w:vAlign w:val="center"/>
                </w:tcPr>
                <w:p w14:paraId="78699EC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市政污水管网→</w:t>
                  </w:r>
                  <w:r>
                    <w:rPr>
                      <w:rFonts w:hint="eastAsia" w:cs="Times New Roman"/>
                      <w:color w:val="000000" w:themeColor="text1"/>
                      <w:sz w:val="21"/>
                      <w:szCs w:val="21"/>
                      <w:highlight w:val="none"/>
                      <w:lang w:val="en-US" w:eastAsia="zh-CN"/>
                      <w14:textFill>
                        <w14:solidFill>
                          <w14:schemeClr w14:val="tx1"/>
                        </w14:solidFill>
                      </w14:textFill>
                    </w:rPr>
                    <w:t>彩云湖污水处理厂</w:t>
                  </w:r>
                </w:p>
                <w:p w14:paraId="6979C54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t>→彩云湖湿地公园和桃花溪景观补水→</w:t>
                  </w:r>
                  <w:r>
                    <w:rPr>
                      <w:rFonts w:hint="eastAsia" w:cs="Times New Roman"/>
                      <w:b w:val="0"/>
                      <w:bCs/>
                      <w:color w:val="000000" w:themeColor="text1"/>
                      <w:kern w:val="0"/>
                      <w:sz w:val="21"/>
                      <w:szCs w:val="21"/>
                      <w:highlight w:val="none"/>
                      <w:vertAlign w:val="baseline"/>
                      <w:lang w:val="en-US" w:eastAsia="zh-CN"/>
                      <w14:textFill>
                        <w14:solidFill>
                          <w14:schemeClr w14:val="tx1"/>
                        </w14:solidFill>
                      </w14:textFill>
                    </w:rPr>
                    <w:t>长江</w:t>
                  </w:r>
                </w:p>
              </w:tc>
              <w:tc>
                <w:tcPr>
                  <w:tcW w:w="380" w:type="pct"/>
                  <w:vMerge w:val="restart"/>
                  <w:tcBorders>
                    <w:tl2br w:val="nil"/>
                    <w:tr2bl w:val="nil"/>
                  </w:tcBorders>
                  <w:vAlign w:val="center"/>
                </w:tcPr>
                <w:p w14:paraId="2BE5E4A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t>间断排</w:t>
                  </w:r>
                </w:p>
                <w:p w14:paraId="2C0AA77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t>放，排放期间流量不稳定，但有规律且不属于非周期性</w:t>
                  </w:r>
                </w:p>
                <w:p w14:paraId="01FF415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t>规律</w:t>
                  </w:r>
                </w:p>
              </w:tc>
              <w:tc>
                <w:tcPr>
                  <w:tcW w:w="393" w:type="pct"/>
                  <w:vMerge w:val="restart"/>
                  <w:tcBorders>
                    <w:tl2br w:val="nil"/>
                    <w:tr2bl w:val="nil"/>
                  </w:tcBorders>
                  <w:vAlign w:val="center"/>
                </w:tcPr>
                <w:p w14:paraId="0CF8799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lang w:val="en-US" w:eastAsia="zh-CN"/>
                      <w14:textFill>
                        <w14:solidFill>
                          <w14:schemeClr w14:val="tx1"/>
                        </w14:solidFill>
                      </w14:textFill>
                    </w:rPr>
                    <w:t>0：00~24：00</w:t>
                  </w:r>
                </w:p>
              </w:tc>
              <w:tc>
                <w:tcPr>
                  <w:tcW w:w="380" w:type="pct"/>
                  <w:vMerge w:val="restart"/>
                  <w:tcBorders>
                    <w:tl2br w:val="nil"/>
                    <w:tr2bl w:val="nil"/>
                  </w:tcBorders>
                  <w:shd w:val="clear" w:color="auto" w:fill="auto"/>
                  <w:vAlign w:val="center"/>
                </w:tcPr>
                <w:p w14:paraId="309BF8E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kern w:val="2"/>
                      <w:sz w:val="21"/>
                      <w:szCs w:val="21"/>
                      <w:highlight w:val="none"/>
                      <w:vertAlign w:val="baseline"/>
                      <w:lang w:val="en-US" w:eastAsia="zh-CN" w:bidi="ar-SA"/>
                      <w14:textFill>
                        <w14:solidFill>
                          <w14:schemeClr w14:val="tx1"/>
                        </w14:solidFill>
                      </w14:textFill>
                    </w:rPr>
                  </w:pPr>
                  <w:r>
                    <w:rPr>
                      <w:rFonts w:hint="eastAsia" w:cs="Times New Roman"/>
                      <w:b w:val="0"/>
                      <w:bCs/>
                      <w:color w:val="000000" w:themeColor="text1"/>
                      <w:spacing w:val="0"/>
                      <w:kern w:val="2"/>
                      <w:sz w:val="21"/>
                      <w:szCs w:val="21"/>
                      <w:highlight w:val="none"/>
                      <w:vertAlign w:val="baseline"/>
                      <w:lang w:val="en-US" w:eastAsia="zh-CN" w:bidi="ar-SA"/>
                      <w14:textFill>
                        <w14:solidFill>
                          <w14:schemeClr w14:val="tx1"/>
                        </w14:solidFill>
                      </w14:textFill>
                    </w:rPr>
                    <w:t>彩云湖污水处理厂</w:t>
                  </w:r>
                </w:p>
              </w:tc>
              <w:tc>
                <w:tcPr>
                  <w:tcW w:w="380" w:type="pct"/>
                  <w:tcBorders>
                    <w:tl2br w:val="nil"/>
                    <w:tr2bl w:val="nil"/>
                  </w:tcBorders>
                  <w:shd w:val="clear" w:color="auto" w:fill="auto"/>
                  <w:vAlign w:val="center"/>
                </w:tcPr>
                <w:p w14:paraId="7DC4540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 w:val="0"/>
                      <w:bCs/>
                      <w:color w:val="000000" w:themeColor="text1"/>
                      <w:spacing w:val="0"/>
                      <w:sz w:val="21"/>
                      <w:szCs w:val="21"/>
                      <w:highlight w:val="none"/>
                      <w:vertAlign w:val="baseline"/>
                      <w:lang w:val="en-US" w:eastAsia="zh-CN"/>
                      <w14:textFill>
                        <w14:solidFill>
                          <w14:schemeClr w14:val="tx1"/>
                        </w14:solidFill>
                      </w14:textFill>
                    </w:rPr>
                    <w:t>pH</w:t>
                  </w:r>
                </w:p>
              </w:tc>
              <w:tc>
                <w:tcPr>
                  <w:tcW w:w="852" w:type="pct"/>
                  <w:tcBorders>
                    <w:tl2br w:val="nil"/>
                    <w:tr2bl w:val="nil"/>
                  </w:tcBorders>
                  <w:shd w:val="clear" w:color="auto" w:fill="auto"/>
                  <w:vAlign w:val="center"/>
                </w:tcPr>
                <w:p w14:paraId="0F20F4F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 w:val="0"/>
                      <w:bCs/>
                      <w:color w:val="000000" w:themeColor="text1"/>
                      <w:spacing w:val="0"/>
                      <w:sz w:val="21"/>
                      <w:szCs w:val="21"/>
                      <w:highlight w:val="none"/>
                      <w:vertAlign w:val="baseline"/>
                      <w:lang w:val="en-US" w:eastAsia="zh-CN"/>
                      <w14:textFill>
                        <w14:solidFill>
                          <w14:schemeClr w14:val="tx1"/>
                        </w14:solidFill>
                      </w14:textFill>
                    </w:rPr>
                    <w:t>6~-9</w:t>
                  </w:r>
                </w:p>
              </w:tc>
            </w:tr>
            <w:tr w14:paraId="232463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1" w:type="pct"/>
                  <w:vMerge w:val="continue"/>
                  <w:tcBorders>
                    <w:tl2br w:val="nil"/>
                    <w:tr2bl w:val="nil"/>
                  </w:tcBorders>
                  <w:vAlign w:val="center"/>
                </w:tcPr>
                <w:p w14:paraId="43D6BA0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511" w:type="pct"/>
                  <w:vMerge w:val="continue"/>
                  <w:tcBorders>
                    <w:tl2br w:val="nil"/>
                    <w:tr2bl w:val="nil"/>
                  </w:tcBorders>
                  <w:vAlign w:val="center"/>
                </w:tcPr>
                <w:p w14:paraId="6571ACD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571" w:type="pct"/>
                  <w:vMerge w:val="continue"/>
                  <w:tcBorders>
                    <w:tl2br w:val="nil"/>
                    <w:tr2bl w:val="nil"/>
                  </w:tcBorders>
                  <w:vAlign w:val="center"/>
                </w:tcPr>
                <w:p w14:paraId="1C8827C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bidi="ar-SA"/>
                      <w14:textFill>
                        <w14:solidFill>
                          <w14:schemeClr w14:val="tx1"/>
                        </w14:solidFill>
                      </w14:textFill>
                    </w:rPr>
                  </w:pPr>
                </w:p>
              </w:tc>
              <w:tc>
                <w:tcPr>
                  <w:tcW w:w="529" w:type="pct"/>
                  <w:vMerge w:val="continue"/>
                  <w:tcBorders>
                    <w:tl2br w:val="nil"/>
                    <w:tr2bl w:val="nil"/>
                  </w:tcBorders>
                  <w:vAlign w:val="center"/>
                </w:tcPr>
                <w:p w14:paraId="194CF34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bidi="ar-SA"/>
                      <w14:textFill>
                        <w14:solidFill>
                          <w14:schemeClr w14:val="tx1"/>
                        </w14:solidFill>
                      </w14:textFill>
                    </w:rPr>
                  </w:pPr>
                </w:p>
              </w:tc>
              <w:tc>
                <w:tcPr>
                  <w:tcW w:w="380" w:type="pct"/>
                  <w:vMerge w:val="continue"/>
                  <w:tcBorders>
                    <w:tl2br w:val="nil"/>
                    <w:tr2bl w:val="nil"/>
                  </w:tcBorders>
                  <w:vAlign w:val="center"/>
                </w:tcPr>
                <w:p w14:paraId="0B9CC42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380" w:type="pct"/>
                  <w:vMerge w:val="continue"/>
                  <w:tcBorders>
                    <w:tl2br w:val="nil"/>
                    <w:tr2bl w:val="nil"/>
                  </w:tcBorders>
                  <w:vAlign w:val="center"/>
                </w:tcPr>
                <w:p w14:paraId="1809076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380" w:type="pct"/>
                  <w:vMerge w:val="continue"/>
                  <w:tcBorders>
                    <w:tl2br w:val="nil"/>
                    <w:tr2bl w:val="nil"/>
                  </w:tcBorders>
                  <w:vAlign w:val="center"/>
                </w:tcPr>
                <w:p w14:paraId="02AA7FC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393" w:type="pct"/>
                  <w:vMerge w:val="continue"/>
                  <w:tcBorders>
                    <w:tl2br w:val="nil"/>
                    <w:tr2bl w:val="nil"/>
                  </w:tcBorders>
                  <w:vAlign w:val="center"/>
                </w:tcPr>
                <w:p w14:paraId="5E4D49D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380" w:type="pct"/>
                  <w:vMerge w:val="continue"/>
                  <w:tcBorders>
                    <w:tl2br w:val="nil"/>
                    <w:tr2bl w:val="nil"/>
                  </w:tcBorders>
                  <w:shd w:val="clear" w:color="auto" w:fill="auto"/>
                  <w:vAlign w:val="center"/>
                </w:tcPr>
                <w:p w14:paraId="113876A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kern w:val="2"/>
                      <w:sz w:val="21"/>
                      <w:szCs w:val="21"/>
                      <w:highlight w:val="none"/>
                      <w:vertAlign w:val="baseline"/>
                      <w:lang w:val="en-US" w:eastAsia="zh-CN" w:bidi="ar-SA"/>
                      <w14:textFill>
                        <w14:solidFill>
                          <w14:schemeClr w14:val="tx1"/>
                        </w14:solidFill>
                      </w14:textFill>
                    </w:rPr>
                  </w:pPr>
                </w:p>
              </w:tc>
              <w:tc>
                <w:tcPr>
                  <w:tcW w:w="380" w:type="pct"/>
                  <w:tcBorders>
                    <w:tl2br w:val="nil"/>
                    <w:tr2bl w:val="nil"/>
                  </w:tcBorders>
                  <w:shd w:val="clear" w:color="auto" w:fill="auto"/>
                  <w:vAlign w:val="center"/>
                </w:tcPr>
                <w:p w14:paraId="31F674D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 w:val="0"/>
                      <w:bCs/>
                      <w:color w:val="000000" w:themeColor="text1"/>
                      <w:spacing w:val="0"/>
                      <w:sz w:val="21"/>
                      <w:szCs w:val="21"/>
                      <w:highlight w:val="none"/>
                      <w:vertAlign w:val="baseline"/>
                      <w:lang w:val="en-US" w:eastAsia="zh-CN"/>
                      <w14:textFill>
                        <w14:solidFill>
                          <w14:schemeClr w14:val="tx1"/>
                        </w14:solidFill>
                      </w14:textFill>
                    </w:rPr>
                    <w:t>COD</w:t>
                  </w:r>
                </w:p>
              </w:tc>
              <w:tc>
                <w:tcPr>
                  <w:tcW w:w="852" w:type="pct"/>
                  <w:tcBorders>
                    <w:tl2br w:val="nil"/>
                    <w:tr2bl w:val="nil"/>
                  </w:tcBorders>
                  <w:shd w:val="clear" w:color="auto" w:fill="auto"/>
                  <w:vAlign w:val="center"/>
                </w:tcPr>
                <w:p w14:paraId="138A510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kern w:val="2"/>
                      <w:sz w:val="21"/>
                      <w:szCs w:val="21"/>
                      <w:highlight w:val="none"/>
                      <w:vertAlign w:val="baseline"/>
                      <w:lang w:val="en-US" w:eastAsia="zh-CN" w:bidi="ar-SA"/>
                      <w14:textFill>
                        <w14:solidFill>
                          <w14:schemeClr w14:val="tx1"/>
                        </w14:solidFill>
                      </w14:textFill>
                    </w:rPr>
                  </w:pPr>
                  <w:r>
                    <w:rPr>
                      <w:rFonts w:hint="eastAsia" w:cs="Times New Roman"/>
                      <w:b w:val="0"/>
                      <w:bCs/>
                      <w:color w:val="000000" w:themeColor="text1"/>
                      <w:spacing w:val="0"/>
                      <w:sz w:val="21"/>
                      <w:szCs w:val="21"/>
                      <w:highlight w:val="none"/>
                      <w:vertAlign w:val="baseline"/>
                      <w:lang w:val="en-US" w:eastAsia="zh-CN"/>
                      <w14:textFill>
                        <w14:solidFill>
                          <w14:schemeClr w14:val="tx1"/>
                        </w14:solidFill>
                      </w14:textFill>
                    </w:rPr>
                    <w:t>30</w:t>
                  </w:r>
                </w:p>
              </w:tc>
            </w:tr>
            <w:tr w14:paraId="750BF0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1" w:type="pct"/>
                  <w:vMerge w:val="continue"/>
                  <w:tcBorders>
                    <w:tl2br w:val="nil"/>
                    <w:tr2bl w:val="nil"/>
                  </w:tcBorders>
                  <w:vAlign w:val="center"/>
                </w:tcPr>
                <w:p w14:paraId="6592A25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511" w:type="pct"/>
                  <w:vMerge w:val="continue"/>
                  <w:tcBorders>
                    <w:tl2br w:val="nil"/>
                    <w:tr2bl w:val="nil"/>
                  </w:tcBorders>
                  <w:vAlign w:val="center"/>
                </w:tcPr>
                <w:p w14:paraId="7ABB0F6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571" w:type="pct"/>
                  <w:vMerge w:val="continue"/>
                  <w:tcBorders>
                    <w:tl2br w:val="nil"/>
                    <w:tr2bl w:val="nil"/>
                  </w:tcBorders>
                  <w:vAlign w:val="center"/>
                </w:tcPr>
                <w:p w14:paraId="421B94B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bidi="ar-SA"/>
                      <w14:textFill>
                        <w14:solidFill>
                          <w14:schemeClr w14:val="tx1"/>
                        </w14:solidFill>
                      </w14:textFill>
                    </w:rPr>
                  </w:pPr>
                </w:p>
              </w:tc>
              <w:tc>
                <w:tcPr>
                  <w:tcW w:w="529" w:type="pct"/>
                  <w:vMerge w:val="continue"/>
                  <w:tcBorders>
                    <w:tl2br w:val="nil"/>
                    <w:tr2bl w:val="nil"/>
                  </w:tcBorders>
                  <w:vAlign w:val="center"/>
                </w:tcPr>
                <w:p w14:paraId="5E39E72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bidi="ar-SA"/>
                      <w14:textFill>
                        <w14:solidFill>
                          <w14:schemeClr w14:val="tx1"/>
                        </w14:solidFill>
                      </w14:textFill>
                    </w:rPr>
                  </w:pPr>
                </w:p>
              </w:tc>
              <w:tc>
                <w:tcPr>
                  <w:tcW w:w="380" w:type="pct"/>
                  <w:vMerge w:val="continue"/>
                  <w:tcBorders>
                    <w:tl2br w:val="nil"/>
                    <w:tr2bl w:val="nil"/>
                  </w:tcBorders>
                  <w:vAlign w:val="center"/>
                </w:tcPr>
                <w:p w14:paraId="6FE666C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380" w:type="pct"/>
                  <w:vMerge w:val="continue"/>
                  <w:tcBorders>
                    <w:tl2br w:val="nil"/>
                    <w:tr2bl w:val="nil"/>
                  </w:tcBorders>
                  <w:vAlign w:val="center"/>
                </w:tcPr>
                <w:p w14:paraId="4B87772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380" w:type="pct"/>
                  <w:vMerge w:val="continue"/>
                  <w:tcBorders>
                    <w:tl2br w:val="nil"/>
                    <w:tr2bl w:val="nil"/>
                  </w:tcBorders>
                  <w:vAlign w:val="center"/>
                </w:tcPr>
                <w:p w14:paraId="729A9BD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393" w:type="pct"/>
                  <w:vMerge w:val="continue"/>
                  <w:tcBorders>
                    <w:tl2br w:val="nil"/>
                    <w:tr2bl w:val="nil"/>
                  </w:tcBorders>
                  <w:vAlign w:val="center"/>
                </w:tcPr>
                <w:p w14:paraId="731D48C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380" w:type="pct"/>
                  <w:vMerge w:val="continue"/>
                  <w:tcBorders>
                    <w:tl2br w:val="nil"/>
                    <w:tr2bl w:val="nil"/>
                  </w:tcBorders>
                  <w:shd w:val="clear" w:color="auto" w:fill="auto"/>
                  <w:vAlign w:val="center"/>
                </w:tcPr>
                <w:p w14:paraId="70C53D1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kern w:val="2"/>
                      <w:sz w:val="21"/>
                      <w:szCs w:val="21"/>
                      <w:highlight w:val="none"/>
                      <w:vertAlign w:val="baseline"/>
                      <w:lang w:val="en-US" w:eastAsia="zh-CN" w:bidi="ar-SA"/>
                      <w14:textFill>
                        <w14:solidFill>
                          <w14:schemeClr w14:val="tx1"/>
                        </w14:solidFill>
                      </w14:textFill>
                    </w:rPr>
                  </w:pPr>
                </w:p>
              </w:tc>
              <w:tc>
                <w:tcPr>
                  <w:tcW w:w="380" w:type="pct"/>
                  <w:tcBorders>
                    <w:tl2br w:val="nil"/>
                    <w:tr2bl w:val="nil"/>
                  </w:tcBorders>
                  <w:shd w:val="clear" w:color="auto" w:fill="auto"/>
                  <w:vAlign w:val="center"/>
                </w:tcPr>
                <w:p w14:paraId="693FB8F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 w:val="0"/>
                      <w:bCs/>
                      <w:color w:val="000000" w:themeColor="text1"/>
                      <w:spacing w:val="0"/>
                      <w:sz w:val="21"/>
                      <w:szCs w:val="21"/>
                      <w:highlight w:val="none"/>
                      <w:vertAlign w:val="baseline"/>
                      <w:lang w:val="en-US" w:eastAsia="zh-CN"/>
                      <w14:textFill>
                        <w14:solidFill>
                          <w14:schemeClr w14:val="tx1"/>
                        </w14:solidFill>
                      </w14:textFill>
                    </w:rPr>
                    <w:t>BOD</w:t>
                  </w:r>
                  <w:r>
                    <w:rPr>
                      <w:rFonts w:hint="default" w:ascii="Times New Roman" w:hAnsi="Times New Roman" w:cs="Times New Roman"/>
                      <w:b w:val="0"/>
                      <w:bCs/>
                      <w:color w:val="000000" w:themeColor="text1"/>
                      <w:spacing w:val="0"/>
                      <w:sz w:val="21"/>
                      <w:szCs w:val="21"/>
                      <w:highlight w:val="none"/>
                      <w:vertAlign w:val="subscript"/>
                      <w:lang w:val="en-US" w:eastAsia="zh-CN"/>
                      <w14:textFill>
                        <w14:solidFill>
                          <w14:schemeClr w14:val="tx1"/>
                        </w14:solidFill>
                      </w14:textFill>
                    </w:rPr>
                    <w:t>5</w:t>
                  </w:r>
                </w:p>
              </w:tc>
              <w:tc>
                <w:tcPr>
                  <w:tcW w:w="852" w:type="pct"/>
                  <w:tcBorders>
                    <w:tl2br w:val="nil"/>
                    <w:tr2bl w:val="nil"/>
                  </w:tcBorders>
                  <w:shd w:val="clear" w:color="auto" w:fill="auto"/>
                  <w:vAlign w:val="center"/>
                </w:tcPr>
                <w:p w14:paraId="7F3BE5E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kern w:val="2"/>
                      <w:sz w:val="21"/>
                      <w:szCs w:val="21"/>
                      <w:highlight w:val="none"/>
                      <w:vertAlign w:val="baseline"/>
                      <w:lang w:val="en-US" w:eastAsia="zh-CN" w:bidi="ar-SA"/>
                      <w14:textFill>
                        <w14:solidFill>
                          <w14:schemeClr w14:val="tx1"/>
                        </w14:solidFill>
                      </w14:textFill>
                    </w:rPr>
                  </w:pPr>
                  <w:r>
                    <w:rPr>
                      <w:rFonts w:hint="eastAsia" w:cs="Times New Roman"/>
                      <w:b w:val="0"/>
                      <w:bCs/>
                      <w:color w:val="000000" w:themeColor="text1"/>
                      <w:spacing w:val="0"/>
                      <w:sz w:val="21"/>
                      <w:szCs w:val="21"/>
                      <w:highlight w:val="none"/>
                      <w:vertAlign w:val="baseline"/>
                      <w:lang w:val="en-US" w:eastAsia="zh-CN"/>
                      <w14:textFill>
                        <w14:solidFill>
                          <w14:schemeClr w14:val="tx1"/>
                        </w14:solidFill>
                      </w14:textFill>
                    </w:rPr>
                    <w:t>6</w:t>
                  </w:r>
                </w:p>
              </w:tc>
            </w:tr>
            <w:tr w14:paraId="27CBCC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1" w:type="pct"/>
                  <w:vMerge w:val="continue"/>
                  <w:tcBorders>
                    <w:tl2br w:val="nil"/>
                    <w:tr2bl w:val="nil"/>
                  </w:tcBorders>
                  <w:vAlign w:val="center"/>
                </w:tcPr>
                <w:p w14:paraId="4DA21A2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511" w:type="pct"/>
                  <w:vMerge w:val="continue"/>
                  <w:tcBorders>
                    <w:tl2br w:val="nil"/>
                    <w:tr2bl w:val="nil"/>
                  </w:tcBorders>
                  <w:vAlign w:val="center"/>
                </w:tcPr>
                <w:p w14:paraId="3C09FAA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571" w:type="pct"/>
                  <w:vMerge w:val="continue"/>
                  <w:tcBorders>
                    <w:tl2br w:val="nil"/>
                    <w:tr2bl w:val="nil"/>
                  </w:tcBorders>
                  <w:vAlign w:val="center"/>
                </w:tcPr>
                <w:p w14:paraId="15696FA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bidi="ar-SA"/>
                      <w14:textFill>
                        <w14:solidFill>
                          <w14:schemeClr w14:val="tx1"/>
                        </w14:solidFill>
                      </w14:textFill>
                    </w:rPr>
                  </w:pPr>
                </w:p>
              </w:tc>
              <w:tc>
                <w:tcPr>
                  <w:tcW w:w="529" w:type="pct"/>
                  <w:vMerge w:val="continue"/>
                  <w:tcBorders>
                    <w:tl2br w:val="nil"/>
                    <w:tr2bl w:val="nil"/>
                  </w:tcBorders>
                  <w:vAlign w:val="center"/>
                </w:tcPr>
                <w:p w14:paraId="641332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bidi="ar-SA"/>
                      <w14:textFill>
                        <w14:solidFill>
                          <w14:schemeClr w14:val="tx1"/>
                        </w14:solidFill>
                      </w14:textFill>
                    </w:rPr>
                  </w:pPr>
                </w:p>
              </w:tc>
              <w:tc>
                <w:tcPr>
                  <w:tcW w:w="380" w:type="pct"/>
                  <w:vMerge w:val="continue"/>
                  <w:tcBorders>
                    <w:tl2br w:val="nil"/>
                    <w:tr2bl w:val="nil"/>
                  </w:tcBorders>
                  <w:vAlign w:val="center"/>
                </w:tcPr>
                <w:p w14:paraId="5107F68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380" w:type="pct"/>
                  <w:vMerge w:val="continue"/>
                  <w:tcBorders>
                    <w:tl2br w:val="nil"/>
                    <w:tr2bl w:val="nil"/>
                  </w:tcBorders>
                  <w:vAlign w:val="center"/>
                </w:tcPr>
                <w:p w14:paraId="6139757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380" w:type="pct"/>
                  <w:vMerge w:val="continue"/>
                  <w:tcBorders>
                    <w:tl2br w:val="nil"/>
                    <w:tr2bl w:val="nil"/>
                  </w:tcBorders>
                  <w:vAlign w:val="center"/>
                </w:tcPr>
                <w:p w14:paraId="0BD91AA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393" w:type="pct"/>
                  <w:vMerge w:val="continue"/>
                  <w:tcBorders>
                    <w:tl2br w:val="nil"/>
                    <w:tr2bl w:val="nil"/>
                  </w:tcBorders>
                  <w:vAlign w:val="center"/>
                </w:tcPr>
                <w:p w14:paraId="71AAF29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380" w:type="pct"/>
                  <w:vMerge w:val="continue"/>
                  <w:tcBorders>
                    <w:tl2br w:val="nil"/>
                    <w:tr2bl w:val="nil"/>
                  </w:tcBorders>
                  <w:shd w:val="clear" w:color="auto" w:fill="auto"/>
                  <w:vAlign w:val="center"/>
                </w:tcPr>
                <w:p w14:paraId="1DF6AC9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kern w:val="2"/>
                      <w:sz w:val="21"/>
                      <w:szCs w:val="21"/>
                      <w:highlight w:val="none"/>
                      <w:vertAlign w:val="baseline"/>
                      <w:lang w:val="en-US" w:eastAsia="zh-CN" w:bidi="ar-SA"/>
                      <w14:textFill>
                        <w14:solidFill>
                          <w14:schemeClr w14:val="tx1"/>
                        </w14:solidFill>
                      </w14:textFill>
                    </w:rPr>
                  </w:pPr>
                </w:p>
              </w:tc>
              <w:tc>
                <w:tcPr>
                  <w:tcW w:w="380" w:type="pct"/>
                  <w:tcBorders>
                    <w:tl2br w:val="nil"/>
                    <w:tr2bl w:val="nil"/>
                  </w:tcBorders>
                  <w:shd w:val="clear" w:color="auto" w:fill="auto"/>
                  <w:vAlign w:val="center"/>
                </w:tcPr>
                <w:p w14:paraId="4CADC9D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 w:val="0"/>
                      <w:bCs/>
                      <w:color w:val="000000" w:themeColor="text1"/>
                      <w:spacing w:val="0"/>
                      <w:sz w:val="21"/>
                      <w:szCs w:val="21"/>
                      <w:highlight w:val="none"/>
                      <w:vertAlign w:val="baseline"/>
                      <w:lang w:val="en-US" w:eastAsia="zh-CN"/>
                      <w14:textFill>
                        <w14:solidFill>
                          <w14:schemeClr w14:val="tx1"/>
                        </w14:solidFill>
                      </w14:textFill>
                    </w:rPr>
                    <w:t>氨氮</w:t>
                  </w:r>
                </w:p>
              </w:tc>
              <w:tc>
                <w:tcPr>
                  <w:tcW w:w="852" w:type="pct"/>
                  <w:tcBorders>
                    <w:tl2br w:val="nil"/>
                    <w:tr2bl w:val="nil"/>
                  </w:tcBorders>
                  <w:shd w:val="clear" w:color="auto" w:fill="auto"/>
                  <w:vAlign w:val="center"/>
                </w:tcPr>
                <w:p w14:paraId="1685E30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kern w:val="2"/>
                      <w:sz w:val="21"/>
                      <w:szCs w:val="21"/>
                      <w:highlight w:val="none"/>
                      <w:vertAlign w:val="baseline"/>
                      <w:lang w:val="en-US" w:eastAsia="zh-CN" w:bidi="ar-SA"/>
                      <w14:textFill>
                        <w14:solidFill>
                          <w14:schemeClr w14:val="tx1"/>
                        </w14:solidFill>
                      </w14:textFill>
                    </w:rPr>
                  </w:pPr>
                  <w:r>
                    <w:rPr>
                      <w:rFonts w:hint="eastAsia" w:cs="Times New Roman"/>
                      <w:b w:val="0"/>
                      <w:bCs/>
                      <w:color w:val="000000" w:themeColor="text1"/>
                      <w:spacing w:val="0"/>
                      <w:sz w:val="21"/>
                      <w:szCs w:val="21"/>
                      <w:highlight w:val="none"/>
                      <w:vertAlign w:val="baseline"/>
                      <w:lang w:val="en-US" w:eastAsia="zh-CN"/>
                      <w14:textFill>
                        <w14:solidFill>
                          <w14:schemeClr w14:val="tx1"/>
                        </w14:solidFill>
                      </w14:textFill>
                    </w:rPr>
                    <w:t>1.5</w:t>
                  </w:r>
                </w:p>
              </w:tc>
            </w:tr>
            <w:tr w14:paraId="77A8F1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1" w:type="pct"/>
                  <w:vMerge w:val="continue"/>
                  <w:tcBorders>
                    <w:tl2br w:val="nil"/>
                    <w:tr2bl w:val="nil"/>
                  </w:tcBorders>
                  <w:vAlign w:val="center"/>
                </w:tcPr>
                <w:p w14:paraId="4C572AB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511" w:type="pct"/>
                  <w:vMerge w:val="continue"/>
                  <w:tcBorders>
                    <w:tl2br w:val="nil"/>
                    <w:tr2bl w:val="nil"/>
                  </w:tcBorders>
                  <w:vAlign w:val="center"/>
                </w:tcPr>
                <w:p w14:paraId="257942F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571" w:type="pct"/>
                  <w:vMerge w:val="continue"/>
                  <w:tcBorders>
                    <w:tl2br w:val="nil"/>
                    <w:tr2bl w:val="nil"/>
                  </w:tcBorders>
                  <w:vAlign w:val="center"/>
                </w:tcPr>
                <w:p w14:paraId="5637B52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bidi="ar-SA"/>
                      <w14:textFill>
                        <w14:solidFill>
                          <w14:schemeClr w14:val="tx1"/>
                        </w14:solidFill>
                      </w14:textFill>
                    </w:rPr>
                  </w:pPr>
                </w:p>
              </w:tc>
              <w:tc>
                <w:tcPr>
                  <w:tcW w:w="529" w:type="pct"/>
                  <w:vMerge w:val="continue"/>
                  <w:tcBorders>
                    <w:tl2br w:val="nil"/>
                    <w:tr2bl w:val="nil"/>
                  </w:tcBorders>
                  <w:vAlign w:val="center"/>
                </w:tcPr>
                <w:p w14:paraId="4B7FD2D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bidi="ar-SA"/>
                      <w14:textFill>
                        <w14:solidFill>
                          <w14:schemeClr w14:val="tx1"/>
                        </w14:solidFill>
                      </w14:textFill>
                    </w:rPr>
                  </w:pPr>
                </w:p>
              </w:tc>
              <w:tc>
                <w:tcPr>
                  <w:tcW w:w="380" w:type="pct"/>
                  <w:vMerge w:val="continue"/>
                  <w:tcBorders>
                    <w:tl2br w:val="nil"/>
                    <w:tr2bl w:val="nil"/>
                  </w:tcBorders>
                  <w:vAlign w:val="center"/>
                </w:tcPr>
                <w:p w14:paraId="61A98F1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380" w:type="pct"/>
                  <w:vMerge w:val="continue"/>
                  <w:tcBorders>
                    <w:tl2br w:val="nil"/>
                    <w:tr2bl w:val="nil"/>
                  </w:tcBorders>
                  <w:vAlign w:val="center"/>
                </w:tcPr>
                <w:p w14:paraId="141851D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380" w:type="pct"/>
                  <w:vMerge w:val="continue"/>
                  <w:tcBorders>
                    <w:tl2br w:val="nil"/>
                    <w:tr2bl w:val="nil"/>
                  </w:tcBorders>
                  <w:vAlign w:val="center"/>
                </w:tcPr>
                <w:p w14:paraId="3139117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393" w:type="pct"/>
                  <w:vMerge w:val="continue"/>
                  <w:tcBorders>
                    <w:tl2br w:val="nil"/>
                    <w:tr2bl w:val="nil"/>
                  </w:tcBorders>
                  <w:vAlign w:val="center"/>
                </w:tcPr>
                <w:p w14:paraId="540D35A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380" w:type="pct"/>
                  <w:vMerge w:val="continue"/>
                  <w:tcBorders>
                    <w:tl2br w:val="nil"/>
                    <w:tr2bl w:val="nil"/>
                  </w:tcBorders>
                  <w:shd w:val="clear" w:color="auto" w:fill="auto"/>
                  <w:vAlign w:val="center"/>
                </w:tcPr>
                <w:p w14:paraId="3D814F7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kern w:val="2"/>
                      <w:sz w:val="21"/>
                      <w:szCs w:val="21"/>
                      <w:highlight w:val="none"/>
                      <w:vertAlign w:val="baseline"/>
                      <w:lang w:val="en-US" w:eastAsia="zh-CN" w:bidi="ar-SA"/>
                      <w14:textFill>
                        <w14:solidFill>
                          <w14:schemeClr w14:val="tx1"/>
                        </w14:solidFill>
                      </w14:textFill>
                    </w:rPr>
                  </w:pPr>
                </w:p>
              </w:tc>
              <w:tc>
                <w:tcPr>
                  <w:tcW w:w="380" w:type="pct"/>
                  <w:tcBorders>
                    <w:tl2br w:val="nil"/>
                    <w:tr2bl w:val="nil"/>
                  </w:tcBorders>
                  <w:shd w:val="clear" w:color="auto" w:fill="auto"/>
                  <w:vAlign w:val="center"/>
                </w:tcPr>
                <w:p w14:paraId="19836B5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 w:val="0"/>
                      <w:bCs/>
                      <w:color w:val="000000" w:themeColor="text1"/>
                      <w:spacing w:val="0"/>
                      <w:sz w:val="21"/>
                      <w:szCs w:val="21"/>
                      <w:highlight w:val="none"/>
                      <w:vertAlign w:val="baseline"/>
                      <w:lang w:val="en-US" w:eastAsia="zh-CN"/>
                      <w14:textFill>
                        <w14:solidFill>
                          <w14:schemeClr w14:val="tx1"/>
                        </w14:solidFill>
                      </w14:textFill>
                    </w:rPr>
                    <w:t>SS</w:t>
                  </w:r>
                </w:p>
              </w:tc>
              <w:tc>
                <w:tcPr>
                  <w:tcW w:w="852" w:type="pct"/>
                  <w:tcBorders>
                    <w:tl2br w:val="nil"/>
                    <w:tr2bl w:val="nil"/>
                  </w:tcBorders>
                  <w:shd w:val="clear" w:color="auto" w:fill="auto"/>
                  <w:vAlign w:val="center"/>
                </w:tcPr>
                <w:p w14:paraId="722D6A8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 w:val="0"/>
                      <w:bCs/>
                      <w:color w:val="000000" w:themeColor="text1"/>
                      <w:spacing w:val="0"/>
                      <w:sz w:val="21"/>
                      <w:szCs w:val="21"/>
                      <w:highlight w:val="none"/>
                      <w:vertAlign w:val="baseline"/>
                      <w:lang w:val="en-US" w:eastAsia="zh-CN"/>
                      <w14:textFill>
                        <w14:solidFill>
                          <w14:schemeClr w14:val="tx1"/>
                        </w14:solidFill>
                      </w14:textFill>
                    </w:rPr>
                    <w:t>10</w:t>
                  </w:r>
                </w:p>
              </w:tc>
            </w:tr>
            <w:tr w14:paraId="4CBA42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1" w:type="pct"/>
                  <w:vMerge w:val="continue"/>
                  <w:tcBorders>
                    <w:tl2br w:val="nil"/>
                    <w:tr2bl w:val="nil"/>
                  </w:tcBorders>
                  <w:vAlign w:val="center"/>
                </w:tcPr>
                <w:p w14:paraId="0461BD4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511" w:type="pct"/>
                  <w:vMerge w:val="continue"/>
                  <w:tcBorders>
                    <w:tl2br w:val="nil"/>
                    <w:tr2bl w:val="nil"/>
                  </w:tcBorders>
                  <w:vAlign w:val="center"/>
                </w:tcPr>
                <w:p w14:paraId="5F73511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571" w:type="pct"/>
                  <w:vMerge w:val="continue"/>
                  <w:tcBorders>
                    <w:tl2br w:val="nil"/>
                    <w:tr2bl w:val="nil"/>
                  </w:tcBorders>
                  <w:vAlign w:val="center"/>
                </w:tcPr>
                <w:p w14:paraId="3A3013F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bidi="ar-SA"/>
                      <w14:textFill>
                        <w14:solidFill>
                          <w14:schemeClr w14:val="tx1"/>
                        </w14:solidFill>
                      </w14:textFill>
                    </w:rPr>
                  </w:pPr>
                </w:p>
              </w:tc>
              <w:tc>
                <w:tcPr>
                  <w:tcW w:w="529" w:type="pct"/>
                  <w:vMerge w:val="continue"/>
                  <w:tcBorders>
                    <w:tl2br w:val="nil"/>
                    <w:tr2bl w:val="nil"/>
                  </w:tcBorders>
                  <w:vAlign w:val="center"/>
                </w:tcPr>
                <w:p w14:paraId="5B8669B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bidi="ar-SA"/>
                      <w14:textFill>
                        <w14:solidFill>
                          <w14:schemeClr w14:val="tx1"/>
                        </w14:solidFill>
                      </w14:textFill>
                    </w:rPr>
                  </w:pPr>
                </w:p>
              </w:tc>
              <w:tc>
                <w:tcPr>
                  <w:tcW w:w="380" w:type="pct"/>
                  <w:vMerge w:val="continue"/>
                  <w:tcBorders>
                    <w:tl2br w:val="nil"/>
                    <w:tr2bl w:val="nil"/>
                  </w:tcBorders>
                  <w:vAlign w:val="center"/>
                </w:tcPr>
                <w:p w14:paraId="58BD45A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380" w:type="pct"/>
                  <w:vMerge w:val="continue"/>
                  <w:tcBorders>
                    <w:tl2br w:val="nil"/>
                    <w:tr2bl w:val="nil"/>
                  </w:tcBorders>
                  <w:vAlign w:val="center"/>
                </w:tcPr>
                <w:p w14:paraId="0637ADC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380" w:type="pct"/>
                  <w:vMerge w:val="continue"/>
                  <w:tcBorders>
                    <w:tl2br w:val="nil"/>
                    <w:tr2bl w:val="nil"/>
                  </w:tcBorders>
                  <w:vAlign w:val="center"/>
                </w:tcPr>
                <w:p w14:paraId="6B3915A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393" w:type="pct"/>
                  <w:vMerge w:val="continue"/>
                  <w:tcBorders>
                    <w:tl2br w:val="nil"/>
                    <w:tr2bl w:val="nil"/>
                  </w:tcBorders>
                  <w:vAlign w:val="center"/>
                </w:tcPr>
                <w:p w14:paraId="4273F6D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380" w:type="pct"/>
                  <w:vMerge w:val="continue"/>
                  <w:tcBorders>
                    <w:tl2br w:val="nil"/>
                    <w:tr2bl w:val="nil"/>
                  </w:tcBorders>
                  <w:shd w:val="clear" w:color="auto" w:fill="auto"/>
                  <w:vAlign w:val="center"/>
                </w:tcPr>
                <w:p w14:paraId="7CE3118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kern w:val="2"/>
                      <w:sz w:val="21"/>
                      <w:szCs w:val="21"/>
                      <w:highlight w:val="none"/>
                      <w:vertAlign w:val="baseline"/>
                      <w:lang w:val="en-US" w:eastAsia="zh-CN" w:bidi="ar-SA"/>
                      <w14:textFill>
                        <w14:solidFill>
                          <w14:schemeClr w14:val="tx1"/>
                        </w14:solidFill>
                      </w14:textFill>
                    </w:rPr>
                  </w:pPr>
                </w:p>
              </w:tc>
              <w:tc>
                <w:tcPr>
                  <w:tcW w:w="380" w:type="pct"/>
                  <w:tcBorders>
                    <w:tl2br w:val="nil"/>
                    <w:tr2bl w:val="nil"/>
                  </w:tcBorders>
                  <w:shd w:val="clear" w:color="auto" w:fill="auto"/>
                  <w:vAlign w:val="center"/>
                </w:tcPr>
                <w:p w14:paraId="5600B16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 w:val="0"/>
                      <w:bCs/>
                      <w:color w:val="000000" w:themeColor="text1"/>
                      <w:spacing w:val="0"/>
                      <w:sz w:val="21"/>
                      <w:szCs w:val="21"/>
                      <w:highlight w:val="none"/>
                      <w:vertAlign w:val="baseline"/>
                      <w:lang w:val="en-US" w:eastAsia="zh-CN"/>
                      <w14:textFill>
                        <w14:solidFill>
                          <w14:schemeClr w14:val="tx1"/>
                        </w14:solidFill>
                      </w14:textFill>
                    </w:rPr>
                    <w:t>TP</w:t>
                  </w:r>
                </w:p>
              </w:tc>
              <w:tc>
                <w:tcPr>
                  <w:tcW w:w="852" w:type="pct"/>
                  <w:tcBorders>
                    <w:tl2br w:val="nil"/>
                    <w:tr2bl w:val="nil"/>
                  </w:tcBorders>
                  <w:shd w:val="clear" w:color="auto" w:fill="auto"/>
                  <w:vAlign w:val="center"/>
                </w:tcPr>
                <w:p w14:paraId="66F2BAD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 w:val="0"/>
                      <w:bCs/>
                      <w:color w:val="000000" w:themeColor="text1"/>
                      <w:spacing w:val="0"/>
                      <w:sz w:val="21"/>
                      <w:szCs w:val="21"/>
                      <w:highlight w:val="none"/>
                      <w:vertAlign w:val="baseline"/>
                      <w:lang w:val="en-US" w:eastAsia="zh-CN"/>
                      <w14:textFill>
                        <w14:solidFill>
                          <w14:schemeClr w14:val="tx1"/>
                        </w14:solidFill>
                      </w14:textFill>
                    </w:rPr>
                    <w:t>0.</w:t>
                  </w:r>
                  <w:r>
                    <w:rPr>
                      <w:rFonts w:hint="eastAsia" w:cs="Times New Roman"/>
                      <w:b w:val="0"/>
                      <w:bCs/>
                      <w:color w:val="000000" w:themeColor="text1"/>
                      <w:spacing w:val="0"/>
                      <w:sz w:val="21"/>
                      <w:szCs w:val="21"/>
                      <w:highlight w:val="none"/>
                      <w:vertAlign w:val="baseline"/>
                      <w:lang w:val="en-US" w:eastAsia="zh-CN"/>
                      <w14:textFill>
                        <w14:solidFill>
                          <w14:schemeClr w14:val="tx1"/>
                        </w14:solidFill>
                      </w14:textFill>
                    </w:rPr>
                    <w:t>3</w:t>
                  </w:r>
                </w:p>
              </w:tc>
            </w:tr>
            <w:tr w14:paraId="770B72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1" w:type="pct"/>
                  <w:vMerge w:val="continue"/>
                  <w:tcBorders>
                    <w:tl2br w:val="nil"/>
                    <w:tr2bl w:val="nil"/>
                  </w:tcBorders>
                  <w:vAlign w:val="center"/>
                </w:tcPr>
                <w:p w14:paraId="762B09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511" w:type="pct"/>
                  <w:vMerge w:val="continue"/>
                  <w:tcBorders>
                    <w:tl2br w:val="nil"/>
                    <w:tr2bl w:val="nil"/>
                  </w:tcBorders>
                  <w:vAlign w:val="center"/>
                </w:tcPr>
                <w:p w14:paraId="4DAD382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571" w:type="pct"/>
                  <w:vMerge w:val="continue"/>
                  <w:tcBorders>
                    <w:tl2br w:val="nil"/>
                    <w:tr2bl w:val="nil"/>
                  </w:tcBorders>
                  <w:vAlign w:val="center"/>
                </w:tcPr>
                <w:p w14:paraId="79E1C90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bidi="ar-SA"/>
                      <w14:textFill>
                        <w14:solidFill>
                          <w14:schemeClr w14:val="tx1"/>
                        </w14:solidFill>
                      </w14:textFill>
                    </w:rPr>
                  </w:pPr>
                </w:p>
              </w:tc>
              <w:tc>
                <w:tcPr>
                  <w:tcW w:w="529" w:type="pct"/>
                  <w:vMerge w:val="continue"/>
                  <w:tcBorders>
                    <w:tl2br w:val="nil"/>
                    <w:tr2bl w:val="nil"/>
                  </w:tcBorders>
                  <w:vAlign w:val="center"/>
                </w:tcPr>
                <w:p w14:paraId="5AB22D1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bidi="ar-SA"/>
                      <w14:textFill>
                        <w14:solidFill>
                          <w14:schemeClr w14:val="tx1"/>
                        </w14:solidFill>
                      </w14:textFill>
                    </w:rPr>
                  </w:pPr>
                </w:p>
              </w:tc>
              <w:tc>
                <w:tcPr>
                  <w:tcW w:w="380" w:type="pct"/>
                  <w:vMerge w:val="continue"/>
                  <w:tcBorders>
                    <w:tl2br w:val="nil"/>
                    <w:tr2bl w:val="nil"/>
                  </w:tcBorders>
                  <w:vAlign w:val="center"/>
                </w:tcPr>
                <w:p w14:paraId="2A37A84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380" w:type="pct"/>
                  <w:vMerge w:val="continue"/>
                  <w:tcBorders>
                    <w:tl2br w:val="nil"/>
                    <w:tr2bl w:val="nil"/>
                  </w:tcBorders>
                  <w:vAlign w:val="center"/>
                </w:tcPr>
                <w:p w14:paraId="5BEAC97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380" w:type="pct"/>
                  <w:vMerge w:val="continue"/>
                  <w:tcBorders>
                    <w:tl2br w:val="nil"/>
                    <w:tr2bl w:val="nil"/>
                  </w:tcBorders>
                  <w:vAlign w:val="center"/>
                </w:tcPr>
                <w:p w14:paraId="6024A21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393" w:type="pct"/>
                  <w:vMerge w:val="continue"/>
                  <w:tcBorders>
                    <w:tl2br w:val="nil"/>
                    <w:tr2bl w:val="nil"/>
                  </w:tcBorders>
                  <w:vAlign w:val="center"/>
                </w:tcPr>
                <w:p w14:paraId="1059E7C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380" w:type="pct"/>
                  <w:vMerge w:val="continue"/>
                  <w:tcBorders>
                    <w:tl2br w:val="nil"/>
                    <w:tr2bl w:val="nil"/>
                  </w:tcBorders>
                  <w:shd w:val="clear" w:color="auto" w:fill="auto"/>
                  <w:vAlign w:val="center"/>
                </w:tcPr>
                <w:p w14:paraId="579EEA0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kern w:val="2"/>
                      <w:sz w:val="21"/>
                      <w:szCs w:val="21"/>
                      <w:highlight w:val="none"/>
                      <w:vertAlign w:val="baseline"/>
                      <w:lang w:val="en-US" w:eastAsia="zh-CN" w:bidi="ar-SA"/>
                      <w14:textFill>
                        <w14:solidFill>
                          <w14:schemeClr w14:val="tx1"/>
                        </w14:solidFill>
                      </w14:textFill>
                    </w:rPr>
                  </w:pPr>
                </w:p>
              </w:tc>
              <w:tc>
                <w:tcPr>
                  <w:tcW w:w="380" w:type="pct"/>
                  <w:tcBorders>
                    <w:tl2br w:val="nil"/>
                    <w:tr2bl w:val="nil"/>
                  </w:tcBorders>
                  <w:shd w:val="clear" w:color="auto" w:fill="auto"/>
                  <w:vAlign w:val="center"/>
                </w:tcPr>
                <w:p w14:paraId="5BFC33B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 w:val="0"/>
                      <w:bCs/>
                      <w:color w:val="000000" w:themeColor="text1"/>
                      <w:spacing w:val="0"/>
                      <w:sz w:val="21"/>
                      <w:szCs w:val="21"/>
                      <w:highlight w:val="none"/>
                      <w:vertAlign w:val="baseline"/>
                      <w:lang w:val="en-US" w:eastAsia="zh-CN"/>
                      <w14:textFill>
                        <w14:solidFill>
                          <w14:schemeClr w14:val="tx1"/>
                        </w14:solidFill>
                      </w14:textFill>
                    </w:rPr>
                    <w:t>粪大肠菌群</w:t>
                  </w:r>
                </w:p>
              </w:tc>
              <w:tc>
                <w:tcPr>
                  <w:tcW w:w="852" w:type="pct"/>
                  <w:tcBorders>
                    <w:tl2br w:val="nil"/>
                    <w:tr2bl w:val="nil"/>
                  </w:tcBorders>
                  <w:shd w:val="clear" w:color="auto" w:fill="auto"/>
                  <w:vAlign w:val="center"/>
                </w:tcPr>
                <w:p w14:paraId="45B7B4D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 w:val="0"/>
                      <w:bCs/>
                      <w:color w:val="000000" w:themeColor="text1"/>
                      <w:spacing w:val="0"/>
                      <w:sz w:val="21"/>
                      <w:szCs w:val="21"/>
                      <w:highlight w:val="none"/>
                      <w:vertAlign w:val="baseline"/>
                      <w:lang w:val="en-US" w:eastAsia="zh-CN"/>
                      <w14:textFill>
                        <w14:solidFill>
                          <w14:schemeClr w14:val="tx1"/>
                        </w14:solidFill>
                      </w14:textFill>
                    </w:rPr>
                    <w:t>1000个/L</w:t>
                  </w:r>
                </w:p>
              </w:tc>
            </w:tr>
            <w:tr w14:paraId="47AECE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1" w:type="pct"/>
                  <w:vMerge w:val="continue"/>
                  <w:tcBorders>
                    <w:tl2br w:val="nil"/>
                    <w:tr2bl w:val="nil"/>
                  </w:tcBorders>
                  <w:vAlign w:val="center"/>
                </w:tcPr>
                <w:p w14:paraId="4BDA278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511" w:type="pct"/>
                  <w:vMerge w:val="continue"/>
                  <w:tcBorders>
                    <w:tl2br w:val="nil"/>
                    <w:tr2bl w:val="nil"/>
                  </w:tcBorders>
                  <w:vAlign w:val="center"/>
                </w:tcPr>
                <w:p w14:paraId="4027FE2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571" w:type="pct"/>
                  <w:vMerge w:val="continue"/>
                  <w:tcBorders>
                    <w:tl2br w:val="nil"/>
                    <w:tr2bl w:val="nil"/>
                  </w:tcBorders>
                  <w:vAlign w:val="center"/>
                </w:tcPr>
                <w:p w14:paraId="28970C0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bidi="ar-SA"/>
                      <w14:textFill>
                        <w14:solidFill>
                          <w14:schemeClr w14:val="tx1"/>
                        </w14:solidFill>
                      </w14:textFill>
                    </w:rPr>
                  </w:pPr>
                </w:p>
              </w:tc>
              <w:tc>
                <w:tcPr>
                  <w:tcW w:w="529" w:type="pct"/>
                  <w:vMerge w:val="continue"/>
                  <w:tcBorders>
                    <w:tl2br w:val="nil"/>
                    <w:tr2bl w:val="nil"/>
                  </w:tcBorders>
                  <w:vAlign w:val="center"/>
                </w:tcPr>
                <w:p w14:paraId="689B91E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bidi="ar-SA"/>
                      <w14:textFill>
                        <w14:solidFill>
                          <w14:schemeClr w14:val="tx1"/>
                        </w14:solidFill>
                      </w14:textFill>
                    </w:rPr>
                  </w:pPr>
                </w:p>
              </w:tc>
              <w:tc>
                <w:tcPr>
                  <w:tcW w:w="380" w:type="pct"/>
                  <w:vMerge w:val="continue"/>
                  <w:tcBorders>
                    <w:tl2br w:val="nil"/>
                    <w:tr2bl w:val="nil"/>
                  </w:tcBorders>
                  <w:vAlign w:val="center"/>
                </w:tcPr>
                <w:p w14:paraId="0F8987D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380" w:type="pct"/>
                  <w:vMerge w:val="continue"/>
                  <w:tcBorders>
                    <w:tl2br w:val="nil"/>
                    <w:tr2bl w:val="nil"/>
                  </w:tcBorders>
                  <w:vAlign w:val="center"/>
                </w:tcPr>
                <w:p w14:paraId="6030EE4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380" w:type="pct"/>
                  <w:vMerge w:val="continue"/>
                  <w:tcBorders>
                    <w:tl2br w:val="nil"/>
                    <w:tr2bl w:val="nil"/>
                  </w:tcBorders>
                  <w:vAlign w:val="center"/>
                </w:tcPr>
                <w:p w14:paraId="2668143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393" w:type="pct"/>
                  <w:vMerge w:val="continue"/>
                  <w:tcBorders>
                    <w:tl2br w:val="nil"/>
                    <w:tr2bl w:val="nil"/>
                  </w:tcBorders>
                  <w:vAlign w:val="center"/>
                </w:tcPr>
                <w:p w14:paraId="5441477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380" w:type="pct"/>
                  <w:vMerge w:val="continue"/>
                  <w:tcBorders>
                    <w:tl2br w:val="nil"/>
                    <w:tr2bl w:val="nil"/>
                  </w:tcBorders>
                  <w:shd w:val="clear" w:color="auto" w:fill="auto"/>
                  <w:vAlign w:val="center"/>
                </w:tcPr>
                <w:p w14:paraId="3CC33F7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kern w:val="2"/>
                      <w:sz w:val="21"/>
                      <w:szCs w:val="21"/>
                      <w:highlight w:val="none"/>
                      <w:vertAlign w:val="baseline"/>
                      <w:lang w:val="en-US" w:eastAsia="zh-CN" w:bidi="ar-SA"/>
                      <w14:textFill>
                        <w14:solidFill>
                          <w14:schemeClr w14:val="tx1"/>
                        </w14:solidFill>
                      </w14:textFill>
                    </w:rPr>
                  </w:pPr>
                </w:p>
              </w:tc>
              <w:tc>
                <w:tcPr>
                  <w:tcW w:w="380" w:type="pct"/>
                  <w:tcBorders>
                    <w:tl2br w:val="nil"/>
                    <w:tr2bl w:val="nil"/>
                  </w:tcBorders>
                  <w:shd w:val="clear" w:color="auto" w:fill="auto"/>
                  <w:vAlign w:val="center"/>
                </w:tcPr>
                <w:p w14:paraId="5E828DE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 w:val="0"/>
                      <w:bCs/>
                      <w:color w:val="000000" w:themeColor="text1"/>
                      <w:spacing w:val="0"/>
                      <w:sz w:val="21"/>
                      <w:szCs w:val="21"/>
                      <w:highlight w:val="none"/>
                      <w:vertAlign w:val="baseline"/>
                      <w:lang w:val="en-US" w:eastAsia="zh-CN"/>
                      <w14:textFill>
                        <w14:solidFill>
                          <w14:schemeClr w14:val="tx1"/>
                        </w14:solidFill>
                      </w14:textFill>
                    </w:rPr>
                    <w:t>LAS</w:t>
                  </w:r>
                </w:p>
              </w:tc>
              <w:tc>
                <w:tcPr>
                  <w:tcW w:w="852" w:type="pct"/>
                  <w:tcBorders>
                    <w:tl2br w:val="nil"/>
                    <w:tr2bl w:val="nil"/>
                  </w:tcBorders>
                  <w:shd w:val="clear" w:color="auto" w:fill="auto"/>
                  <w:vAlign w:val="center"/>
                </w:tcPr>
                <w:p w14:paraId="0F5BEDB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kern w:val="2"/>
                      <w:sz w:val="21"/>
                      <w:szCs w:val="21"/>
                      <w:highlight w:val="none"/>
                      <w:vertAlign w:val="baseline"/>
                      <w:lang w:val="en-US" w:eastAsia="zh-CN" w:bidi="ar-SA"/>
                      <w14:textFill>
                        <w14:solidFill>
                          <w14:schemeClr w14:val="tx1"/>
                        </w14:solidFill>
                      </w14:textFill>
                    </w:rPr>
                  </w:pPr>
                  <w:r>
                    <w:rPr>
                      <w:rFonts w:hint="eastAsia" w:cs="Times New Roman"/>
                      <w:b w:val="0"/>
                      <w:bCs/>
                      <w:color w:val="000000" w:themeColor="text1"/>
                      <w:spacing w:val="0"/>
                      <w:sz w:val="21"/>
                      <w:szCs w:val="21"/>
                      <w:highlight w:val="none"/>
                      <w:vertAlign w:val="baseline"/>
                      <w:lang w:val="en-US" w:eastAsia="zh-CN"/>
                      <w14:textFill>
                        <w14:solidFill>
                          <w14:schemeClr w14:val="tx1"/>
                        </w14:solidFill>
                      </w14:textFill>
                    </w:rPr>
                    <w:t>0.5</w:t>
                  </w:r>
                </w:p>
              </w:tc>
            </w:tr>
            <w:tr w14:paraId="2954A2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1" w:type="pct"/>
                  <w:vMerge w:val="continue"/>
                  <w:tcBorders>
                    <w:tl2br w:val="nil"/>
                    <w:tr2bl w:val="nil"/>
                  </w:tcBorders>
                  <w:vAlign w:val="center"/>
                </w:tcPr>
                <w:p w14:paraId="2B610D5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511" w:type="pct"/>
                  <w:vMerge w:val="continue"/>
                  <w:tcBorders>
                    <w:tl2br w:val="nil"/>
                    <w:tr2bl w:val="nil"/>
                  </w:tcBorders>
                  <w:vAlign w:val="center"/>
                </w:tcPr>
                <w:p w14:paraId="2463D85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571" w:type="pct"/>
                  <w:vMerge w:val="continue"/>
                  <w:tcBorders>
                    <w:tl2br w:val="nil"/>
                    <w:tr2bl w:val="nil"/>
                  </w:tcBorders>
                  <w:vAlign w:val="center"/>
                </w:tcPr>
                <w:p w14:paraId="1B70EAF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bidi="ar-SA"/>
                      <w14:textFill>
                        <w14:solidFill>
                          <w14:schemeClr w14:val="tx1"/>
                        </w14:solidFill>
                      </w14:textFill>
                    </w:rPr>
                  </w:pPr>
                </w:p>
              </w:tc>
              <w:tc>
                <w:tcPr>
                  <w:tcW w:w="529" w:type="pct"/>
                  <w:vMerge w:val="continue"/>
                  <w:tcBorders>
                    <w:tl2br w:val="nil"/>
                    <w:tr2bl w:val="nil"/>
                  </w:tcBorders>
                  <w:vAlign w:val="center"/>
                </w:tcPr>
                <w:p w14:paraId="6C6A427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bidi="ar-SA"/>
                      <w14:textFill>
                        <w14:solidFill>
                          <w14:schemeClr w14:val="tx1"/>
                        </w14:solidFill>
                      </w14:textFill>
                    </w:rPr>
                  </w:pPr>
                </w:p>
              </w:tc>
              <w:tc>
                <w:tcPr>
                  <w:tcW w:w="380" w:type="pct"/>
                  <w:vMerge w:val="continue"/>
                  <w:tcBorders>
                    <w:tl2br w:val="nil"/>
                    <w:tr2bl w:val="nil"/>
                  </w:tcBorders>
                  <w:vAlign w:val="center"/>
                </w:tcPr>
                <w:p w14:paraId="4AFC832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380" w:type="pct"/>
                  <w:vMerge w:val="continue"/>
                  <w:tcBorders>
                    <w:tl2br w:val="nil"/>
                    <w:tr2bl w:val="nil"/>
                  </w:tcBorders>
                  <w:vAlign w:val="center"/>
                </w:tcPr>
                <w:p w14:paraId="3F7E358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380" w:type="pct"/>
                  <w:vMerge w:val="continue"/>
                  <w:tcBorders>
                    <w:tl2br w:val="nil"/>
                    <w:tr2bl w:val="nil"/>
                  </w:tcBorders>
                  <w:vAlign w:val="center"/>
                </w:tcPr>
                <w:p w14:paraId="4B0EA24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393" w:type="pct"/>
                  <w:vMerge w:val="continue"/>
                  <w:tcBorders>
                    <w:tl2br w:val="nil"/>
                    <w:tr2bl w:val="nil"/>
                  </w:tcBorders>
                  <w:vAlign w:val="center"/>
                </w:tcPr>
                <w:p w14:paraId="1EA0C75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380" w:type="pct"/>
                  <w:vMerge w:val="continue"/>
                  <w:tcBorders>
                    <w:tl2br w:val="nil"/>
                    <w:tr2bl w:val="nil"/>
                  </w:tcBorders>
                  <w:shd w:val="clear" w:color="auto" w:fill="auto"/>
                  <w:vAlign w:val="center"/>
                </w:tcPr>
                <w:p w14:paraId="17C2C9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pacing w:val="0"/>
                      <w:sz w:val="21"/>
                      <w:szCs w:val="21"/>
                      <w:highlight w:val="none"/>
                      <w:vertAlign w:val="baseline"/>
                      <w:lang w:val="en-US" w:eastAsia="zh-CN"/>
                      <w14:textFill>
                        <w14:solidFill>
                          <w14:schemeClr w14:val="tx1"/>
                        </w14:solidFill>
                      </w14:textFill>
                    </w:rPr>
                  </w:pPr>
                </w:p>
              </w:tc>
              <w:tc>
                <w:tcPr>
                  <w:tcW w:w="380" w:type="pct"/>
                  <w:tcBorders>
                    <w:tl2br w:val="nil"/>
                    <w:tr2bl w:val="nil"/>
                  </w:tcBorders>
                  <w:shd w:val="clear" w:color="auto" w:fill="auto"/>
                  <w:vAlign w:val="center"/>
                </w:tcPr>
                <w:p w14:paraId="6DC88BB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 w:val="0"/>
                      <w:bCs/>
                      <w:color w:val="000000" w:themeColor="text1"/>
                      <w:spacing w:val="0"/>
                      <w:sz w:val="21"/>
                      <w:szCs w:val="21"/>
                      <w:highlight w:val="none"/>
                      <w:vertAlign w:val="baseline"/>
                      <w:lang w:val="en-US" w:eastAsia="zh-CN"/>
                      <w14:textFill>
                        <w14:solidFill>
                          <w14:schemeClr w14:val="tx1"/>
                        </w14:solidFill>
                      </w14:textFill>
                    </w:rPr>
                    <w:t>总余氯</w:t>
                  </w:r>
                </w:p>
              </w:tc>
              <w:tc>
                <w:tcPr>
                  <w:tcW w:w="852" w:type="pct"/>
                  <w:tcBorders>
                    <w:tl2br w:val="nil"/>
                    <w:tr2bl w:val="nil"/>
                  </w:tcBorders>
                  <w:shd w:val="clear" w:color="auto" w:fill="auto"/>
                  <w:vAlign w:val="center"/>
                </w:tcPr>
                <w:p w14:paraId="2E0B7CF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lang w:val="en-US" w:eastAsia="zh-CN"/>
                      <w14:textFill>
                        <w14:solidFill>
                          <w14:schemeClr w14:val="tx1"/>
                        </w14:solidFill>
                      </w14:textFill>
                    </w:rPr>
                    <w:t>/</w:t>
                  </w:r>
                </w:p>
              </w:tc>
            </w:tr>
          </w:tbl>
          <w:p w14:paraId="71EC4F20">
            <w:pPr>
              <w:pStyle w:val="49"/>
              <w:spacing w:before="0" w:after="60"/>
              <w:jc w:val="center"/>
              <w:rPr>
                <w:rFonts w:hint="default" w:ascii="Times New Roman" w:hAnsi="Times New Roman" w:eastAsia="宋体" w:cs="Times New Roman"/>
                <w:b/>
                <w:bCs w:val="0"/>
                <w:color w:val="000000" w:themeColor="text1"/>
                <w:kern w:val="0"/>
                <w:sz w:val="24"/>
                <w:szCs w:val="24"/>
                <w:highlight w:val="none"/>
                <w:vertAlign w:val="baseli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0"/>
                <w:sz w:val="24"/>
                <w:szCs w:val="24"/>
                <w:highlight w:val="none"/>
                <w:vertAlign w:val="baseline"/>
                <w:lang w:val="en-US" w:eastAsia="zh-CN" w:bidi="ar-SA"/>
                <w14:textFill>
                  <w14:solidFill>
                    <w14:schemeClr w14:val="tx1"/>
                  </w14:solidFill>
                </w14:textFill>
              </w:rPr>
              <w:t>表4</w:t>
            </w:r>
            <w:r>
              <w:rPr>
                <w:rFonts w:hint="eastAsia" w:ascii="Times New Roman" w:hAnsi="Times New Roman" w:eastAsia="宋体" w:cs="Times New Roman"/>
                <w:b/>
                <w:bCs w:val="0"/>
                <w:color w:val="000000" w:themeColor="text1"/>
                <w:kern w:val="0"/>
                <w:sz w:val="24"/>
                <w:szCs w:val="24"/>
                <w:highlight w:val="none"/>
                <w:vertAlign w:val="baseline"/>
                <w:lang w:val="en-US" w:eastAsia="zh-CN" w:bidi="ar-SA"/>
                <w14:textFill>
                  <w14:solidFill>
                    <w14:schemeClr w14:val="tx1"/>
                  </w14:solidFill>
                </w14:textFill>
              </w:rPr>
              <w:t>.</w:t>
            </w:r>
            <w:r>
              <w:rPr>
                <w:rFonts w:hint="eastAsia" w:ascii="Times New Roman" w:hAnsi="Times New Roman" w:cs="Times New Roman"/>
                <w:b/>
                <w:bCs w:val="0"/>
                <w:color w:val="000000" w:themeColor="text1"/>
                <w:kern w:val="0"/>
                <w:sz w:val="24"/>
                <w:szCs w:val="24"/>
                <w:highlight w:val="none"/>
                <w:vertAlign w:val="baseline"/>
                <w:lang w:val="en-US" w:eastAsia="zh-CN" w:bidi="ar-SA"/>
                <w14:textFill>
                  <w14:solidFill>
                    <w14:schemeClr w14:val="tx1"/>
                  </w14:solidFill>
                </w14:textFill>
              </w:rPr>
              <w:t>2</w:t>
            </w:r>
            <w:r>
              <w:rPr>
                <w:rFonts w:hint="eastAsia" w:ascii="Times New Roman" w:hAnsi="Times New Roman" w:eastAsia="宋体" w:cs="Times New Roman"/>
                <w:b/>
                <w:bCs w:val="0"/>
                <w:color w:val="000000" w:themeColor="text1"/>
                <w:kern w:val="0"/>
                <w:sz w:val="24"/>
                <w:szCs w:val="24"/>
                <w:highlight w:val="none"/>
                <w:vertAlign w:val="baseline"/>
                <w:lang w:val="en-US" w:eastAsia="zh-CN" w:bidi="ar-SA"/>
                <w14:textFill>
                  <w14:solidFill>
                    <w14:schemeClr w14:val="tx1"/>
                  </w14:solidFill>
                </w14:textFill>
              </w:rPr>
              <w:t>-</w:t>
            </w:r>
            <w:r>
              <w:rPr>
                <w:rFonts w:hint="eastAsia" w:ascii="Times New Roman" w:hAnsi="Times New Roman" w:cs="Times New Roman"/>
                <w:b/>
                <w:bCs w:val="0"/>
                <w:color w:val="000000" w:themeColor="text1"/>
                <w:kern w:val="0"/>
                <w:sz w:val="24"/>
                <w:szCs w:val="24"/>
                <w:highlight w:val="none"/>
                <w:vertAlign w:val="baseline"/>
                <w:lang w:val="en-US" w:eastAsia="zh-CN" w:bidi="ar-SA"/>
                <w14:textFill>
                  <w14:solidFill>
                    <w14:schemeClr w14:val="tx1"/>
                  </w14:solidFill>
                </w14:textFill>
              </w:rPr>
              <w:t>4</w:t>
            </w:r>
            <w:r>
              <w:rPr>
                <w:rFonts w:hint="default" w:ascii="Times New Roman" w:hAnsi="Times New Roman" w:eastAsia="宋体" w:cs="Times New Roman"/>
                <w:b/>
                <w:bCs w:val="0"/>
                <w:color w:val="000000" w:themeColor="text1"/>
                <w:kern w:val="0"/>
                <w:sz w:val="24"/>
                <w:szCs w:val="24"/>
                <w:highlight w:val="none"/>
                <w:vertAlign w:val="baseline"/>
                <w:lang w:val="en-US" w:eastAsia="zh-CN" w:bidi="ar-SA"/>
                <w14:textFill>
                  <w14:solidFill>
                    <w14:schemeClr w14:val="tx1"/>
                  </w14:solidFill>
                </w14:textFill>
              </w:rPr>
              <w:t>废水污染物排放信息表</w:t>
            </w:r>
          </w:p>
          <w:tbl>
            <w:tblPr>
              <w:tblStyle w:val="20"/>
              <w:tblW w:w="5000"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1253"/>
              <w:gridCol w:w="2040"/>
              <w:gridCol w:w="1988"/>
              <w:gridCol w:w="2517"/>
              <w:gridCol w:w="2273"/>
              <w:gridCol w:w="2459"/>
            </w:tblGrid>
            <w:tr w14:paraId="502AD8E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500" w:type="pct"/>
                  <w:tcBorders>
                    <w:tl2br w:val="nil"/>
                    <w:tr2bl w:val="nil"/>
                  </w:tcBorders>
                  <w:noWrap w:val="0"/>
                  <w:vAlign w:val="center"/>
                </w:tcPr>
                <w:p w14:paraId="48EE6242">
                  <w:pPr>
                    <w:pStyle w:val="41"/>
                    <w:spacing w:beforeLines="0" w:afterLines="0" w:line="240" w:lineRule="auto"/>
                    <w:ind w:left="0" w:leftChars="0" w:firstLine="0" w:firstLineChars="0"/>
                    <w:jc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t>序号</w:t>
                  </w:r>
                </w:p>
              </w:tc>
              <w:tc>
                <w:tcPr>
                  <w:tcW w:w="814" w:type="pct"/>
                  <w:tcBorders>
                    <w:tl2br w:val="nil"/>
                    <w:tr2bl w:val="nil"/>
                  </w:tcBorders>
                  <w:noWrap w:val="0"/>
                  <w:vAlign w:val="center"/>
                </w:tcPr>
                <w:p w14:paraId="11C5C301">
                  <w:pPr>
                    <w:pStyle w:val="41"/>
                    <w:spacing w:beforeLines="0" w:afterLines="0" w:line="240" w:lineRule="auto"/>
                    <w:jc w:val="both"/>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t>排放口编号</w:t>
                  </w:r>
                </w:p>
              </w:tc>
              <w:tc>
                <w:tcPr>
                  <w:tcW w:w="793" w:type="pct"/>
                  <w:tcBorders>
                    <w:tl2br w:val="nil"/>
                    <w:tr2bl w:val="nil"/>
                  </w:tcBorders>
                  <w:noWrap w:val="0"/>
                  <w:vAlign w:val="center"/>
                </w:tcPr>
                <w:p w14:paraId="301BD56D">
                  <w:pPr>
                    <w:pStyle w:val="41"/>
                    <w:spacing w:beforeLines="0" w:afterLines="0" w:line="240" w:lineRule="auto"/>
                    <w:jc w:val="both"/>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t>污染物种类</w:t>
                  </w:r>
                </w:p>
              </w:tc>
              <w:tc>
                <w:tcPr>
                  <w:tcW w:w="1004" w:type="pct"/>
                  <w:tcBorders>
                    <w:tl2br w:val="nil"/>
                    <w:tr2bl w:val="nil"/>
                  </w:tcBorders>
                  <w:noWrap w:val="0"/>
                  <w:vAlign w:val="center"/>
                </w:tcPr>
                <w:p w14:paraId="7907B211">
                  <w:pPr>
                    <w:pStyle w:val="41"/>
                    <w:spacing w:beforeLines="0" w:afterLines="0" w:line="240" w:lineRule="auto"/>
                    <w:jc w:val="both"/>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t>排放浓度（mg/L）</w:t>
                  </w:r>
                </w:p>
              </w:tc>
              <w:tc>
                <w:tcPr>
                  <w:tcW w:w="907" w:type="pct"/>
                  <w:tcBorders>
                    <w:tl2br w:val="nil"/>
                    <w:tr2bl w:val="nil"/>
                  </w:tcBorders>
                  <w:noWrap w:val="0"/>
                  <w:vAlign w:val="center"/>
                </w:tcPr>
                <w:p w14:paraId="12CD7491">
                  <w:pPr>
                    <w:pStyle w:val="41"/>
                    <w:spacing w:beforeLines="0" w:afterLines="0" w:line="240" w:lineRule="auto"/>
                    <w:jc w:val="both"/>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t>日排放量（t/d）</w:t>
                  </w:r>
                </w:p>
              </w:tc>
              <w:tc>
                <w:tcPr>
                  <w:tcW w:w="981" w:type="pct"/>
                  <w:tcBorders>
                    <w:tl2br w:val="nil"/>
                    <w:tr2bl w:val="nil"/>
                  </w:tcBorders>
                  <w:noWrap w:val="0"/>
                  <w:vAlign w:val="center"/>
                </w:tcPr>
                <w:p w14:paraId="078750B9">
                  <w:pPr>
                    <w:pStyle w:val="41"/>
                    <w:spacing w:beforeLines="0" w:afterLines="0" w:line="240" w:lineRule="auto"/>
                    <w:ind w:left="0" w:leftChars="0" w:firstLine="0" w:firstLineChars="0"/>
                    <w:jc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t>年排放量（t/a）</w:t>
                  </w:r>
                </w:p>
              </w:tc>
            </w:tr>
            <w:tr w14:paraId="7ED32B7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500" w:type="pct"/>
                  <w:vMerge w:val="restart"/>
                  <w:tcBorders>
                    <w:tl2br w:val="nil"/>
                    <w:tr2bl w:val="nil"/>
                  </w:tcBorders>
                  <w:noWrap w:val="0"/>
                  <w:vAlign w:val="center"/>
                </w:tcPr>
                <w:p w14:paraId="22B5D202">
                  <w:pPr>
                    <w:pStyle w:val="41"/>
                    <w:spacing w:beforeLines="0" w:afterLines="0" w:line="240" w:lineRule="auto"/>
                    <w:ind w:left="0" w:leftChars="0" w:firstLine="0" w:firstLineChars="0"/>
                    <w:jc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t>1</w:t>
                  </w:r>
                </w:p>
              </w:tc>
              <w:tc>
                <w:tcPr>
                  <w:tcW w:w="814" w:type="pct"/>
                  <w:vMerge w:val="restart"/>
                  <w:tcBorders>
                    <w:tl2br w:val="nil"/>
                    <w:tr2bl w:val="nil"/>
                  </w:tcBorders>
                  <w:noWrap w:val="0"/>
                  <w:vAlign w:val="center"/>
                </w:tcPr>
                <w:p w14:paraId="46AA6FA2">
                  <w:pPr>
                    <w:pStyle w:val="41"/>
                    <w:spacing w:beforeLines="0" w:afterLines="0" w:line="240" w:lineRule="auto"/>
                    <w:ind w:left="0" w:leftChars="0" w:firstLine="0" w:firstLineChars="0"/>
                    <w:jc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bidi="ar-SA"/>
                      <w14:textFill>
                        <w14:solidFill>
                          <w14:schemeClr w14:val="tx1"/>
                        </w14:solidFill>
                      </w14:textFill>
                    </w:rPr>
                    <w:t>彩云湖污水处理厂</w:t>
                  </w:r>
                  <w: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t>排放口</w:t>
                  </w:r>
                </w:p>
              </w:tc>
              <w:tc>
                <w:tcPr>
                  <w:tcW w:w="793" w:type="pct"/>
                  <w:tcBorders>
                    <w:tl2br w:val="nil"/>
                    <w:tr2bl w:val="nil"/>
                  </w:tcBorders>
                  <w:noWrap w:val="0"/>
                  <w:vAlign w:val="center"/>
                </w:tcPr>
                <w:p w14:paraId="4EA816AD">
                  <w:pPr>
                    <w:adjustRightInd w:val="0"/>
                    <w:snapToGrid w:val="0"/>
                    <w:jc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t>pH</w:t>
                  </w:r>
                </w:p>
              </w:tc>
              <w:tc>
                <w:tcPr>
                  <w:tcW w:w="1004" w:type="pct"/>
                  <w:tcBorders>
                    <w:tl2br w:val="nil"/>
                    <w:tr2bl w:val="nil"/>
                  </w:tcBorders>
                  <w:noWrap w:val="0"/>
                  <w:vAlign w:val="center"/>
                </w:tcPr>
                <w:p w14:paraId="039E804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cs="Times New Roman"/>
                      <w:b w:val="0"/>
                      <w:bCs/>
                      <w:color w:val="000000" w:themeColor="text1"/>
                      <w:spacing w:val="0"/>
                      <w:sz w:val="21"/>
                      <w:szCs w:val="21"/>
                      <w:highlight w:val="none"/>
                      <w:vertAlign w:val="baseline"/>
                      <w:lang w:val="en-US" w:eastAsia="zh-CN"/>
                      <w14:textFill>
                        <w14:solidFill>
                          <w14:schemeClr w14:val="tx1"/>
                        </w14:solidFill>
                      </w14:textFill>
                    </w:rPr>
                    <w:t>6~-9</w:t>
                  </w:r>
                </w:p>
              </w:tc>
              <w:tc>
                <w:tcPr>
                  <w:tcW w:w="907" w:type="pct"/>
                  <w:tcBorders>
                    <w:tl2br w:val="nil"/>
                    <w:tr2bl w:val="nil"/>
                  </w:tcBorders>
                  <w:noWrap w:val="0"/>
                  <w:vAlign w:val="center"/>
                </w:tcPr>
                <w:p w14:paraId="76EAF49F">
                  <w:pPr>
                    <w:adjustRightInd w:val="0"/>
                    <w:snapToGrid w:val="0"/>
                    <w:jc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t>/</w:t>
                  </w:r>
                </w:p>
              </w:tc>
              <w:tc>
                <w:tcPr>
                  <w:tcW w:w="981" w:type="pct"/>
                  <w:tcBorders>
                    <w:tl2br w:val="nil"/>
                    <w:tr2bl w:val="nil"/>
                  </w:tcBorders>
                  <w:noWrap w:val="0"/>
                  <w:vAlign w:val="center"/>
                </w:tcPr>
                <w:p w14:paraId="32421AE3">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auto"/>
                      <w:kern w:val="0"/>
                      <w:sz w:val="21"/>
                      <w:szCs w:val="21"/>
                      <w:u w:val="none"/>
                      <w:lang w:val="en-US" w:eastAsia="zh-CN" w:bidi="ar"/>
                    </w:rPr>
                    <w:t>/</w:t>
                  </w:r>
                </w:p>
              </w:tc>
            </w:tr>
            <w:tr w14:paraId="03B2364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38" w:hRule="atLeast"/>
                <w:jc w:val="center"/>
              </w:trPr>
              <w:tc>
                <w:tcPr>
                  <w:tcW w:w="500" w:type="pct"/>
                  <w:vMerge w:val="continue"/>
                  <w:tcBorders>
                    <w:tl2br w:val="nil"/>
                    <w:tr2bl w:val="nil"/>
                  </w:tcBorders>
                  <w:noWrap w:val="0"/>
                  <w:vAlign w:val="center"/>
                </w:tcPr>
                <w:p w14:paraId="7B54EC03">
                  <w:pPr>
                    <w:pStyle w:val="41"/>
                    <w:spacing w:beforeLines="0" w:afterLines="0" w:line="240" w:lineRule="auto"/>
                    <w:jc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p>
              </w:tc>
              <w:tc>
                <w:tcPr>
                  <w:tcW w:w="814" w:type="pct"/>
                  <w:vMerge w:val="continue"/>
                  <w:tcBorders>
                    <w:tl2br w:val="nil"/>
                    <w:tr2bl w:val="nil"/>
                  </w:tcBorders>
                  <w:noWrap w:val="0"/>
                  <w:vAlign w:val="center"/>
                </w:tcPr>
                <w:p w14:paraId="274D100C">
                  <w:pPr>
                    <w:pStyle w:val="41"/>
                    <w:spacing w:beforeLines="0" w:afterLines="0" w:line="240" w:lineRule="auto"/>
                    <w:jc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p>
              </w:tc>
              <w:tc>
                <w:tcPr>
                  <w:tcW w:w="793" w:type="pct"/>
                  <w:tcBorders>
                    <w:tl2br w:val="nil"/>
                    <w:tr2bl w:val="nil"/>
                  </w:tcBorders>
                  <w:noWrap w:val="0"/>
                  <w:vAlign w:val="center"/>
                </w:tcPr>
                <w:p w14:paraId="536AB8B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cs="Times New Roman"/>
                      <w:b w:val="0"/>
                      <w:bCs/>
                      <w:color w:val="000000" w:themeColor="text1"/>
                      <w:spacing w:val="0"/>
                      <w:sz w:val="21"/>
                      <w:szCs w:val="21"/>
                      <w:highlight w:val="none"/>
                      <w:vertAlign w:val="baseline"/>
                      <w:lang w:val="en-US" w:eastAsia="zh-CN"/>
                      <w14:textFill>
                        <w14:solidFill>
                          <w14:schemeClr w14:val="tx1"/>
                        </w14:solidFill>
                      </w14:textFill>
                    </w:rPr>
                    <w:t>COD</w:t>
                  </w:r>
                </w:p>
              </w:tc>
              <w:tc>
                <w:tcPr>
                  <w:tcW w:w="1004" w:type="pct"/>
                  <w:tcBorders>
                    <w:tl2br w:val="nil"/>
                    <w:tr2bl w:val="nil"/>
                  </w:tcBorders>
                  <w:noWrap w:val="0"/>
                  <w:vAlign w:val="center"/>
                </w:tcPr>
                <w:p w14:paraId="7DA9917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b w:val="0"/>
                      <w:bCs/>
                      <w:color w:val="000000" w:themeColor="text1"/>
                      <w:spacing w:val="0"/>
                      <w:sz w:val="21"/>
                      <w:szCs w:val="21"/>
                      <w:highlight w:val="none"/>
                      <w:vertAlign w:val="baseline"/>
                      <w:lang w:val="en-US" w:eastAsia="zh-CN"/>
                      <w14:textFill>
                        <w14:solidFill>
                          <w14:schemeClr w14:val="tx1"/>
                        </w14:solidFill>
                      </w14:textFill>
                    </w:rPr>
                    <w:t>30</w:t>
                  </w:r>
                </w:p>
              </w:tc>
              <w:tc>
                <w:tcPr>
                  <w:tcW w:w="907" w:type="pct"/>
                  <w:tcBorders>
                    <w:tl2br w:val="nil"/>
                    <w:tr2bl w:val="nil"/>
                  </w:tcBorders>
                  <w:noWrap w:val="0"/>
                  <w:vAlign w:val="center"/>
                </w:tcPr>
                <w:p w14:paraId="07B420E9">
                  <w:pPr>
                    <w:bidi w:val="0"/>
                    <w:jc w:val="center"/>
                    <w:rPr>
                      <w:rFonts w:hint="default"/>
                      <w:lang w:val="en-US" w:eastAsia="zh-CN"/>
                    </w:rPr>
                  </w:pPr>
                  <w:r>
                    <w:rPr>
                      <w:rFonts w:hint="eastAsia"/>
                      <w:lang w:val="en-US" w:eastAsia="zh-CN"/>
                    </w:rPr>
                    <w:t>0.000039933</w:t>
                  </w:r>
                </w:p>
              </w:tc>
              <w:tc>
                <w:tcPr>
                  <w:tcW w:w="981" w:type="pct"/>
                  <w:tcBorders>
                    <w:tl2br w:val="nil"/>
                    <w:tr2bl w:val="nil"/>
                  </w:tcBorders>
                  <w:noWrap w:val="0"/>
                  <w:vAlign w:val="center"/>
                </w:tcPr>
                <w:p w14:paraId="6F70A945">
                  <w:pPr>
                    <w:keepNext w:val="0"/>
                    <w:keepLines w:val="0"/>
                    <w:widowControl/>
                    <w:suppressLineNumbers w:val="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0.015 </w:t>
                  </w:r>
                </w:p>
              </w:tc>
            </w:tr>
            <w:tr w14:paraId="549BA22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500" w:type="pct"/>
                  <w:vMerge w:val="continue"/>
                  <w:tcBorders>
                    <w:tl2br w:val="nil"/>
                    <w:tr2bl w:val="nil"/>
                  </w:tcBorders>
                  <w:noWrap w:val="0"/>
                  <w:vAlign w:val="center"/>
                </w:tcPr>
                <w:p w14:paraId="52EA2C72">
                  <w:pPr>
                    <w:pStyle w:val="41"/>
                    <w:spacing w:beforeLines="0" w:afterLines="0" w:line="240" w:lineRule="auto"/>
                    <w:jc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p>
              </w:tc>
              <w:tc>
                <w:tcPr>
                  <w:tcW w:w="814" w:type="pct"/>
                  <w:vMerge w:val="continue"/>
                  <w:tcBorders>
                    <w:tl2br w:val="nil"/>
                    <w:tr2bl w:val="nil"/>
                  </w:tcBorders>
                  <w:noWrap w:val="0"/>
                  <w:vAlign w:val="center"/>
                </w:tcPr>
                <w:p w14:paraId="07E54B9F">
                  <w:pPr>
                    <w:pStyle w:val="41"/>
                    <w:spacing w:beforeLines="0" w:afterLines="0" w:line="240" w:lineRule="auto"/>
                    <w:jc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p>
              </w:tc>
              <w:tc>
                <w:tcPr>
                  <w:tcW w:w="793" w:type="pct"/>
                  <w:tcBorders>
                    <w:tl2br w:val="nil"/>
                    <w:tr2bl w:val="nil"/>
                  </w:tcBorders>
                  <w:noWrap w:val="0"/>
                  <w:vAlign w:val="center"/>
                </w:tcPr>
                <w:p w14:paraId="5AE55E6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cs="Times New Roman"/>
                      <w:b w:val="0"/>
                      <w:bCs/>
                      <w:color w:val="000000" w:themeColor="text1"/>
                      <w:spacing w:val="0"/>
                      <w:sz w:val="21"/>
                      <w:szCs w:val="21"/>
                      <w:highlight w:val="none"/>
                      <w:vertAlign w:val="baseline"/>
                      <w:lang w:val="en-US" w:eastAsia="zh-CN"/>
                      <w14:textFill>
                        <w14:solidFill>
                          <w14:schemeClr w14:val="tx1"/>
                        </w14:solidFill>
                      </w14:textFill>
                    </w:rPr>
                    <w:t>BOD</w:t>
                  </w:r>
                  <w:r>
                    <w:rPr>
                      <w:rFonts w:hint="default" w:ascii="Times New Roman" w:hAnsi="Times New Roman" w:cs="Times New Roman"/>
                      <w:b w:val="0"/>
                      <w:bCs/>
                      <w:color w:val="000000" w:themeColor="text1"/>
                      <w:spacing w:val="0"/>
                      <w:sz w:val="21"/>
                      <w:szCs w:val="21"/>
                      <w:highlight w:val="none"/>
                      <w:vertAlign w:val="subscript"/>
                      <w:lang w:val="en-US" w:eastAsia="zh-CN"/>
                      <w14:textFill>
                        <w14:solidFill>
                          <w14:schemeClr w14:val="tx1"/>
                        </w14:solidFill>
                      </w14:textFill>
                    </w:rPr>
                    <w:t>5</w:t>
                  </w:r>
                </w:p>
              </w:tc>
              <w:tc>
                <w:tcPr>
                  <w:tcW w:w="1004" w:type="pct"/>
                  <w:tcBorders>
                    <w:tl2br w:val="nil"/>
                    <w:tr2bl w:val="nil"/>
                  </w:tcBorders>
                  <w:noWrap w:val="0"/>
                  <w:vAlign w:val="center"/>
                </w:tcPr>
                <w:p w14:paraId="76DDE95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b w:val="0"/>
                      <w:bCs/>
                      <w:color w:val="000000" w:themeColor="text1"/>
                      <w:spacing w:val="0"/>
                      <w:sz w:val="21"/>
                      <w:szCs w:val="21"/>
                      <w:highlight w:val="none"/>
                      <w:vertAlign w:val="baseline"/>
                      <w:lang w:val="en-US" w:eastAsia="zh-CN"/>
                      <w14:textFill>
                        <w14:solidFill>
                          <w14:schemeClr w14:val="tx1"/>
                        </w14:solidFill>
                      </w14:textFill>
                    </w:rPr>
                    <w:t>6</w:t>
                  </w:r>
                </w:p>
              </w:tc>
              <w:tc>
                <w:tcPr>
                  <w:tcW w:w="907" w:type="pct"/>
                  <w:tcBorders>
                    <w:tl2br w:val="nil"/>
                    <w:tr2bl w:val="nil"/>
                  </w:tcBorders>
                  <w:noWrap w:val="0"/>
                  <w:vAlign w:val="center"/>
                </w:tcPr>
                <w:p w14:paraId="240E6260">
                  <w:pPr>
                    <w:bidi w:val="0"/>
                    <w:jc w:val="center"/>
                    <w:rPr>
                      <w:rFonts w:hint="default"/>
                      <w:lang w:val="en-US" w:eastAsia="zh-CN"/>
                    </w:rPr>
                  </w:pPr>
                  <w:r>
                    <w:rPr>
                      <w:rFonts w:hint="eastAsia"/>
                      <w:lang w:val="en-US" w:eastAsia="zh-CN"/>
                    </w:rPr>
                    <w:t>7.9866E-06</w:t>
                  </w:r>
                </w:p>
              </w:tc>
              <w:tc>
                <w:tcPr>
                  <w:tcW w:w="981" w:type="pct"/>
                  <w:tcBorders>
                    <w:tl2br w:val="nil"/>
                    <w:tr2bl w:val="nil"/>
                  </w:tcBorders>
                  <w:noWrap w:val="0"/>
                  <w:vAlign w:val="center"/>
                </w:tcPr>
                <w:p w14:paraId="7D02083D">
                  <w:pPr>
                    <w:keepNext w:val="0"/>
                    <w:keepLines w:val="0"/>
                    <w:widowControl/>
                    <w:suppressLineNumbers w:val="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0.003 </w:t>
                  </w:r>
                </w:p>
              </w:tc>
            </w:tr>
            <w:tr w14:paraId="685AF43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500" w:type="pct"/>
                  <w:vMerge w:val="continue"/>
                  <w:tcBorders>
                    <w:tl2br w:val="nil"/>
                    <w:tr2bl w:val="nil"/>
                  </w:tcBorders>
                  <w:noWrap w:val="0"/>
                  <w:vAlign w:val="center"/>
                </w:tcPr>
                <w:p w14:paraId="0CBB56A0">
                  <w:pPr>
                    <w:pStyle w:val="41"/>
                    <w:spacing w:beforeLines="0" w:afterLines="0" w:line="240" w:lineRule="auto"/>
                    <w:jc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p>
              </w:tc>
              <w:tc>
                <w:tcPr>
                  <w:tcW w:w="814" w:type="pct"/>
                  <w:vMerge w:val="continue"/>
                  <w:tcBorders>
                    <w:tl2br w:val="nil"/>
                    <w:tr2bl w:val="nil"/>
                  </w:tcBorders>
                  <w:noWrap w:val="0"/>
                  <w:vAlign w:val="center"/>
                </w:tcPr>
                <w:p w14:paraId="2B1BAABA">
                  <w:pPr>
                    <w:pStyle w:val="41"/>
                    <w:spacing w:beforeLines="0" w:afterLines="0" w:line="240" w:lineRule="auto"/>
                    <w:jc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p>
              </w:tc>
              <w:tc>
                <w:tcPr>
                  <w:tcW w:w="793" w:type="pct"/>
                  <w:tcBorders>
                    <w:tl2br w:val="nil"/>
                    <w:tr2bl w:val="nil"/>
                  </w:tcBorders>
                  <w:noWrap w:val="0"/>
                  <w:vAlign w:val="center"/>
                </w:tcPr>
                <w:p w14:paraId="01160B3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cs="Times New Roman"/>
                      <w:b w:val="0"/>
                      <w:bCs/>
                      <w:color w:val="000000" w:themeColor="text1"/>
                      <w:spacing w:val="0"/>
                      <w:sz w:val="21"/>
                      <w:szCs w:val="21"/>
                      <w:highlight w:val="none"/>
                      <w:vertAlign w:val="baseline"/>
                      <w:lang w:val="en-US" w:eastAsia="zh-CN"/>
                      <w14:textFill>
                        <w14:solidFill>
                          <w14:schemeClr w14:val="tx1"/>
                        </w14:solidFill>
                      </w14:textFill>
                    </w:rPr>
                    <w:t>氨氮</w:t>
                  </w:r>
                </w:p>
              </w:tc>
              <w:tc>
                <w:tcPr>
                  <w:tcW w:w="1004" w:type="pct"/>
                  <w:tcBorders>
                    <w:tl2br w:val="nil"/>
                    <w:tr2bl w:val="nil"/>
                  </w:tcBorders>
                  <w:noWrap w:val="0"/>
                  <w:vAlign w:val="center"/>
                </w:tcPr>
                <w:p w14:paraId="652D5E6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b w:val="0"/>
                      <w:bCs/>
                      <w:color w:val="000000" w:themeColor="text1"/>
                      <w:spacing w:val="0"/>
                      <w:sz w:val="21"/>
                      <w:szCs w:val="21"/>
                      <w:highlight w:val="none"/>
                      <w:vertAlign w:val="baseline"/>
                      <w:lang w:val="en-US" w:eastAsia="zh-CN"/>
                      <w14:textFill>
                        <w14:solidFill>
                          <w14:schemeClr w14:val="tx1"/>
                        </w14:solidFill>
                      </w14:textFill>
                    </w:rPr>
                    <w:t>1.5</w:t>
                  </w:r>
                </w:p>
              </w:tc>
              <w:tc>
                <w:tcPr>
                  <w:tcW w:w="907" w:type="pct"/>
                  <w:tcBorders>
                    <w:tl2br w:val="nil"/>
                    <w:tr2bl w:val="nil"/>
                  </w:tcBorders>
                  <w:noWrap w:val="0"/>
                  <w:vAlign w:val="center"/>
                </w:tcPr>
                <w:p w14:paraId="154F6139">
                  <w:pPr>
                    <w:bidi w:val="0"/>
                    <w:jc w:val="center"/>
                    <w:rPr>
                      <w:rFonts w:hint="default"/>
                      <w:lang w:val="en-US" w:eastAsia="zh-CN"/>
                    </w:rPr>
                  </w:pPr>
                  <w:r>
                    <w:rPr>
                      <w:rFonts w:hint="eastAsia"/>
                      <w:lang w:val="en-US" w:eastAsia="zh-CN"/>
                    </w:rPr>
                    <w:t>1.99665E-06</w:t>
                  </w:r>
                </w:p>
              </w:tc>
              <w:tc>
                <w:tcPr>
                  <w:tcW w:w="981" w:type="pct"/>
                  <w:tcBorders>
                    <w:tl2br w:val="nil"/>
                    <w:tr2bl w:val="nil"/>
                  </w:tcBorders>
                  <w:noWrap w:val="0"/>
                  <w:vAlign w:val="center"/>
                </w:tcPr>
                <w:p w14:paraId="0AE9D63A">
                  <w:pPr>
                    <w:keepNext w:val="0"/>
                    <w:keepLines w:val="0"/>
                    <w:widowControl/>
                    <w:suppressLineNumbers w:val="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0.001 </w:t>
                  </w:r>
                </w:p>
              </w:tc>
            </w:tr>
            <w:tr w14:paraId="6AFF0AA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77" w:hRule="atLeast"/>
                <w:jc w:val="center"/>
              </w:trPr>
              <w:tc>
                <w:tcPr>
                  <w:tcW w:w="500" w:type="pct"/>
                  <w:vMerge w:val="continue"/>
                  <w:tcBorders>
                    <w:tl2br w:val="nil"/>
                    <w:tr2bl w:val="nil"/>
                  </w:tcBorders>
                  <w:noWrap w:val="0"/>
                  <w:vAlign w:val="center"/>
                </w:tcPr>
                <w:p w14:paraId="204C352E">
                  <w:pPr>
                    <w:pStyle w:val="41"/>
                    <w:spacing w:beforeLines="0" w:afterLines="0" w:line="240" w:lineRule="auto"/>
                    <w:jc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p>
              </w:tc>
              <w:tc>
                <w:tcPr>
                  <w:tcW w:w="814" w:type="pct"/>
                  <w:vMerge w:val="continue"/>
                  <w:tcBorders>
                    <w:tl2br w:val="nil"/>
                    <w:tr2bl w:val="nil"/>
                  </w:tcBorders>
                  <w:noWrap w:val="0"/>
                  <w:vAlign w:val="center"/>
                </w:tcPr>
                <w:p w14:paraId="6E753AF3">
                  <w:pPr>
                    <w:pStyle w:val="41"/>
                    <w:spacing w:beforeLines="0" w:afterLines="0" w:line="240" w:lineRule="auto"/>
                    <w:jc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p>
              </w:tc>
              <w:tc>
                <w:tcPr>
                  <w:tcW w:w="793" w:type="pct"/>
                  <w:tcBorders>
                    <w:tl2br w:val="nil"/>
                    <w:tr2bl w:val="nil"/>
                  </w:tcBorders>
                  <w:noWrap w:val="0"/>
                  <w:vAlign w:val="center"/>
                </w:tcPr>
                <w:p w14:paraId="57DA040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cs="Times New Roman"/>
                      <w:b w:val="0"/>
                      <w:bCs/>
                      <w:color w:val="000000" w:themeColor="text1"/>
                      <w:spacing w:val="0"/>
                      <w:sz w:val="21"/>
                      <w:szCs w:val="21"/>
                      <w:highlight w:val="none"/>
                      <w:vertAlign w:val="baseline"/>
                      <w:lang w:val="en-US" w:eastAsia="zh-CN"/>
                      <w14:textFill>
                        <w14:solidFill>
                          <w14:schemeClr w14:val="tx1"/>
                        </w14:solidFill>
                      </w14:textFill>
                    </w:rPr>
                    <w:t>SS</w:t>
                  </w:r>
                </w:p>
              </w:tc>
              <w:tc>
                <w:tcPr>
                  <w:tcW w:w="1004" w:type="pct"/>
                  <w:tcBorders>
                    <w:tl2br w:val="nil"/>
                    <w:tr2bl w:val="nil"/>
                  </w:tcBorders>
                  <w:noWrap w:val="0"/>
                  <w:vAlign w:val="center"/>
                </w:tcPr>
                <w:p w14:paraId="7E2C732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cs="Times New Roman"/>
                      <w:b w:val="0"/>
                      <w:bCs/>
                      <w:color w:val="000000" w:themeColor="text1"/>
                      <w:spacing w:val="0"/>
                      <w:sz w:val="21"/>
                      <w:szCs w:val="21"/>
                      <w:highlight w:val="none"/>
                      <w:vertAlign w:val="baseline"/>
                      <w:lang w:val="en-US" w:eastAsia="zh-CN"/>
                      <w14:textFill>
                        <w14:solidFill>
                          <w14:schemeClr w14:val="tx1"/>
                        </w14:solidFill>
                      </w14:textFill>
                    </w:rPr>
                    <w:t>10</w:t>
                  </w:r>
                </w:p>
              </w:tc>
              <w:tc>
                <w:tcPr>
                  <w:tcW w:w="907" w:type="pct"/>
                  <w:tcBorders>
                    <w:tl2br w:val="nil"/>
                    <w:tr2bl w:val="nil"/>
                  </w:tcBorders>
                  <w:noWrap w:val="0"/>
                  <w:vAlign w:val="center"/>
                </w:tcPr>
                <w:p w14:paraId="34E4FDAA">
                  <w:pPr>
                    <w:bidi w:val="0"/>
                    <w:jc w:val="center"/>
                    <w:rPr>
                      <w:rFonts w:hint="default"/>
                      <w:lang w:val="en-US" w:eastAsia="zh-CN"/>
                    </w:rPr>
                  </w:pPr>
                  <w:r>
                    <w:rPr>
                      <w:rFonts w:hint="eastAsia"/>
                      <w:lang w:val="en-US" w:eastAsia="zh-CN"/>
                    </w:rPr>
                    <w:t>0.000013311</w:t>
                  </w:r>
                </w:p>
              </w:tc>
              <w:tc>
                <w:tcPr>
                  <w:tcW w:w="981" w:type="pct"/>
                  <w:tcBorders>
                    <w:tl2br w:val="nil"/>
                    <w:tr2bl w:val="nil"/>
                  </w:tcBorders>
                  <w:noWrap w:val="0"/>
                  <w:vAlign w:val="center"/>
                </w:tcPr>
                <w:p w14:paraId="32BA6EA3">
                  <w:pPr>
                    <w:keepNext w:val="0"/>
                    <w:keepLines w:val="0"/>
                    <w:widowControl/>
                    <w:suppressLineNumbers w:val="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0.005 </w:t>
                  </w:r>
                </w:p>
              </w:tc>
            </w:tr>
            <w:tr w14:paraId="266FEA2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77" w:hRule="atLeast"/>
                <w:jc w:val="center"/>
              </w:trPr>
              <w:tc>
                <w:tcPr>
                  <w:tcW w:w="500" w:type="pct"/>
                  <w:vMerge w:val="continue"/>
                  <w:tcBorders>
                    <w:tl2br w:val="nil"/>
                    <w:tr2bl w:val="nil"/>
                  </w:tcBorders>
                  <w:noWrap w:val="0"/>
                  <w:vAlign w:val="center"/>
                </w:tcPr>
                <w:p w14:paraId="77C464B6">
                  <w:pPr>
                    <w:pStyle w:val="41"/>
                    <w:spacing w:beforeLines="0" w:afterLines="0" w:line="240" w:lineRule="auto"/>
                    <w:jc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p>
              </w:tc>
              <w:tc>
                <w:tcPr>
                  <w:tcW w:w="814" w:type="pct"/>
                  <w:vMerge w:val="continue"/>
                  <w:tcBorders>
                    <w:tl2br w:val="nil"/>
                    <w:tr2bl w:val="nil"/>
                  </w:tcBorders>
                  <w:noWrap w:val="0"/>
                  <w:vAlign w:val="center"/>
                </w:tcPr>
                <w:p w14:paraId="403C09EF">
                  <w:pPr>
                    <w:pStyle w:val="41"/>
                    <w:spacing w:beforeLines="0" w:afterLines="0" w:line="240" w:lineRule="auto"/>
                    <w:jc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p>
              </w:tc>
              <w:tc>
                <w:tcPr>
                  <w:tcW w:w="793" w:type="pct"/>
                  <w:tcBorders>
                    <w:tl2br w:val="nil"/>
                    <w:tr2bl w:val="nil"/>
                  </w:tcBorders>
                  <w:noWrap w:val="0"/>
                  <w:vAlign w:val="center"/>
                </w:tcPr>
                <w:p w14:paraId="2B6BA6D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cs="Times New Roman"/>
                      <w:b w:val="0"/>
                      <w:bCs/>
                      <w:color w:val="000000" w:themeColor="text1"/>
                      <w:spacing w:val="0"/>
                      <w:sz w:val="21"/>
                      <w:szCs w:val="21"/>
                      <w:highlight w:val="none"/>
                      <w:vertAlign w:val="baseline"/>
                      <w:lang w:val="en-US" w:eastAsia="zh-CN"/>
                      <w14:textFill>
                        <w14:solidFill>
                          <w14:schemeClr w14:val="tx1"/>
                        </w14:solidFill>
                      </w14:textFill>
                    </w:rPr>
                    <w:t>TP</w:t>
                  </w:r>
                </w:p>
              </w:tc>
              <w:tc>
                <w:tcPr>
                  <w:tcW w:w="1004" w:type="pct"/>
                  <w:tcBorders>
                    <w:tl2br w:val="nil"/>
                    <w:tr2bl w:val="nil"/>
                  </w:tcBorders>
                  <w:noWrap w:val="0"/>
                  <w:vAlign w:val="center"/>
                </w:tcPr>
                <w:p w14:paraId="71801D4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b w:val="0"/>
                      <w:bCs/>
                      <w:color w:val="000000" w:themeColor="text1"/>
                      <w:spacing w:val="0"/>
                      <w:sz w:val="21"/>
                      <w:szCs w:val="21"/>
                      <w:highlight w:val="none"/>
                      <w:vertAlign w:val="baseline"/>
                      <w:lang w:val="en-US" w:eastAsia="zh-CN"/>
                      <w14:textFill>
                        <w14:solidFill>
                          <w14:schemeClr w14:val="tx1"/>
                        </w14:solidFill>
                      </w14:textFill>
                    </w:rPr>
                    <w:t>0.</w:t>
                  </w:r>
                  <w:r>
                    <w:rPr>
                      <w:rFonts w:hint="eastAsia" w:cs="Times New Roman"/>
                      <w:b w:val="0"/>
                      <w:bCs/>
                      <w:color w:val="000000" w:themeColor="text1"/>
                      <w:spacing w:val="0"/>
                      <w:sz w:val="21"/>
                      <w:szCs w:val="21"/>
                      <w:highlight w:val="none"/>
                      <w:vertAlign w:val="baseline"/>
                      <w:lang w:val="en-US" w:eastAsia="zh-CN"/>
                      <w14:textFill>
                        <w14:solidFill>
                          <w14:schemeClr w14:val="tx1"/>
                        </w14:solidFill>
                      </w14:textFill>
                    </w:rPr>
                    <w:t>3</w:t>
                  </w:r>
                </w:p>
              </w:tc>
              <w:tc>
                <w:tcPr>
                  <w:tcW w:w="907" w:type="pct"/>
                  <w:tcBorders>
                    <w:tl2br w:val="nil"/>
                    <w:tr2bl w:val="nil"/>
                  </w:tcBorders>
                  <w:noWrap w:val="0"/>
                  <w:vAlign w:val="center"/>
                </w:tcPr>
                <w:p w14:paraId="1AC9391F">
                  <w:pPr>
                    <w:bidi w:val="0"/>
                    <w:jc w:val="center"/>
                    <w:rPr>
                      <w:rFonts w:hint="default"/>
                      <w:lang w:val="en-US" w:eastAsia="zh-CN"/>
                    </w:rPr>
                  </w:pPr>
                  <w:r>
                    <w:rPr>
                      <w:rFonts w:hint="eastAsia"/>
                      <w:lang w:val="en-US" w:eastAsia="zh-CN"/>
                    </w:rPr>
                    <w:t>3.9933E-07</w:t>
                  </w:r>
                </w:p>
              </w:tc>
              <w:tc>
                <w:tcPr>
                  <w:tcW w:w="981" w:type="pct"/>
                  <w:tcBorders>
                    <w:tl2br w:val="nil"/>
                    <w:tr2bl w:val="nil"/>
                  </w:tcBorders>
                  <w:noWrap w:val="0"/>
                  <w:vAlign w:val="center"/>
                </w:tcPr>
                <w:p w14:paraId="3E6D4B2B">
                  <w:pPr>
                    <w:keepNext w:val="0"/>
                    <w:keepLines w:val="0"/>
                    <w:widowControl/>
                    <w:suppressLineNumbers w:val="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0.0001 </w:t>
                  </w:r>
                </w:p>
              </w:tc>
            </w:tr>
            <w:tr w14:paraId="0DFAD66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38" w:hRule="atLeast"/>
                <w:jc w:val="center"/>
              </w:trPr>
              <w:tc>
                <w:tcPr>
                  <w:tcW w:w="500" w:type="pct"/>
                  <w:vMerge w:val="continue"/>
                  <w:tcBorders>
                    <w:tl2br w:val="nil"/>
                    <w:tr2bl w:val="nil"/>
                  </w:tcBorders>
                  <w:noWrap w:val="0"/>
                  <w:vAlign w:val="center"/>
                </w:tcPr>
                <w:p w14:paraId="05CAF3FA">
                  <w:pPr>
                    <w:pStyle w:val="41"/>
                    <w:spacing w:beforeLines="0" w:afterLines="0" w:line="240" w:lineRule="auto"/>
                    <w:jc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p>
              </w:tc>
              <w:tc>
                <w:tcPr>
                  <w:tcW w:w="814" w:type="pct"/>
                  <w:vMerge w:val="continue"/>
                  <w:tcBorders>
                    <w:tl2br w:val="nil"/>
                    <w:tr2bl w:val="nil"/>
                  </w:tcBorders>
                  <w:noWrap w:val="0"/>
                  <w:vAlign w:val="center"/>
                </w:tcPr>
                <w:p w14:paraId="64AD5F4E">
                  <w:pPr>
                    <w:pStyle w:val="41"/>
                    <w:spacing w:beforeLines="0" w:afterLines="0" w:line="240" w:lineRule="auto"/>
                    <w:jc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p>
              </w:tc>
              <w:tc>
                <w:tcPr>
                  <w:tcW w:w="793" w:type="pct"/>
                  <w:tcBorders>
                    <w:tl2br w:val="nil"/>
                    <w:tr2bl w:val="nil"/>
                  </w:tcBorders>
                  <w:noWrap w:val="0"/>
                  <w:vAlign w:val="center"/>
                </w:tcPr>
                <w:p w14:paraId="6CEDC27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cs="Times New Roman"/>
                      <w:b w:val="0"/>
                      <w:bCs/>
                      <w:color w:val="000000" w:themeColor="text1"/>
                      <w:spacing w:val="0"/>
                      <w:sz w:val="21"/>
                      <w:szCs w:val="21"/>
                      <w:highlight w:val="none"/>
                      <w:vertAlign w:val="baseline"/>
                      <w:lang w:val="en-US" w:eastAsia="zh-CN"/>
                      <w14:textFill>
                        <w14:solidFill>
                          <w14:schemeClr w14:val="tx1"/>
                        </w14:solidFill>
                      </w14:textFill>
                    </w:rPr>
                    <w:t>粪大肠菌群</w:t>
                  </w:r>
                </w:p>
              </w:tc>
              <w:tc>
                <w:tcPr>
                  <w:tcW w:w="1004" w:type="pct"/>
                  <w:tcBorders>
                    <w:tl2br w:val="nil"/>
                    <w:tr2bl w:val="nil"/>
                  </w:tcBorders>
                  <w:noWrap w:val="0"/>
                  <w:vAlign w:val="center"/>
                </w:tcPr>
                <w:p w14:paraId="2D9A595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cs="Times New Roman"/>
                      <w:b w:val="0"/>
                      <w:bCs/>
                      <w:color w:val="000000" w:themeColor="text1"/>
                      <w:spacing w:val="0"/>
                      <w:sz w:val="21"/>
                      <w:szCs w:val="21"/>
                      <w:highlight w:val="none"/>
                      <w:vertAlign w:val="baseline"/>
                      <w:lang w:val="en-US" w:eastAsia="zh-CN"/>
                      <w14:textFill>
                        <w14:solidFill>
                          <w14:schemeClr w14:val="tx1"/>
                        </w14:solidFill>
                      </w14:textFill>
                    </w:rPr>
                    <w:t>1000个/L</w:t>
                  </w:r>
                </w:p>
              </w:tc>
              <w:tc>
                <w:tcPr>
                  <w:tcW w:w="907" w:type="pct"/>
                  <w:tcBorders>
                    <w:tl2br w:val="nil"/>
                    <w:tr2bl w:val="nil"/>
                  </w:tcBorders>
                  <w:noWrap w:val="0"/>
                  <w:vAlign w:val="center"/>
                </w:tcPr>
                <w:p w14:paraId="782C94AD">
                  <w:pPr>
                    <w:bidi w:val="0"/>
                    <w:jc w:val="center"/>
                    <w:rPr>
                      <w:rFonts w:hint="default"/>
                      <w:lang w:val="en-US" w:eastAsia="zh-CN"/>
                    </w:rPr>
                  </w:pPr>
                  <w:r>
                    <w:rPr>
                      <w:rFonts w:hint="eastAsia" w:cs="Times New Roman"/>
                      <w:b w:val="0"/>
                      <w:bCs/>
                      <w:color w:val="auto"/>
                      <w:spacing w:val="0"/>
                      <w:sz w:val="21"/>
                      <w:szCs w:val="21"/>
                      <w:highlight w:val="none"/>
                      <w:vertAlign w:val="baseline"/>
                      <w:lang w:val="en-US" w:eastAsia="zh-CN"/>
                    </w:rPr>
                    <w:t>1.1</w:t>
                  </w:r>
                  <w:r>
                    <w:rPr>
                      <w:rFonts w:hint="default" w:ascii="Times New Roman" w:hAnsi="Times New Roman" w:eastAsia="宋体" w:cs="Times New Roman"/>
                      <w:i w:val="0"/>
                      <w:iCs w:val="0"/>
                      <w:color w:val="auto"/>
                      <w:kern w:val="0"/>
                      <w:sz w:val="21"/>
                      <w:szCs w:val="21"/>
                      <w:u w:val="none"/>
                      <w:lang w:val="en-US" w:eastAsia="zh-CN" w:bidi="ar"/>
                    </w:rPr>
                    <w:t>×10</w:t>
                  </w:r>
                  <w:r>
                    <w:rPr>
                      <w:rFonts w:hint="eastAsia" w:cs="Times New Roman"/>
                      <w:i w:val="0"/>
                      <w:iCs w:val="0"/>
                      <w:color w:val="auto"/>
                      <w:kern w:val="0"/>
                      <w:sz w:val="21"/>
                      <w:szCs w:val="21"/>
                      <w:u w:val="none"/>
                      <w:vertAlign w:val="superscript"/>
                      <w:lang w:val="en-US" w:eastAsia="zh-CN" w:bidi="ar"/>
                    </w:rPr>
                    <w:t>6</w:t>
                  </w:r>
                  <w:r>
                    <w:rPr>
                      <w:rFonts w:hint="eastAsia" w:ascii="宋体" w:hAnsi="宋体" w:eastAsia="宋体" w:cs="宋体"/>
                      <w:i w:val="0"/>
                      <w:iCs w:val="0"/>
                      <w:color w:val="auto"/>
                      <w:kern w:val="0"/>
                      <w:sz w:val="21"/>
                      <w:szCs w:val="21"/>
                      <w:u w:val="none"/>
                      <w:lang w:val="en-US" w:eastAsia="zh-CN" w:bidi="ar"/>
                    </w:rPr>
                    <w:t>个</w:t>
                  </w:r>
                  <w:r>
                    <w:rPr>
                      <w:rStyle w:val="63"/>
                      <w:rFonts w:eastAsia="宋体"/>
                      <w:color w:val="auto"/>
                      <w:lang w:val="en-US" w:eastAsia="zh-CN" w:bidi="ar"/>
                    </w:rPr>
                    <w:t>/L</w:t>
                  </w:r>
                </w:p>
              </w:tc>
              <w:tc>
                <w:tcPr>
                  <w:tcW w:w="981" w:type="pct"/>
                  <w:tcBorders>
                    <w:tl2br w:val="nil"/>
                    <w:tr2bl w:val="nil"/>
                  </w:tcBorders>
                  <w:noWrap w:val="0"/>
                  <w:vAlign w:val="center"/>
                </w:tcPr>
                <w:p w14:paraId="3089D8E1">
                  <w:pPr>
                    <w:keepNext w:val="0"/>
                    <w:keepLines w:val="0"/>
                    <w:widowControl/>
                    <w:suppressLineNumbers w:val="0"/>
                    <w:jc w:val="center"/>
                    <w:textAlignment w:val="center"/>
                    <w:rPr>
                      <w:rFonts w:hint="default" w:ascii="Times New Roman" w:hAnsi="Times New Roman" w:eastAsia="宋体" w:cs="Times New Roman"/>
                      <w:snapToGrid w:val="0"/>
                      <w:color w:val="auto"/>
                      <w:spacing w:val="0"/>
                      <w:kern w:val="0"/>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3.9×10</w:t>
                  </w:r>
                  <w:r>
                    <w:rPr>
                      <w:rFonts w:hint="default" w:ascii="Times New Roman" w:hAnsi="Times New Roman" w:eastAsia="宋体" w:cs="Times New Roman"/>
                      <w:i w:val="0"/>
                      <w:iCs w:val="0"/>
                      <w:color w:val="auto"/>
                      <w:kern w:val="0"/>
                      <w:sz w:val="21"/>
                      <w:szCs w:val="21"/>
                      <w:u w:val="none"/>
                      <w:vertAlign w:val="superscript"/>
                      <w:lang w:val="en-US" w:eastAsia="zh-CN" w:bidi="ar"/>
                    </w:rPr>
                    <w:t>8</w:t>
                  </w:r>
                  <w:r>
                    <w:rPr>
                      <w:rFonts w:hint="eastAsia" w:ascii="宋体" w:hAnsi="宋体" w:eastAsia="宋体" w:cs="宋体"/>
                      <w:i w:val="0"/>
                      <w:iCs w:val="0"/>
                      <w:color w:val="auto"/>
                      <w:kern w:val="0"/>
                      <w:sz w:val="21"/>
                      <w:szCs w:val="21"/>
                      <w:u w:val="none"/>
                      <w:lang w:val="en-US" w:eastAsia="zh-CN" w:bidi="ar"/>
                    </w:rPr>
                    <w:t>个</w:t>
                  </w:r>
                  <w:r>
                    <w:rPr>
                      <w:rFonts w:hint="default" w:ascii="Times New Roman" w:hAnsi="Times New Roman" w:eastAsia="宋体" w:cs="Times New Roman"/>
                      <w:i w:val="0"/>
                      <w:iCs w:val="0"/>
                      <w:color w:val="auto"/>
                      <w:kern w:val="0"/>
                      <w:sz w:val="21"/>
                      <w:szCs w:val="21"/>
                      <w:u w:val="none"/>
                      <w:lang w:val="en-US" w:eastAsia="zh-CN" w:bidi="ar"/>
                    </w:rPr>
                    <w:t>/L</w:t>
                  </w:r>
                </w:p>
              </w:tc>
            </w:tr>
            <w:tr w14:paraId="666CC23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7" w:hRule="atLeast"/>
                <w:jc w:val="center"/>
              </w:trPr>
              <w:tc>
                <w:tcPr>
                  <w:tcW w:w="500" w:type="pct"/>
                  <w:vMerge w:val="continue"/>
                  <w:tcBorders>
                    <w:tl2br w:val="nil"/>
                    <w:tr2bl w:val="nil"/>
                  </w:tcBorders>
                  <w:noWrap w:val="0"/>
                  <w:vAlign w:val="center"/>
                </w:tcPr>
                <w:p w14:paraId="7BC5DEAD">
                  <w:pPr>
                    <w:adjustRightInd w:val="0"/>
                    <w:snapToGrid w:val="0"/>
                    <w:jc w:val="center"/>
                    <w:rPr>
                      <w:color w:val="000000" w:themeColor="text1"/>
                      <w:sz w:val="21"/>
                      <w:szCs w:val="21"/>
                      <w14:textFill>
                        <w14:solidFill>
                          <w14:schemeClr w14:val="tx1"/>
                        </w14:solidFill>
                      </w14:textFill>
                    </w:rPr>
                  </w:pPr>
                </w:p>
              </w:tc>
              <w:tc>
                <w:tcPr>
                  <w:tcW w:w="814" w:type="pct"/>
                  <w:vMerge w:val="continue"/>
                  <w:tcBorders>
                    <w:tl2br w:val="nil"/>
                    <w:tr2bl w:val="nil"/>
                  </w:tcBorders>
                  <w:noWrap w:val="0"/>
                  <w:vAlign w:val="center"/>
                </w:tcPr>
                <w:p w14:paraId="4164843C">
                  <w:pPr>
                    <w:adjustRightInd w:val="0"/>
                    <w:snapToGrid w:val="0"/>
                    <w:jc w:val="center"/>
                    <w:rPr>
                      <w:color w:val="000000" w:themeColor="text1"/>
                      <w:sz w:val="21"/>
                      <w:szCs w:val="21"/>
                      <w14:textFill>
                        <w14:solidFill>
                          <w14:schemeClr w14:val="tx1"/>
                        </w14:solidFill>
                      </w14:textFill>
                    </w:rPr>
                  </w:pPr>
                </w:p>
              </w:tc>
              <w:tc>
                <w:tcPr>
                  <w:tcW w:w="793" w:type="pct"/>
                  <w:tcBorders>
                    <w:tl2br w:val="nil"/>
                    <w:tr2bl w:val="nil"/>
                  </w:tcBorders>
                  <w:noWrap w:val="0"/>
                  <w:vAlign w:val="center"/>
                </w:tcPr>
                <w:p w14:paraId="22ACD4B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cs="Times New Roman"/>
                      <w:b w:val="0"/>
                      <w:bCs/>
                      <w:color w:val="000000" w:themeColor="text1"/>
                      <w:spacing w:val="0"/>
                      <w:sz w:val="21"/>
                      <w:szCs w:val="21"/>
                      <w:highlight w:val="none"/>
                      <w:vertAlign w:val="baseline"/>
                      <w:lang w:val="en-US" w:eastAsia="zh-CN"/>
                      <w14:textFill>
                        <w14:solidFill>
                          <w14:schemeClr w14:val="tx1"/>
                        </w14:solidFill>
                      </w14:textFill>
                    </w:rPr>
                    <w:t>LAS</w:t>
                  </w:r>
                </w:p>
              </w:tc>
              <w:tc>
                <w:tcPr>
                  <w:tcW w:w="1004" w:type="pct"/>
                  <w:tcBorders>
                    <w:tl2br w:val="nil"/>
                    <w:tr2bl w:val="nil"/>
                  </w:tcBorders>
                  <w:noWrap w:val="0"/>
                  <w:vAlign w:val="center"/>
                </w:tcPr>
                <w:p w14:paraId="47FB019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b w:val="0"/>
                      <w:bCs/>
                      <w:color w:val="000000" w:themeColor="text1"/>
                      <w:spacing w:val="0"/>
                      <w:sz w:val="21"/>
                      <w:szCs w:val="21"/>
                      <w:highlight w:val="none"/>
                      <w:vertAlign w:val="baseline"/>
                      <w:lang w:val="en-US" w:eastAsia="zh-CN"/>
                      <w14:textFill>
                        <w14:solidFill>
                          <w14:schemeClr w14:val="tx1"/>
                        </w14:solidFill>
                      </w14:textFill>
                    </w:rPr>
                    <w:t>0.5</w:t>
                  </w:r>
                </w:p>
              </w:tc>
              <w:tc>
                <w:tcPr>
                  <w:tcW w:w="907" w:type="pct"/>
                  <w:tcBorders>
                    <w:tl2br w:val="nil"/>
                    <w:tr2bl w:val="nil"/>
                  </w:tcBorders>
                  <w:shd w:val="clear" w:color="auto" w:fill="auto"/>
                  <w:noWrap w:val="0"/>
                  <w:vAlign w:val="center"/>
                </w:tcPr>
                <w:p w14:paraId="651154CD">
                  <w:pPr>
                    <w:bidi w:val="0"/>
                    <w:jc w:val="center"/>
                    <w:rPr>
                      <w:rFonts w:hint="default"/>
                      <w:lang w:val="en-US" w:eastAsia="zh-CN"/>
                    </w:rPr>
                  </w:pPr>
                  <w:r>
                    <w:rPr>
                      <w:rFonts w:hint="eastAsia"/>
                      <w:lang w:val="en-US" w:eastAsia="zh-CN"/>
                    </w:rPr>
                    <w:t>6.6555E-07</w:t>
                  </w:r>
                </w:p>
              </w:tc>
              <w:tc>
                <w:tcPr>
                  <w:tcW w:w="981" w:type="pct"/>
                  <w:tcBorders>
                    <w:tl2br w:val="nil"/>
                    <w:tr2bl w:val="nil"/>
                  </w:tcBorders>
                  <w:noWrap w:val="0"/>
                  <w:vAlign w:val="center"/>
                </w:tcPr>
                <w:p w14:paraId="104480A2">
                  <w:pPr>
                    <w:keepNext w:val="0"/>
                    <w:keepLines w:val="0"/>
                    <w:widowControl/>
                    <w:suppressLineNumbers w:val="0"/>
                    <w:jc w:val="center"/>
                    <w:textAlignment w:val="center"/>
                    <w:rPr>
                      <w:rFonts w:hint="default"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0.0002 </w:t>
                  </w:r>
                </w:p>
              </w:tc>
            </w:tr>
            <w:tr w14:paraId="0E43EBC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7" w:hRule="atLeast"/>
                <w:jc w:val="center"/>
              </w:trPr>
              <w:tc>
                <w:tcPr>
                  <w:tcW w:w="500" w:type="pct"/>
                  <w:vMerge w:val="continue"/>
                  <w:tcBorders>
                    <w:tl2br w:val="nil"/>
                    <w:tr2bl w:val="nil"/>
                  </w:tcBorders>
                  <w:noWrap w:val="0"/>
                  <w:vAlign w:val="center"/>
                </w:tcPr>
                <w:p w14:paraId="67E72242">
                  <w:pPr>
                    <w:adjustRightInd w:val="0"/>
                    <w:snapToGrid w:val="0"/>
                    <w:jc w:val="center"/>
                    <w:rPr>
                      <w:rFonts w:hint="eastAsia" w:eastAsia="宋体" w:cs="Times New Roman"/>
                      <w:snapToGrid w:val="0"/>
                      <w:color w:val="000000" w:themeColor="text1"/>
                      <w:spacing w:val="0"/>
                      <w:kern w:val="0"/>
                      <w:sz w:val="21"/>
                      <w:szCs w:val="21"/>
                      <w:lang w:val="en-US" w:eastAsia="zh-CN" w:bidi="ar-SA"/>
                      <w14:textFill>
                        <w14:solidFill>
                          <w14:schemeClr w14:val="tx1"/>
                        </w14:solidFill>
                      </w14:textFill>
                    </w:rPr>
                  </w:pPr>
                </w:p>
              </w:tc>
              <w:tc>
                <w:tcPr>
                  <w:tcW w:w="814" w:type="pct"/>
                  <w:vMerge w:val="continue"/>
                  <w:tcBorders>
                    <w:tl2br w:val="nil"/>
                    <w:tr2bl w:val="nil"/>
                  </w:tcBorders>
                  <w:noWrap w:val="0"/>
                  <w:vAlign w:val="center"/>
                </w:tcPr>
                <w:p w14:paraId="1F64876C">
                  <w:pPr>
                    <w:adjustRightInd w:val="0"/>
                    <w:snapToGrid w:val="0"/>
                    <w:jc w:val="center"/>
                    <w:rPr>
                      <w:rFonts w:hint="eastAsia" w:eastAsia="宋体" w:cs="Times New Roman"/>
                      <w:snapToGrid w:val="0"/>
                      <w:color w:val="000000" w:themeColor="text1"/>
                      <w:spacing w:val="0"/>
                      <w:kern w:val="0"/>
                      <w:sz w:val="21"/>
                      <w:szCs w:val="21"/>
                      <w:lang w:val="en-US" w:eastAsia="zh-CN" w:bidi="ar-SA"/>
                      <w14:textFill>
                        <w14:solidFill>
                          <w14:schemeClr w14:val="tx1"/>
                        </w14:solidFill>
                      </w14:textFill>
                    </w:rPr>
                  </w:pPr>
                </w:p>
              </w:tc>
              <w:tc>
                <w:tcPr>
                  <w:tcW w:w="793" w:type="pct"/>
                  <w:tcBorders>
                    <w:tl2br w:val="nil"/>
                    <w:tr2bl w:val="nil"/>
                  </w:tcBorders>
                  <w:noWrap w:val="0"/>
                  <w:vAlign w:val="center"/>
                </w:tcPr>
                <w:p w14:paraId="5720FF5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cs="Times New Roman"/>
                      <w:b w:val="0"/>
                      <w:bCs/>
                      <w:color w:val="000000" w:themeColor="text1"/>
                      <w:spacing w:val="0"/>
                      <w:sz w:val="21"/>
                      <w:szCs w:val="21"/>
                      <w:highlight w:val="none"/>
                      <w:vertAlign w:val="baseline"/>
                      <w:lang w:val="en-US" w:eastAsia="zh-CN"/>
                      <w14:textFill>
                        <w14:solidFill>
                          <w14:schemeClr w14:val="tx1"/>
                        </w14:solidFill>
                      </w14:textFill>
                    </w:rPr>
                    <w:t>总余氯</w:t>
                  </w:r>
                </w:p>
              </w:tc>
              <w:tc>
                <w:tcPr>
                  <w:tcW w:w="1004" w:type="pct"/>
                  <w:tcBorders>
                    <w:tl2br w:val="nil"/>
                    <w:tr2bl w:val="nil"/>
                  </w:tcBorders>
                  <w:noWrap w:val="0"/>
                  <w:vAlign w:val="center"/>
                </w:tcPr>
                <w:p w14:paraId="7EC4D76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lang w:val="en-US" w:eastAsia="zh-CN"/>
                      <w14:textFill>
                        <w14:solidFill>
                          <w14:schemeClr w14:val="tx1"/>
                        </w14:solidFill>
                      </w14:textFill>
                    </w:rPr>
                    <w:t>/</w:t>
                  </w:r>
                </w:p>
              </w:tc>
              <w:tc>
                <w:tcPr>
                  <w:tcW w:w="907" w:type="pct"/>
                  <w:tcBorders>
                    <w:tl2br w:val="nil"/>
                    <w:tr2bl w:val="nil"/>
                  </w:tcBorders>
                  <w:noWrap w:val="0"/>
                  <w:vAlign w:val="center"/>
                </w:tcPr>
                <w:p w14:paraId="2CC57624">
                  <w:pPr>
                    <w:adjustRightInd w:val="0"/>
                    <w:snapToGrid w:val="0"/>
                    <w:jc w:val="center"/>
                    <w:rPr>
                      <w:rFonts w:hint="default"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bidi="ar-SA"/>
                      <w14:textFill>
                        <w14:solidFill>
                          <w14:schemeClr w14:val="tx1"/>
                        </w14:solidFill>
                      </w14:textFill>
                    </w:rPr>
                    <w:t>/</w:t>
                  </w:r>
                </w:p>
              </w:tc>
              <w:tc>
                <w:tcPr>
                  <w:tcW w:w="981" w:type="pct"/>
                  <w:tcBorders>
                    <w:tl2br w:val="nil"/>
                    <w:tr2bl w:val="nil"/>
                  </w:tcBorders>
                  <w:noWrap w:val="0"/>
                  <w:vAlign w:val="center"/>
                </w:tcPr>
                <w:p w14:paraId="1142A90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b w:val="0"/>
                      <w:bCs/>
                      <w:color w:val="000000" w:themeColor="text1"/>
                      <w:spacing w:val="0"/>
                      <w:sz w:val="21"/>
                      <w:szCs w:val="21"/>
                      <w:highlight w:val="none"/>
                      <w:vertAlign w:val="baseline"/>
                      <w:lang w:val="en-US" w:eastAsia="zh-CN"/>
                      <w14:textFill>
                        <w14:solidFill>
                          <w14:schemeClr w14:val="tx1"/>
                        </w14:solidFill>
                      </w14:textFill>
                    </w:rPr>
                    <w:t>/</w:t>
                  </w:r>
                </w:p>
              </w:tc>
            </w:tr>
            <w:tr w14:paraId="21AD6D0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1314" w:type="pct"/>
                  <w:gridSpan w:val="2"/>
                  <w:vMerge w:val="restart"/>
                  <w:tcBorders>
                    <w:tl2br w:val="nil"/>
                    <w:tr2bl w:val="nil"/>
                  </w:tcBorders>
                  <w:noWrap w:val="0"/>
                  <w:vAlign w:val="center"/>
                </w:tcPr>
                <w:p w14:paraId="3BE64CE8">
                  <w:pPr>
                    <w:pStyle w:val="41"/>
                    <w:spacing w:beforeLines="0" w:afterLines="0" w:line="240" w:lineRule="auto"/>
                    <w:ind w:left="0" w:leftChars="0" w:firstLine="0" w:firstLineChars="0"/>
                    <w:jc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t>排放口合计</w:t>
                  </w:r>
                </w:p>
              </w:tc>
              <w:tc>
                <w:tcPr>
                  <w:tcW w:w="2704" w:type="pct"/>
                  <w:gridSpan w:val="3"/>
                  <w:tcBorders>
                    <w:tl2br w:val="nil"/>
                    <w:tr2bl w:val="nil"/>
                  </w:tcBorders>
                  <w:noWrap w:val="0"/>
                  <w:vAlign w:val="center"/>
                </w:tcPr>
                <w:p w14:paraId="0F0C2529">
                  <w:pPr>
                    <w:adjustRightInd w:val="0"/>
                    <w:snapToGrid w:val="0"/>
                    <w:jc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t>pH</w:t>
                  </w:r>
                </w:p>
              </w:tc>
              <w:tc>
                <w:tcPr>
                  <w:tcW w:w="981" w:type="pct"/>
                  <w:tcBorders>
                    <w:tl2br w:val="nil"/>
                    <w:tr2bl w:val="nil"/>
                  </w:tcBorders>
                  <w:noWrap w:val="0"/>
                  <w:vAlign w:val="center"/>
                </w:tcPr>
                <w:p w14:paraId="7ACB4C63">
                  <w:pPr>
                    <w:adjustRightInd w:val="0"/>
                    <w:snapToGrid w:val="0"/>
                    <w:jc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t>/</w:t>
                  </w:r>
                </w:p>
              </w:tc>
            </w:tr>
            <w:tr w14:paraId="0961159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1314" w:type="pct"/>
                  <w:gridSpan w:val="2"/>
                  <w:vMerge w:val="continue"/>
                  <w:tcBorders>
                    <w:tl2br w:val="nil"/>
                    <w:tr2bl w:val="nil"/>
                  </w:tcBorders>
                  <w:noWrap w:val="0"/>
                  <w:vAlign w:val="center"/>
                </w:tcPr>
                <w:p w14:paraId="2034BACF">
                  <w:pPr>
                    <w:pStyle w:val="41"/>
                    <w:spacing w:beforeLines="0" w:afterLines="0" w:line="240" w:lineRule="auto"/>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p>
              </w:tc>
              <w:tc>
                <w:tcPr>
                  <w:tcW w:w="2704" w:type="pct"/>
                  <w:gridSpan w:val="3"/>
                  <w:tcBorders>
                    <w:tl2br w:val="nil"/>
                    <w:tr2bl w:val="nil"/>
                  </w:tcBorders>
                  <w:noWrap w:val="0"/>
                  <w:vAlign w:val="center"/>
                </w:tcPr>
                <w:p w14:paraId="2B277A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cs="Times New Roman"/>
                      <w:b w:val="0"/>
                      <w:bCs/>
                      <w:color w:val="000000" w:themeColor="text1"/>
                      <w:spacing w:val="0"/>
                      <w:sz w:val="21"/>
                      <w:szCs w:val="21"/>
                      <w:highlight w:val="none"/>
                      <w:vertAlign w:val="baseline"/>
                      <w:lang w:val="en-US" w:eastAsia="zh-CN"/>
                      <w14:textFill>
                        <w14:solidFill>
                          <w14:schemeClr w14:val="tx1"/>
                        </w14:solidFill>
                      </w14:textFill>
                    </w:rPr>
                    <w:t>COD</w:t>
                  </w:r>
                </w:p>
              </w:tc>
              <w:tc>
                <w:tcPr>
                  <w:tcW w:w="2459" w:type="dxa"/>
                  <w:tcBorders>
                    <w:tl2br w:val="nil"/>
                    <w:tr2bl w:val="nil"/>
                  </w:tcBorders>
                  <w:noWrap w:val="0"/>
                  <w:vAlign w:val="center"/>
                </w:tcPr>
                <w:p w14:paraId="71A712F1">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auto"/>
                      <w:kern w:val="0"/>
                      <w:sz w:val="21"/>
                      <w:szCs w:val="21"/>
                      <w:u w:val="none"/>
                      <w:lang w:val="en-US" w:eastAsia="zh-CN" w:bidi="ar"/>
                    </w:rPr>
                    <w:t xml:space="preserve">0.015 </w:t>
                  </w:r>
                </w:p>
              </w:tc>
            </w:tr>
            <w:tr w14:paraId="6067284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1314" w:type="pct"/>
                  <w:gridSpan w:val="2"/>
                  <w:vMerge w:val="continue"/>
                  <w:tcBorders>
                    <w:tl2br w:val="nil"/>
                    <w:tr2bl w:val="nil"/>
                  </w:tcBorders>
                  <w:noWrap w:val="0"/>
                  <w:vAlign w:val="center"/>
                </w:tcPr>
                <w:p w14:paraId="32F49C8E">
                  <w:pPr>
                    <w:pStyle w:val="41"/>
                    <w:spacing w:beforeLines="0" w:afterLines="0" w:line="240" w:lineRule="auto"/>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p>
              </w:tc>
              <w:tc>
                <w:tcPr>
                  <w:tcW w:w="2704" w:type="pct"/>
                  <w:gridSpan w:val="3"/>
                  <w:tcBorders>
                    <w:tl2br w:val="nil"/>
                    <w:tr2bl w:val="nil"/>
                  </w:tcBorders>
                  <w:noWrap w:val="0"/>
                  <w:vAlign w:val="center"/>
                </w:tcPr>
                <w:p w14:paraId="5B2E5DC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cs="Times New Roman"/>
                      <w:b w:val="0"/>
                      <w:bCs/>
                      <w:color w:val="000000" w:themeColor="text1"/>
                      <w:spacing w:val="0"/>
                      <w:sz w:val="21"/>
                      <w:szCs w:val="21"/>
                      <w:highlight w:val="none"/>
                      <w:vertAlign w:val="baseline"/>
                      <w:lang w:val="en-US" w:eastAsia="zh-CN"/>
                      <w14:textFill>
                        <w14:solidFill>
                          <w14:schemeClr w14:val="tx1"/>
                        </w14:solidFill>
                      </w14:textFill>
                    </w:rPr>
                    <w:t>BOD</w:t>
                  </w:r>
                  <w:r>
                    <w:rPr>
                      <w:rFonts w:hint="default" w:ascii="Times New Roman" w:hAnsi="Times New Roman" w:cs="Times New Roman"/>
                      <w:b w:val="0"/>
                      <w:bCs/>
                      <w:color w:val="000000" w:themeColor="text1"/>
                      <w:spacing w:val="0"/>
                      <w:sz w:val="21"/>
                      <w:szCs w:val="21"/>
                      <w:highlight w:val="none"/>
                      <w:vertAlign w:val="subscript"/>
                      <w:lang w:val="en-US" w:eastAsia="zh-CN"/>
                      <w14:textFill>
                        <w14:solidFill>
                          <w14:schemeClr w14:val="tx1"/>
                        </w14:solidFill>
                      </w14:textFill>
                    </w:rPr>
                    <w:t>5</w:t>
                  </w:r>
                </w:p>
              </w:tc>
              <w:tc>
                <w:tcPr>
                  <w:tcW w:w="2459" w:type="dxa"/>
                  <w:tcBorders>
                    <w:tl2br w:val="nil"/>
                    <w:tr2bl w:val="nil"/>
                  </w:tcBorders>
                  <w:noWrap w:val="0"/>
                  <w:vAlign w:val="center"/>
                </w:tcPr>
                <w:p w14:paraId="3BA2F804">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auto"/>
                      <w:kern w:val="0"/>
                      <w:sz w:val="21"/>
                      <w:szCs w:val="21"/>
                      <w:u w:val="none"/>
                      <w:lang w:val="en-US" w:eastAsia="zh-CN" w:bidi="ar"/>
                    </w:rPr>
                    <w:t xml:space="preserve">0.003 </w:t>
                  </w:r>
                </w:p>
              </w:tc>
            </w:tr>
            <w:tr w14:paraId="6EFEE02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1314" w:type="pct"/>
                  <w:gridSpan w:val="2"/>
                  <w:vMerge w:val="continue"/>
                  <w:tcBorders>
                    <w:tl2br w:val="nil"/>
                    <w:tr2bl w:val="nil"/>
                  </w:tcBorders>
                  <w:noWrap w:val="0"/>
                  <w:vAlign w:val="center"/>
                </w:tcPr>
                <w:p w14:paraId="64280BF1">
                  <w:pPr>
                    <w:pStyle w:val="41"/>
                    <w:spacing w:beforeLines="0" w:afterLines="0" w:line="240" w:lineRule="auto"/>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p>
              </w:tc>
              <w:tc>
                <w:tcPr>
                  <w:tcW w:w="2704" w:type="pct"/>
                  <w:gridSpan w:val="3"/>
                  <w:tcBorders>
                    <w:tl2br w:val="nil"/>
                    <w:tr2bl w:val="nil"/>
                  </w:tcBorders>
                  <w:noWrap w:val="0"/>
                  <w:vAlign w:val="center"/>
                </w:tcPr>
                <w:p w14:paraId="6E1AF95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cs="Times New Roman"/>
                      <w:b w:val="0"/>
                      <w:bCs/>
                      <w:color w:val="000000" w:themeColor="text1"/>
                      <w:spacing w:val="0"/>
                      <w:sz w:val="21"/>
                      <w:szCs w:val="21"/>
                      <w:highlight w:val="none"/>
                      <w:vertAlign w:val="baseline"/>
                      <w:lang w:val="en-US" w:eastAsia="zh-CN"/>
                      <w14:textFill>
                        <w14:solidFill>
                          <w14:schemeClr w14:val="tx1"/>
                        </w14:solidFill>
                      </w14:textFill>
                    </w:rPr>
                    <w:t>氨氮</w:t>
                  </w:r>
                </w:p>
              </w:tc>
              <w:tc>
                <w:tcPr>
                  <w:tcW w:w="2459" w:type="dxa"/>
                  <w:tcBorders>
                    <w:tl2br w:val="nil"/>
                    <w:tr2bl w:val="nil"/>
                  </w:tcBorders>
                  <w:noWrap w:val="0"/>
                  <w:vAlign w:val="center"/>
                </w:tcPr>
                <w:p w14:paraId="117ECB7D">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auto"/>
                      <w:kern w:val="0"/>
                      <w:sz w:val="21"/>
                      <w:szCs w:val="21"/>
                      <w:u w:val="none"/>
                      <w:lang w:val="en-US" w:eastAsia="zh-CN" w:bidi="ar"/>
                    </w:rPr>
                    <w:t xml:space="preserve">0.001 </w:t>
                  </w:r>
                </w:p>
              </w:tc>
            </w:tr>
            <w:tr w14:paraId="607A0FD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1314" w:type="pct"/>
                  <w:gridSpan w:val="2"/>
                  <w:vMerge w:val="continue"/>
                  <w:tcBorders>
                    <w:tl2br w:val="nil"/>
                    <w:tr2bl w:val="nil"/>
                  </w:tcBorders>
                  <w:noWrap w:val="0"/>
                  <w:vAlign w:val="center"/>
                </w:tcPr>
                <w:p w14:paraId="361B0D7A">
                  <w:pPr>
                    <w:pStyle w:val="41"/>
                    <w:spacing w:beforeLines="0" w:afterLines="0" w:line="240" w:lineRule="auto"/>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p>
              </w:tc>
              <w:tc>
                <w:tcPr>
                  <w:tcW w:w="2704" w:type="pct"/>
                  <w:gridSpan w:val="3"/>
                  <w:tcBorders>
                    <w:tl2br w:val="nil"/>
                    <w:tr2bl w:val="nil"/>
                  </w:tcBorders>
                  <w:noWrap w:val="0"/>
                  <w:vAlign w:val="center"/>
                </w:tcPr>
                <w:p w14:paraId="7BD69E4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cs="Times New Roman"/>
                      <w:b w:val="0"/>
                      <w:bCs/>
                      <w:color w:val="000000" w:themeColor="text1"/>
                      <w:spacing w:val="0"/>
                      <w:sz w:val="21"/>
                      <w:szCs w:val="21"/>
                      <w:highlight w:val="none"/>
                      <w:vertAlign w:val="baseline"/>
                      <w:lang w:val="en-US" w:eastAsia="zh-CN"/>
                      <w14:textFill>
                        <w14:solidFill>
                          <w14:schemeClr w14:val="tx1"/>
                        </w14:solidFill>
                      </w14:textFill>
                    </w:rPr>
                    <w:t>SS</w:t>
                  </w:r>
                </w:p>
              </w:tc>
              <w:tc>
                <w:tcPr>
                  <w:tcW w:w="2459" w:type="dxa"/>
                  <w:tcBorders>
                    <w:tl2br w:val="nil"/>
                    <w:tr2bl w:val="nil"/>
                  </w:tcBorders>
                  <w:noWrap w:val="0"/>
                  <w:vAlign w:val="center"/>
                </w:tcPr>
                <w:p w14:paraId="117D5801">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auto"/>
                      <w:kern w:val="0"/>
                      <w:sz w:val="21"/>
                      <w:szCs w:val="21"/>
                      <w:u w:val="none"/>
                      <w:lang w:val="en-US" w:eastAsia="zh-CN" w:bidi="ar"/>
                    </w:rPr>
                    <w:t xml:space="preserve">0.005 </w:t>
                  </w:r>
                </w:p>
              </w:tc>
            </w:tr>
            <w:tr w14:paraId="0208339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1314" w:type="pct"/>
                  <w:gridSpan w:val="2"/>
                  <w:vMerge w:val="continue"/>
                  <w:tcBorders>
                    <w:tl2br w:val="nil"/>
                    <w:tr2bl w:val="nil"/>
                  </w:tcBorders>
                  <w:noWrap w:val="0"/>
                  <w:vAlign w:val="center"/>
                </w:tcPr>
                <w:p w14:paraId="4AD40E9B">
                  <w:pPr>
                    <w:pStyle w:val="41"/>
                    <w:spacing w:beforeLines="0" w:afterLines="0" w:line="240" w:lineRule="auto"/>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p>
              </w:tc>
              <w:tc>
                <w:tcPr>
                  <w:tcW w:w="2704" w:type="pct"/>
                  <w:gridSpan w:val="3"/>
                  <w:tcBorders>
                    <w:tl2br w:val="nil"/>
                    <w:tr2bl w:val="nil"/>
                  </w:tcBorders>
                  <w:noWrap w:val="0"/>
                  <w:vAlign w:val="center"/>
                </w:tcPr>
                <w:p w14:paraId="1D568C5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cs="Times New Roman"/>
                      <w:b w:val="0"/>
                      <w:bCs/>
                      <w:color w:val="000000" w:themeColor="text1"/>
                      <w:spacing w:val="0"/>
                      <w:sz w:val="21"/>
                      <w:szCs w:val="21"/>
                      <w:highlight w:val="none"/>
                      <w:vertAlign w:val="baseline"/>
                      <w:lang w:val="en-US" w:eastAsia="zh-CN"/>
                      <w14:textFill>
                        <w14:solidFill>
                          <w14:schemeClr w14:val="tx1"/>
                        </w14:solidFill>
                      </w14:textFill>
                    </w:rPr>
                    <w:t>TP</w:t>
                  </w:r>
                </w:p>
              </w:tc>
              <w:tc>
                <w:tcPr>
                  <w:tcW w:w="2459" w:type="dxa"/>
                  <w:tcBorders>
                    <w:tl2br w:val="nil"/>
                    <w:tr2bl w:val="nil"/>
                  </w:tcBorders>
                  <w:noWrap w:val="0"/>
                  <w:vAlign w:val="center"/>
                </w:tcPr>
                <w:p w14:paraId="40A0ACFE">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auto"/>
                      <w:kern w:val="0"/>
                      <w:sz w:val="21"/>
                      <w:szCs w:val="21"/>
                      <w:u w:val="none"/>
                      <w:lang w:val="en-US" w:eastAsia="zh-CN" w:bidi="ar"/>
                    </w:rPr>
                    <w:t xml:space="preserve">0.0001 </w:t>
                  </w:r>
                </w:p>
              </w:tc>
            </w:tr>
            <w:tr w14:paraId="63F3B70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04" w:hRule="atLeast"/>
                <w:jc w:val="center"/>
              </w:trPr>
              <w:tc>
                <w:tcPr>
                  <w:tcW w:w="1314" w:type="pct"/>
                  <w:gridSpan w:val="2"/>
                  <w:vMerge w:val="continue"/>
                  <w:tcBorders>
                    <w:tl2br w:val="nil"/>
                    <w:tr2bl w:val="nil"/>
                  </w:tcBorders>
                  <w:noWrap w:val="0"/>
                  <w:vAlign w:val="center"/>
                </w:tcPr>
                <w:p w14:paraId="0CA35A4D">
                  <w:pPr>
                    <w:pStyle w:val="41"/>
                    <w:spacing w:beforeLines="0" w:afterLines="0" w:line="240" w:lineRule="auto"/>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p>
              </w:tc>
              <w:tc>
                <w:tcPr>
                  <w:tcW w:w="2704" w:type="pct"/>
                  <w:gridSpan w:val="3"/>
                  <w:tcBorders>
                    <w:tl2br w:val="nil"/>
                    <w:tr2bl w:val="nil"/>
                  </w:tcBorders>
                  <w:noWrap w:val="0"/>
                  <w:vAlign w:val="center"/>
                </w:tcPr>
                <w:p w14:paraId="4EE25B0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cs="Times New Roman"/>
                      <w:b w:val="0"/>
                      <w:bCs/>
                      <w:color w:val="000000" w:themeColor="text1"/>
                      <w:spacing w:val="0"/>
                      <w:sz w:val="21"/>
                      <w:szCs w:val="21"/>
                      <w:highlight w:val="none"/>
                      <w:vertAlign w:val="baseline"/>
                      <w:lang w:val="en-US" w:eastAsia="zh-CN"/>
                      <w14:textFill>
                        <w14:solidFill>
                          <w14:schemeClr w14:val="tx1"/>
                        </w14:solidFill>
                      </w14:textFill>
                    </w:rPr>
                    <w:t>粪大肠菌群</w:t>
                  </w:r>
                </w:p>
              </w:tc>
              <w:tc>
                <w:tcPr>
                  <w:tcW w:w="2459" w:type="dxa"/>
                  <w:tcBorders>
                    <w:tl2br w:val="nil"/>
                    <w:tr2bl w:val="nil"/>
                  </w:tcBorders>
                  <w:noWrap w:val="0"/>
                  <w:vAlign w:val="center"/>
                </w:tcPr>
                <w:p w14:paraId="51A6A67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vertAlign w:val="baseline"/>
                      <w:lang w:val="en-US" w:eastAsia="zh-CN" w:bidi="ar"/>
                      <w14:textFill>
                        <w14:solidFill>
                          <w14:schemeClr w14:val="tx1"/>
                        </w14:solidFill>
                      </w14:textFill>
                    </w:rPr>
                  </w:pPr>
                  <w:r>
                    <w:rPr>
                      <w:rFonts w:hint="default" w:ascii="Times New Roman" w:hAnsi="Times New Roman" w:eastAsia="宋体" w:cs="Times New Roman"/>
                      <w:i w:val="0"/>
                      <w:iCs w:val="0"/>
                      <w:color w:val="auto"/>
                      <w:kern w:val="0"/>
                      <w:sz w:val="21"/>
                      <w:szCs w:val="21"/>
                      <w:u w:val="none"/>
                      <w:lang w:val="en-US" w:eastAsia="zh-CN" w:bidi="ar"/>
                    </w:rPr>
                    <w:t>3.9×10</w:t>
                  </w:r>
                  <w:r>
                    <w:rPr>
                      <w:rFonts w:hint="default" w:ascii="Times New Roman" w:hAnsi="Times New Roman" w:eastAsia="宋体" w:cs="Times New Roman"/>
                      <w:i w:val="0"/>
                      <w:iCs w:val="0"/>
                      <w:color w:val="auto"/>
                      <w:kern w:val="0"/>
                      <w:sz w:val="21"/>
                      <w:szCs w:val="21"/>
                      <w:u w:val="none"/>
                      <w:vertAlign w:val="superscript"/>
                      <w:lang w:val="en-US" w:eastAsia="zh-CN" w:bidi="ar"/>
                    </w:rPr>
                    <w:t>8</w:t>
                  </w:r>
                  <w:r>
                    <w:rPr>
                      <w:rFonts w:hint="eastAsia" w:ascii="宋体" w:hAnsi="宋体" w:eastAsia="宋体" w:cs="宋体"/>
                      <w:i w:val="0"/>
                      <w:iCs w:val="0"/>
                      <w:color w:val="auto"/>
                      <w:kern w:val="0"/>
                      <w:sz w:val="21"/>
                      <w:szCs w:val="21"/>
                      <w:u w:val="none"/>
                      <w:lang w:val="en-US" w:eastAsia="zh-CN" w:bidi="ar"/>
                    </w:rPr>
                    <w:t>个</w:t>
                  </w:r>
                  <w:r>
                    <w:rPr>
                      <w:rFonts w:hint="default" w:ascii="Times New Roman" w:hAnsi="Times New Roman" w:eastAsia="宋体" w:cs="Times New Roman"/>
                      <w:i w:val="0"/>
                      <w:iCs w:val="0"/>
                      <w:color w:val="auto"/>
                      <w:kern w:val="0"/>
                      <w:sz w:val="21"/>
                      <w:szCs w:val="21"/>
                      <w:u w:val="none"/>
                      <w:lang w:val="en-US" w:eastAsia="zh-CN" w:bidi="ar"/>
                    </w:rPr>
                    <w:t>/L</w:t>
                  </w:r>
                </w:p>
              </w:tc>
            </w:tr>
            <w:tr w14:paraId="08F3813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04" w:hRule="atLeast"/>
                <w:jc w:val="center"/>
              </w:trPr>
              <w:tc>
                <w:tcPr>
                  <w:tcW w:w="1314" w:type="pct"/>
                  <w:gridSpan w:val="2"/>
                  <w:vMerge w:val="continue"/>
                  <w:tcBorders>
                    <w:tl2br w:val="nil"/>
                    <w:tr2bl w:val="nil"/>
                  </w:tcBorders>
                  <w:noWrap w:val="0"/>
                  <w:vAlign w:val="center"/>
                </w:tcPr>
                <w:p w14:paraId="7D50D95B">
                  <w:pPr>
                    <w:adjustRightInd w:val="0"/>
                    <w:snapToGrid w:val="0"/>
                    <w:jc w:val="center"/>
                    <w:rPr>
                      <w:color w:val="000000" w:themeColor="text1"/>
                      <w14:textFill>
                        <w14:solidFill>
                          <w14:schemeClr w14:val="tx1"/>
                        </w14:solidFill>
                      </w14:textFill>
                    </w:rPr>
                  </w:pPr>
                </w:p>
              </w:tc>
              <w:tc>
                <w:tcPr>
                  <w:tcW w:w="2704" w:type="pct"/>
                  <w:gridSpan w:val="3"/>
                  <w:tcBorders>
                    <w:tl2br w:val="nil"/>
                    <w:tr2bl w:val="nil"/>
                  </w:tcBorders>
                  <w:noWrap w:val="0"/>
                  <w:vAlign w:val="center"/>
                </w:tcPr>
                <w:p w14:paraId="71C9DA8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cs="Times New Roman"/>
                      <w:b w:val="0"/>
                      <w:bCs/>
                      <w:color w:val="000000" w:themeColor="text1"/>
                      <w:spacing w:val="0"/>
                      <w:sz w:val="21"/>
                      <w:szCs w:val="21"/>
                      <w:highlight w:val="none"/>
                      <w:vertAlign w:val="baseline"/>
                      <w:lang w:val="en-US" w:eastAsia="zh-CN"/>
                      <w14:textFill>
                        <w14:solidFill>
                          <w14:schemeClr w14:val="tx1"/>
                        </w14:solidFill>
                      </w14:textFill>
                    </w:rPr>
                    <w:t>LAS</w:t>
                  </w:r>
                </w:p>
              </w:tc>
              <w:tc>
                <w:tcPr>
                  <w:tcW w:w="2459" w:type="dxa"/>
                  <w:tcBorders>
                    <w:tl2br w:val="nil"/>
                    <w:tr2bl w:val="nil"/>
                  </w:tcBorders>
                  <w:noWrap w:val="0"/>
                  <w:vAlign w:val="center"/>
                </w:tcPr>
                <w:p w14:paraId="4B7972A0">
                  <w:pPr>
                    <w:keepNext w:val="0"/>
                    <w:keepLines w:val="0"/>
                    <w:widowControl/>
                    <w:suppressLineNumbers w:val="0"/>
                    <w:jc w:val="center"/>
                    <w:textAlignment w:val="center"/>
                    <w:rPr>
                      <w:rFonts w:hint="eastAsia"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auto"/>
                      <w:kern w:val="0"/>
                      <w:sz w:val="21"/>
                      <w:szCs w:val="21"/>
                      <w:u w:val="none"/>
                      <w:lang w:val="en-US" w:eastAsia="zh-CN" w:bidi="ar"/>
                    </w:rPr>
                    <w:t xml:space="preserve">0.0002 </w:t>
                  </w:r>
                </w:p>
              </w:tc>
            </w:tr>
            <w:tr w14:paraId="41C0140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04" w:hRule="atLeast"/>
                <w:jc w:val="center"/>
              </w:trPr>
              <w:tc>
                <w:tcPr>
                  <w:tcW w:w="1314" w:type="pct"/>
                  <w:gridSpan w:val="2"/>
                  <w:vMerge w:val="continue"/>
                  <w:tcBorders>
                    <w:tl2br w:val="nil"/>
                    <w:tr2bl w:val="nil"/>
                  </w:tcBorders>
                  <w:noWrap w:val="0"/>
                  <w:vAlign w:val="center"/>
                </w:tcPr>
                <w:p w14:paraId="69153752">
                  <w:pPr>
                    <w:adjustRightInd w:val="0"/>
                    <w:snapToGrid w:val="0"/>
                    <w:jc w:val="center"/>
                    <w:rPr>
                      <w:rFonts w:hint="eastAsia" w:eastAsia="宋体" w:cs="Times New Roman"/>
                      <w:snapToGrid w:val="0"/>
                      <w:color w:val="000000" w:themeColor="text1"/>
                      <w:spacing w:val="0"/>
                      <w:kern w:val="0"/>
                      <w:sz w:val="21"/>
                      <w:szCs w:val="21"/>
                      <w:lang w:val="en-US" w:eastAsia="zh-CN" w:bidi="ar-SA"/>
                      <w14:textFill>
                        <w14:solidFill>
                          <w14:schemeClr w14:val="tx1"/>
                        </w14:solidFill>
                      </w14:textFill>
                    </w:rPr>
                  </w:pPr>
                </w:p>
              </w:tc>
              <w:tc>
                <w:tcPr>
                  <w:tcW w:w="2704" w:type="pct"/>
                  <w:gridSpan w:val="3"/>
                  <w:tcBorders>
                    <w:tl2br w:val="nil"/>
                    <w:tr2bl w:val="nil"/>
                  </w:tcBorders>
                  <w:noWrap w:val="0"/>
                  <w:vAlign w:val="center"/>
                </w:tcPr>
                <w:p w14:paraId="6C24645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cs="Times New Roman"/>
                      <w:b w:val="0"/>
                      <w:bCs/>
                      <w:color w:val="000000" w:themeColor="text1"/>
                      <w:spacing w:val="0"/>
                      <w:sz w:val="21"/>
                      <w:szCs w:val="21"/>
                      <w:highlight w:val="none"/>
                      <w:vertAlign w:val="baseline"/>
                      <w:lang w:val="en-US" w:eastAsia="zh-CN"/>
                      <w14:textFill>
                        <w14:solidFill>
                          <w14:schemeClr w14:val="tx1"/>
                        </w14:solidFill>
                      </w14:textFill>
                    </w:rPr>
                    <w:t>总余氯</w:t>
                  </w:r>
                </w:p>
              </w:tc>
              <w:tc>
                <w:tcPr>
                  <w:tcW w:w="981" w:type="pct"/>
                  <w:tcBorders>
                    <w:tl2br w:val="nil"/>
                    <w:tr2bl w:val="nil"/>
                  </w:tcBorders>
                  <w:noWrap w:val="0"/>
                  <w:vAlign w:val="center"/>
                </w:tcPr>
                <w:p w14:paraId="7C08C89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b w:val="0"/>
                      <w:bCs/>
                      <w:color w:val="000000" w:themeColor="text1"/>
                      <w:spacing w:val="0"/>
                      <w:sz w:val="21"/>
                      <w:szCs w:val="21"/>
                      <w:highlight w:val="none"/>
                      <w:vertAlign w:val="baseline"/>
                      <w:lang w:val="en-US" w:eastAsia="zh-CN"/>
                      <w14:textFill>
                        <w14:solidFill>
                          <w14:schemeClr w14:val="tx1"/>
                        </w14:solidFill>
                      </w14:textFill>
                    </w:rPr>
                    <w:t>/</w:t>
                  </w:r>
                </w:p>
              </w:tc>
            </w:tr>
          </w:tbl>
          <w:p w14:paraId="70BE5A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color w:val="FF0000"/>
                <w:kern w:val="0"/>
                <w:sz w:val="24"/>
                <w:szCs w:val="24"/>
                <w:highlight w:val="none"/>
                <w:vertAlign w:val="baseline"/>
              </w:rPr>
            </w:pPr>
          </w:p>
        </w:tc>
      </w:tr>
    </w:tbl>
    <w:p w14:paraId="145885CF">
      <w:pPr>
        <w:adjustRightInd w:val="0"/>
        <w:snapToGrid w:val="0"/>
        <w:spacing w:line="360" w:lineRule="auto"/>
        <w:rPr>
          <w:rFonts w:hint="default" w:ascii="Times New Roman" w:hAnsi="Times New Roman" w:cs="Times New Roman"/>
          <w:b/>
          <w:color w:val="FF0000"/>
          <w:kern w:val="0"/>
          <w:sz w:val="28"/>
          <w:szCs w:val="28"/>
          <w:highlight w:val="none"/>
        </w:rPr>
        <w:sectPr>
          <w:footerReference r:id="rId8" w:type="default"/>
          <w:pgSz w:w="16840" w:h="11907" w:orient="landscape"/>
          <w:pgMar w:top="1531" w:right="1701" w:bottom="1531" w:left="2127"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93"/>
        <w:gridCol w:w="8568"/>
      </w:tblGrid>
      <w:tr w14:paraId="76B334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903" w:hRule="atLeast"/>
        </w:trPr>
        <w:tc>
          <w:tcPr>
            <w:tcW w:w="272" w:type="pct"/>
            <w:tcBorders>
              <w:top w:val="single" w:color="auto" w:sz="8" w:space="0"/>
              <w:left w:val="single" w:color="auto" w:sz="8" w:space="0"/>
              <w:bottom w:val="single" w:color="auto" w:sz="8" w:space="0"/>
            </w:tcBorders>
            <w:vAlign w:val="center"/>
          </w:tcPr>
          <w:p w14:paraId="4E011B7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FF0000"/>
                <w:kern w:val="0"/>
                <w:sz w:val="21"/>
                <w:szCs w:val="21"/>
                <w:highlight w:val="none"/>
                <w:vertAlign w:val="baseline"/>
              </w:rPr>
            </w:pPr>
            <w:r>
              <w:rPr>
                <w:rFonts w:hint="default" w:ascii="Times New Roman" w:hAnsi="Times New Roman" w:cs="Times New Roman"/>
                <w:b w:val="0"/>
                <w:bCs/>
                <w:color w:val="000000" w:themeColor="text1"/>
                <w:kern w:val="0"/>
                <w:sz w:val="21"/>
                <w:szCs w:val="21"/>
                <w:highlight w:val="none"/>
                <w:vertAlign w:val="baseline"/>
                <w:lang w:val="en-US" w:eastAsia="zh-CN"/>
                <w14:textFill>
                  <w14:solidFill>
                    <w14:schemeClr w14:val="tx1"/>
                  </w14:solidFill>
                </w14:textFill>
              </w:rPr>
              <w:t>运营期环境影响和保护措施</w:t>
            </w:r>
          </w:p>
        </w:tc>
        <w:tc>
          <w:tcPr>
            <w:tcW w:w="4727" w:type="pct"/>
            <w:tcBorders>
              <w:top w:val="single" w:color="auto" w:sz="8" w:space="0"/>
              <w:bottom w:val="single" w:color="auto" w:sz="8" w:space="0"/>
              <w:right w:val="single" w:color="auto" w:sz="8" w:space="0"/>
            </w:tcBorders>
            <w:vAlign w:val="center"/>
          </w:tcPr>
          <w:p w14:paraId="0D9F7BBC">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cs="Times New Roman"/>
                <w:b/>
                <w:bCs w:val="0"/>
                <w:color w:val="000000" w:themeColor="text1"/>
                <w:kern w:val="0"/>
                <w:sz w:val="24"/>
                <w:szCs w:val="24"/>
                <w:highlight w:val="none"/>
                <w:vertAlign w:val="baseline"/>
                <w14:textFill>
                  <w14:solidFill>
                    <w14:schemeClr w14:val="tx1"/>
                  </w14:solidFill>
                </w14:textFill>
              </w:rPr>
            </w:pPr>
            <w:r>
              <w:rPr>
                <w:rFonts w:hint="default" w:ascii="Times New Roman" w:hAnsi="Times New Roman" w:cs="Times New Roman"/>
                <w:b/>
                <w:bCs w:val="0"/>
                <w:color w:val="000000" w:themeColor="text1"/>
                <w:kern w:val="0"/>
                <w:sz w:val="24"/>
                <w:szCs w:val="24"/>
                <w:highlight w:val="none"/>
                <w:vertAlign w:val="baseline"/>
                <w14:textFill>
                  <w14:solidFill>
                    <w14:schemeClr w14:val="tx1"/>
                  </w14:solidFill>
                </w14:textFill>
              </w:rPr>
              <w:t>4.2.2.3 排放标准</w:t>
            </w:r>
          </w:p>
          <w:p w14:paraId="4C38B6B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color w:val="000000" w:themeColor="text1"/>
                <w:kern w:val="0"/>
                <w:sz w:val="24"/>
                <w:szCs w:val="24"/>
                <w:highlight w:val="none"/>
                <w:vertAlign w:val="baseline"/>
                <w14:textFill>
                  <w14:solidFill>
                    <w14:schemeClr w14:val="tx1"/>
                  </w14:solidFill>
                </w14:textFill>
              </w:rPr>
            </w:pPr>
            <w:r>
              <w:rPr>
                <w:rFonts w:hint="default" w:ascii="Times New Roman" w:hAnsi="Times New Roman" w:cs="Times New Roman"/>
                <w:b w:val="0"/>
                <w:bCs/>
                <w:color w:val="000000" w:themeColor="text1"/>
                <w:kern w:val="0"/>
                <w:sz w:val="24"/>
                <w:szCs w:val="24"/>
                <w:highlight w:val="none"/>
                <w:vertAlign w:val="baseline"/>
                <w14:textFill>
                  <w14:solidFill>
                    <w14:schemeClr w14:val="tx1"/>
                  </w14:solidFill>
                </w14:textFill>
              </w:rPr>
              <w:t>废水污染物排放执行标准见表4.2</w:t>
            </w:r>
            <w:r>
              <w:rPr>
                <w:rFonts w:hint="eastAsia" w:cs="Times New Roman"/>
                <w:b w:val="0"/>
                <w:bCs/>
                <w:color w:val="000000" w:themeColor="text1"/>
                <w:kern w:val="0"/>
                <w:sz w:val="24"/>
                <w:szCs w:val="24"/>
                <w:highlight w:val="none"/>
                <w:vertAlign w:val="baseline"/>
                <w:lang w:val="en-US" w:eastAsia="zh-CN"/>
                <w14:textFill>
                  <w14:solidFill>
                    <w14:schemeClr w14:val="tx1"/>
                  </w14:solidFill>
                </w14:textFill>
              </w:rPr>
              <w:t>-5</w:t>
            </w:r>
            <w:r>
              <w:rPr>
                <w:rFonts w:hint="default" w:ascii="Times New Roman" w:hAnsi="Times New Roman" w:cs="Times New Roman"/>
                <w:b w:val="0"/>
                <w:bCs/>
                <w:color w:val="000000" w:themeColor="text1"/>
                <w:kern w:val="0"/>
                <w:sz w:val="24"/>
                <w:szCs w:val="24"/>
                <w:highlight w:val="none"/>
                <w:vertAlign w:val="baseline"/>
                <w14:textFill>
                  <w14:solidFill>
                    <w14:schemeClr w14:val="tx1"/>
                  </w14:solidFill>
                </w14:textFill>
              </w:rPr>
              <w:t>。</w:t>
            </w:r>
          </w:p>
          <w:p w14:paraId="028480C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val="0"/>
                <w:color w:val="000000" w:themeColor="text1"/>
                <w:kern w:val="0"/>
                <w:sz w:val="24"/>
                <w:szCs w:val="24"/>
                <w:highlight w:val="none"/>
                <w:vertAlign w:val="baseline"/>
                <w14:textFill>
                  <w14:solidFill>
                    <w14:schemeClr w14:val="tx1"/>
                  </w14:solidFill>
                </w14:textFill>
              </w:rPr>
            </w:pPr>
            <w:r>
              <w:rPr>
                <w:rFonts w:hint="default" w:ascii="Times New Roman" w:hAnsi="Times New Roman" w:cs="Times New Roman"/>
                <w:b/>
                <w:bCs w:val="0"/>
                <w:color w:val="000000" w:themeColor="text1"/>
                <w:kern w:val="0"/>
                <w:sz w:val="24"/>
                <w:szCs w:val="24"/>
                <w:highlight w:val="none"/>
                <w:vertAlign w:val="baseline"/>
                <w14:textFill>
                  <w14:solidFill>
                    <w14:schemeClr w14:val="tx1"/>
                  </w14:solidFill>
                </w14:textFill>
              </w:rPr>
              <w:t>表4.2-</w:t>
            </w:r>
            <w:r>
              <w:rPr>
                <w:rFonts w:hint="eastAsia" w:cs="Times New Roman"/>
                <w:b/>
                <w:bCs w:val="0"/>
                <w:color w:val="000000" w:themeColor="text1"/>
                <w:kern w:val="0"/>
                <w:sz w:val="24"/>
                <w:szCs w:val="24"/>
                <w:highlight w:val="none"/>
                <w:vertAlign w:val="baseline"/>
                <w:lang w:val="en-US" w:eastAsia="zh-CN"/>
                <w14:textFill>
                  <w14:solidFill>
                    <w14:schemeClr w14:val="tx1"/>
                  </w14:solidFill>
                </w14:textFill>
              </w:rPr>
              <w:t>5</w:t>
            </w:r>
            <w:r>
              <w:rPr>
                <w:rFonts w:hint="default" w:ascii="Times New Roman" w:hAnsi="Times New Roman" w:cs="Times New Roman"/>
                <w:b/>
                <w:bCs w:val="0"/>
                <w:color w:val="000000" w:themeColor="text1"/>
                <w:kern w:val="0"/>
                <w:sz w:val="24"/>
                <w:szCs w:val="24"/>
                <w:highlight w:val="none"/>
                <w:vertAlign w:val="baseline"/>
                <w14:textFill>
                  <w14:solidFill>
                    <w14:schemeClr w14:val="tx1"/>
                  </w14:solidFill>
                </w14:textFill>
              </w:rPr>
              <w:t>废水综合污染物排放执行标准一览表</w:t>
            </w:r>
          </w:p>
          <w:tbl>
            <w:tblPr>
              <w:tblStyle w:val="2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90"/>
              <w:gridCol w:w="1593"/>
              <w:gridCol w:w="1593"/>
              <w:gridCol w:w="1942"/>
              <w:gridCol w:w="1604"/>
            </w:tblGrid>
            <w:tr w14:paraId="790326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5" w:type="pct"/>
                  <w:vMerge w:val="restart"/>
                  <w:tcBorders>
                    <w:tl2br w:val="nil"/>
                    <w:tr2bl w:val="nil"/>
                  </w:tcBorders>
                  <w:vAlign w:val="center"/>
                </w:tcPr>
                <w:p w14:paraId="4B305CD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lang w:val="en-US" w:eastAsia="zh-CN"/>
                      <w14:textFill>
                        <w14:solidFill>
                          <w14:schemeClr w14:val="tx1"/>
                        </w14:solidFill>
                      </w14:textFill>
                    </w:rPr>
                    <w:t>排放口编号</w:t>
                  </w:r>
                </w:p>
              </w:tc>
              <w:tc>
                <w:tcPr>
                  <w:tcW w:w="957" w:type="pct"/>
                  <w:vMerge w:val="restart"/>
                  <w:tcBorders>
                    <w:tl2br w:val="nil"/>
                    <w:tr2bl w:val="nil"/>
                  </w:tcBorders>
                  <w:vAlign w:val="center"/>
                </w:tcPr>
                <w:p w14:paraId="00301B2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lang w:val="en-US" w:eastAsia="zh-CN"/>
                      <w14:textFill>
                        <w14:solidFill>
                          <w14:schemeClr w14:val="tx1"/>
                        </w14:solidFill>
                      </w14:textFill>
                    </w:rPr>
                    <w:t>排放口名称</w:t>
                  </w:r>
                </w:p>
              </w:tc>
              <w:tc>
                <w:tcPr>
                  <w:tcW w:w="957" w:type="pct"/>
                  <w:vMerge w:val="restart"/>
                  <w:tcBorders>
                    <w:tl2br w:val="nil"/>
                    <w:tr2bl w:val="nil"/>
                  </w:tcBorders>
                  <w:vAlign w:val="center"/>
                </w:tcPr>
                <w:p w14:paraId="541DC3F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lang w:val="en-US" w:eastAsia="zh-CN"/>
                      <w14:textFill>
                        <w14:solidFill>
                          <w14:schemeClr w14:val="tx1"/>
                        </w14:solidFill>
                      </w14:textFill>
                    </w:rPr>
                    <w:t>污染物种类</w:t>
                  </w:r>
                </w:p>
              </w:tc>
              <w:tc>
                <w:tcPr>
                  <w:tcW w:w="2130" w:type="pct"/>
                  <w:gridSpan w:val="2"/>
                  <w:tcBorders>
                    <w:tl2br w:val="nil"/>
                    <w:tr2bl w:val="nil"/>
                  </w:tcBorders>
                  <w:vAlign w:val="center"/>
                </w:tcPr>
                <w:p w14:paraId="573FE1E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t>国家或地方污染物排放标准</w:t>
                  </w:r>
                </w:p>
              </w:tc>
            </w:tr>
            <w:tr w14:paraId="17DD64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21" w:hRule="atLeast"/>
              </w:trPr>
              <w:tc>
                <w:tcPr>
                  <w:tcW w:w="955" w:type="pct"/>
                  <w:vMerge w:val="continue"/>
                  <w:tcBorders>
                    <w:tl2br w:val="nil"/>
                    <w:tr2bl w:val="nil"/>
                  </w:tcBorders>
                  <w:vAlign w:val="center"/>
                </w:tcPr>
                <w:p w14:paraId="2ACA65E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957" w:type="pct"/>
                  <w:vMerge w:val="continue"/>
                  <w:tcBorders>
                    <w:tl2br w:val="nil"/>
                    <w:tr2bl w:val="nil"/>
                  </w:tcBorders>
                  <w:vAlign w:val="center"/>
                </w:tcPr>
                <w:p w14:paraId="3DF897E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957" w:type="pct"/>
                  <w:vMerge w:val="continue"/>
                  <w:tcBorders>
                    <w:tl2br w:val="nil"/>
                    <w:tr2bl w:val="nil"/>
                  </w:tcBorders>
                  <w:vAlign w:val="center"/>
                </w:tcPr>
                <w:p w14:paraId="200C845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1166" w:type="pct"/>
                  <w:vMerge w:val="restart"/>
                  <w:tcBorders>
                    <w:tl2br w:val="nil"/>
                    <w:tr2bl w:val="nil"/>
                  </w:tcBorders>
                  <w:vAlign w:val="center"/>
                </w:tcPr>
                <w:p w14:paraId="38EE1CE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t>排放标准及标准号</w:t>
                  </w:r>
                </w:p>
              </w:tc>
              <w:tc>
                <w:tcPr>
                  <w:tcW w:w="963" w:type="pct"/>
                  <w:tcBorders>
                    <w:tl2br w:val="nil"/>
                    <w:tr2bl w:val="nil"/>
                  </w:tcBorders>
                  <w:vAlign w:val="center"/>
                </w:tcPr>
                <w:p w14:paraId="37A3C09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lang w:val="en-US" w:eastAsia="zh-CN"/>
                      <w14:textFill>
                        <w14:solidFill>
                          <w14:schemeClr w14:val="tx1"/>
                        </w14:solidFill>
                      </w14:textFill>
                    </w:rPr>
                    <w:t>浓度限值（mg/L）</w:t>
                  </w:r>
                </w:p>
              </w:tc>
            </w:tr>
            <w:tr w14:paraId="71EFAE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5" w:type="pct"/>
                  <w:vMerge w:val="restart"/>
                  <w:tcBorders>
                    <w:tl2br w:val="nil"/>
                    <w:tr2bl w:val="nil"/>
                  </w:tcBorders>
                  <w:vAlign w:val="center"/>
                </w:tcPr>
                <w:p w14:paraId="5E0919B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lang w:val="en-US" w:eastAsia="zh-CN"/>
                      <w14:textFill>
                        <w14:solidFill>
                          <w14:schemeClr w14:val="tx1"/>
                        </w14:solidFill>
                      </w14:textFill>
                    </w:rPr>
                    <w:t>DW001</w:t>
                  </w:r>
                </w:p>
              </w:tc>
              <w:tc>
                <w:tcPr>
                  <w:tcW w:w="957" w:type="pct"/>
                  <w:vMerge w:val="restart"/>
                  <w:tcBorders>
                    <w:tl2br w:val="nil"/>
                    <w:tr2bl w:val="nil"/>
                  </w:tcBorders>
                  <w:vAlign w:val="center"/>
                </w:tcPr>
                <w:p w14:paraId="4FAF930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lang w:val="en-US" w:eastAsia="zh-CN"/>
                      <w14:textFill>
                        <w14:solidFill>
                          <w14:schemeClr w14:val="tx1"/>
                        </w14:solidFill>
                      </w14:textFill>
                    </w:rPr>
                    <w:t>生化池排放口</w:t>
                  </w:r>
                </w:p>
              </w:tc>
              <w:tc>
                <w:tcPr>
                  <w:tcW w:w="957" w:type="pct"/>
                  <w:tcBorders>
                    <w:tl2br w:val="nil"/>
                    <w:tr2bl w:val="nil"/>
                  </w:tcBorders>
                  <w:shd w:val="clear" w:color="auto" w:fill="auto"/>
                  <w:vAlign w:val="center"/>
                </w:tcPr>
                <w:p w14:paraId="655399D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 w:val="0"/>
                      <w:bCs/>
                      <w:color w:val="000000" w:themeColor="text1"/>
                      <w:spacing w:val="0"/>
                      <w:sz w:val="21"/>
                      <w:szCs w:val="21"/>
                      <w:highlight w:val="none"/>
                      <w:vertAlign w:val="baseline"/>
                      <w:lang w:val="en-US" w:eastAsia="zh-CN"/>
                      <w14:textFill>
                        <w14:solidFill>
                          <w14:schemeClr w14:val="tx1"/>
                        </w14:solidFill>
                      </w14:textFill>
                    </w:rPr>
                    <w:t>pH</w:t>
                  </w:r>
                </w:p>
              </w:tc>
              <w:tc>
                <w:tcPr>
                  <w:tcW w:w="1166" w:type="pct"/>
                  <w:vMerge w:val="restart"/>
                  <w:tcBorders>
                    <w:tl2br w:val="nil"/>
                    <w:tr2bl w:val="nil"/>
                  </w:tcBorders>
                  <w:vAlign w:val="center"/>
                </w:tcPr>
                <w:p w14:paraId="5EC8652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t>《污水综合排放标准》</w:t>
                  </w:r>
                  <w:r>
                    <w:rPr>
                      <w:rFonts w:hint="default" w:ascii="Times New Roman" w:hAnsi="Times New Roman" w:cs="Times New Roman"/>
                      <w:b w:val="0"/>
                      <w:bCs/>
                      <w:color w:val="000000" w:themeColor="text1"/>
                      <w:kern w:val="0"/>
                      <w:sz w:val="21"/>
                      <w:szCs w:val="21"/>
                      <w:highlight w:val="none"/>
                      <w:vertAlign w:val="baseline"/>
                      <w:lang w:eastAsia="zh-CN"/>
                      <w14:textFill>
                        <w14:solidFill>
                          <w14:schemeClr w14:val="tx1"/>
                        </w14:solidFill>
                      </w14:textFill>
                    </w:rPr>
                    <w:t>（</w:t>
                  </w:r>
                  <w:r>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t>GB8978-1996</w:t>
                  </w:r>
                  <w:r>
                    <w:rPr>
                      <w:rFonts w:hint="default" w:ascii="Times New Roman" w:hAnsi="Times New Roman" w:cs="Times New Roman"/>
                      <w:b w:val="0"/>
                      <w:bCs/>
                      <w:color w:val="000000" w:themeColor="text1"/>
                      <w:kern w:val="0"/>
                      <w:sz w:val="21"/>
                      <w:szCs w:val="21"/>
                      <w:highlight w:val="none"/>
                      <w:vertAlign w:val="baseline"/>
                      <w:lang w:eastAsia="zh-CN"/>
                      <w14:textFill>
                        <w14:solidFill>
                          <w14:schemeClr w14:val="tx1"/>
                        </w14:solidFill>
                      </w14:textFill>
                    </w:rPr>
                    <w:t>）</w:t>
                  </w:r>
                  <w:r>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t>三级标准</w:t>
                  </w:r>
                </w:p>
              </w:tc>
              <w:tc>
                <w:tcPr>
                  <w:tcW w:w="963" w:type="pct"/>
                  <w:tcBorders>
                    <w:tl2br w:val="nil"/>
                    <w:tr2bl w:val="nil"/>
                  </w:tcBorders>
                  <w:shd w:val="clear" w:color="auto" w:fill="auto"/>
                  <w:vAlign w:val="center"/>
                </w:tcPr>
                <w:p w14:paraId="6822D34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lang w:val="en-US" w:eastAsia="zh-CN"/>
                      <w14:textFill>
                        <w14:solidFill>
                          <w14:schemeClr w14:val="tx1"/>
                        </w14:solidFill>
                      </w14:textFill>
                    </w:rPr>
                    <w:t>6~9</w:t>
                  </w:r>
                </w:p>
              </w:tc>
            </w:tr>
            <w:tr w14:paraId="0E7932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5" w:type="pct"/>
                  <w:vMerge w:val="continue"/>
                  <w:tcBorders>
                    <w:tl2br w:val="nil"/>
                    <w:tr2bl w:val="nil"/>
                  </w:tcBorders>
                  <w:vAlign w:val="center"/>
                </w:tcPr>
                <w:p w14:paraId="54B0C9E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957" w:type="pct"/>
                  <w:vMerge w:val="continue"/>
                  <w:tcBorders>
                    <w:tl2br w:val="nil"/>
                    <w:tr2bl w:val="nil"/>
                  </w:tcBorders>
                  <w:vAlign w:val="center"/>
                </w:tcPr>
                <w:p w14:paraId="0D55CC9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957" w:type="pct"/>
                  <w:tcBorders>
                    <w:tl2br w:val="nil"/>
                    <w:tr2bl w:val="nil"/>
                  </w:tcBorders>
                  <w:shd w:val="clear" w:color="auto" w:fill="auto"/>
                  <w:vAlign w:val="center"/>
                </w:tcPr>
                <w:p w14:paraId="3562CE2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 w:val="0"/>
                      <w:bCs/>
                      <w:color w:val="000000" w:themeColor="text1"/>
                      <w:spacing w:val="0"/>
                      <w:sz w:val="21"/>
                      <w:szCs w:val="21"/>
                      <w:highlight w:val="none"/>
                      <w:vertAlign w:val="baseline"/>
                      <w:lang w:val="en-US" w:eastAsia="zh-CN"/>
                      <w14:textFill>
                        <w14:solidFill>
                          <w14:schemeClr w14:val="tx1"/>
                        </w14:solidFill>
                      </w14:textFill>
                    </w:rPr>
                    <w:t>COD</w:t>
                  </w:r>
                </w:p>
              </w:tc>
              <w:tc>
                <w:tcPr>
                  <w:tcW w:w="1166" w:type="pct"/>
                  <w:vMerge w:val="continue"/>
                  <w:tcBorders>
                    <w:tl2br w:val="nil"/>
                    <w:tr2bl w:val="nil"/>
                  </w:tcBorders>
                  <w:vAlign w:val="center"/>
                </w:tcPr>
                <w:p w14:paraId="0277F07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p>
              </w:tc>
              <w:tc>
                <w:tcPr>
                  <w:tcW w:w="963" w:type="pct"/>
                  <w:tcBorders>
                    <w:tl2br w:val="nil"/>
                    <w:tr2bl w:val="nil"/>
                  </w:tcBorders>
                  <w:shd w:val="clear" w:color="auto" w:fill="auto"/>
                  <w:vAlign w:val="center"/>
                </w:tcPr>
                <w:p w14:paraId="5614C10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lang w:val="en-US" w:eastAsia="zh-CN"/>
                      <w14:textFill>
                        <w14:solidFill>
                          <w14:schemeClr w14:val="tx1"/>
                        </w14:solidFill>
                      </w14:textFill>
                    </w:rPr>
                    <w:t>500</w:t>
                  </w:r>
                </w:p>
              </w:tc>
            </w:tr>
            <w:tr w14:paraId="4D0615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5" w:type="pct"/>
                  <w:vMerge w:val="continue"/>
                  <w:tcBorders>
                    <w:tl2br w:val="nil"/>
                    <w:tr2bl w:val="nil"/>
                  </w:tcBorders>
                  <w:vAlign w:val="center"/>
                </w:tcPr>
                <w:p w14:paraId="044E4D9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957" w:type="pct"/>
                  <w:vMerge w:val="continue"/>
                  <w:tcBorders>
                    <w:tl2br w:val="nil"/>
                    <w:tr2bl w:val="nil"/>
                  </w:tcBorders>
                  <w:vAlign w:val="center"/>
                </w:tcPr>
                <w:p w14:paraId="0CF0629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957" w:type="pct"/>
                  <w:tcBorders>
                    <w:tl2br w:val="nil"/>
                    <w:tr2bl w:val="nil"/>
                  </w:tcBorders>
                  <w:shd w:val="clear" w:color="auto" w:fill="auto"/>
                  <w:vAlign w:val="center"/>
                </w:tcPr>
                <w:p w14:paraId="0F6A8F9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 w:val="0"/>
                      <w:bCs/>
                      <w:color w:val="000000" w:themeColor="text1"/>
                      <w:spacing w:val="0"/>
                      <w:sz w:val="21"/>
                      <w:szCs w:val="21"/>
                      <w:highlight w:val="none"/>
                      <w:vertAlign w:val="baseline"/>
                      <w:lang w:val="en-US" w:eastAsia="zh-CN"/>
                      <w14:textFill>
                        <w14:solidFill>
                          <w14:schemeClr w14:val="tx1"/>
                        </w14:solidFill>
                      </w14:textFill>
                    </w:rPr>
                    <w:t>BOD</w:t>
                  </w:r>
                  <w:r>
                    <w:rPr>
                      <w:rFonts w:hint="default" w:ascii="Times New Roman" w:hAnsi="Times New Roman" w:cs="Times New Roman"/>
                      <w:b w:val="0"/>
                      <w:bCs/>
                      <w:color w:val="000000" w:themeColor="text1"/>
                      <w:spacing w:val="0"/>
                      <w:sz w:val="21"/>
                      <w:szCs w:val="21"/>
                      <w:highlight w:val="none"/>
                      <w:vertAlign w:val="subscript"/>
                      <w:lang w:val="en-US" w:eastAsia="zh-CN"/>
                      <w14:textFill>
                        <w14:solidFill>
                          <w14:schemeClr w14:val="tx1"/>
                        </w14:solidFill>
                      </w14:textFill>
                    </w:rPr>
                    <w:t>5</w:t>
                  </w:r>
                </w:p>
              </w:tc>
              <w:tc>
                <w:tcPr>
                  <w:tcW w:w="1166" w:type="pct"/>
                  <w:vMerge w:val="continue"/>
                  <w:tcBorders>
                    <w:tl2br w:val="nil"/>
                    <w:tr2bl w:val="nil"/>
                  </w:tcBorders>
                  <w:vAlign w:val="center"/>
                </w:tcPr>
                <w:p w14:paraId="66E52F8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p>
              </w:tc>
              <w:tc>
                <w:tcPr>
                  <w:tcW w:w="963" w:type="pct"/>
                  <w:tcBorders>
                    <w:tl2br w:val="nil"/>
                    <w:tr2bl w:val="nil"/>
                  </w:tcBorders>
                  <w:shd w:val="clear" w:color="auto" w:fill="auto"/>
                  <w:vAlign w:val="center"/>
                </w:tcPr>
                <w:p w14:paraId="31749FC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lang w:val="en-US" w:eastAsia="zh-CN"/>
                      <w14:textFill>
                        <w14:solidFill>
                          <w14:schemeClr w14:val="tx1"/>
                        </w14:solidFill>
                      </w14:textFill>
                    </w:rPr>
                    <w:t>300</w:t>
                  </w:r>
                </w:p>
              </w:tc>
            </w:tr>
            <w:tr w14:paraId="380B2D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5" w:type="pct"/>
                  <w:vMerge w:val="continue"/>
                  <w:tcBorders>
                    <w:tl2br w:val="nil"/>
                    <w:tr2bl w:val="nil"/>
                  </w:tcBorders>
                  <w:vAlign w:val="center"/>
                </w:tcPr>
                <w:p w14:paraId="00C56B3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957" w:type="pct"/>
                  <w:vMerge w:val="continue"/>
                  <w:tcBorders>
                    <w:tl2br w:val="nil"/>
                    <w:tr2bl w:val="nil"/>
                  </w:tcBorders>
                  <w:vAlign w:val="center"/>
                </w:tcPr>
                <w:p w14:paraId="792D598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957" w:type="pct"/>
                  <w:tcBorders>
                    <w:tl2br w:val="nil"/>
                    <w:tr2bl w:val="nil"/>
                  </w:tcBorders>
                  <w:shd w:val="clear" w:color="auto" w:fill="auto"/>
                  <w:vAlign w:val="center"/>
                </w:tcPr>
                <w:p w14:paraId="3CEDE73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 w:val="0"/>
                      <w:bCs/>
                      <w:color w:val="000000" w:themeColor="text1"/>
                      <w:spacing w:val="0"/>
                      <w:sz w:val="21"/>
                      <w:szCs w:val="21"/>
                      <w:highlight w:val="none"/>
                      <w:vertAlign w:val="baseline"/>
                      <w:lang w:val="en-US" w:eastAsia="zh-CN"/>
                      <w14:textFill>
                        <w14:solidFill>
                          <w14:schemeClr w14:val="tx1"/>
                        </w14:solidFill>
                      </w14:textFill>
                    </w:rPr>
                    <w:t>SS</w:t>
                  </w:r>
                </w:p>
              </w:tc>
              <w:tc>
                <w:tcPr>
                  <w:tcW w:w="1166" w:type="pct"/>
                  <w:vMerge w:val="continue"/>
                  <w:tcBorders>
                    <w:tl2br w:val="nil"/>
                    <w:tr2bl w:val="nil"/>
                  </w:tcBorders>
                  <w:vAlign w:val="center"/>
                </w:tcPr>
                <w:p w14:paraId="4C1534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p>
              </w:tc>
              <w:tc>
                <w:tcPr>
                  <w:tcW w:w="963" w:type="pct"/>
                  <w:tcBorders>
                    <w:tl2br w:val="nil"/>
                    <w:tr2bl w:val="nil"/>
                  </w:tcBorders>
                  <w:shd w:val="clear" w:color="auto" w:fill="auto"/>
                  <w:vAlign w:val="center"/>
                </w:tcPr>
                <w:p w14:paraId="1280963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lang w:val="en-US" w:eastAsia="zh-CN"/>
                      <w14:textFill>
                        <w14:solidFill>
                          <w14:schemeClr w14:val="tx1"/>
                        </w14:solidFill>
                      </w14:textFill>
                    </w:rPr>
                    <w:t>400</w:t>
                  </w:r>
                </w:p>
              </w:tc>
            </w:tr>
            <w:tr w14:paraId="6CC1B9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5" w:type="pct"/>
                  <w:vMerge w:val="continue"/>
                  <w:tcBorders>
                    <w:tl2br w:val="nil"/>
                    <w:tr2bl w:val="nil"/>
                  </w:tcBorders>
                  <w:vAlign w:val="center"/>
                </w:tcPr>
                <w:p w14:paraId="7B77F19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957" w:type="pct"/>
                  <w:vMerge w:val="continue"/>
                  <w:tcBorders>
                    <w:tl2br w:val="nil"/>
                    <w:tr2bl w:val="nil"/>
                  </w:tcBorders>
                  <w:vAlign w:val="center"/>
                </w:tcPr>
                <w:p w14:paraId="0C336D3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957" w:type="pct"/>
                  <w:tcBorders>
                    <w:tl2br w:val="nil"/>
                    <w:tr2bl w:val="nil"/>
                  </w:tcBorders>
                  <w:shd w:val="clear" w:color="auto" w:fill="auto"/>
                  <w:vAlign w:val="center"/>
                </w:tcPr>
                <w:p w14:paraId="250D343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 w:val="0"/>
                      <w:bCs/>
                      <w:color w:val="000000" w:themeColor="text1"/>
                      <w:spacing w:val="0"/>
                      <w:sz w:val="21"/>
                      <w:szCs w:val="21"/>
                      <w:highlight w:val="none"/>
                      <w:vertAlign w:val="baseline"/>
                      <w:lang w:val="en-US" w:eastAsia="zh-CN"/>
                      <w14:textFill>
                        <w14:solidFill>
                          <w14:schemeClr w14:val="tx1"/>
                        </w14:solidFill>
                      </w14:textFill>
                    </w:rPr>
                    <w:t>氨氮</w:t>
                  </w:r>
                </w:p>
              </w:tc>
              <w:tc>
                <w:tcPr>
                  <w:tcW w:w="1166" w:type="pct"/>
                  <w:vMerge w:val="continue"/>
                  <w:tcBorders>
                    <w:tl2br w:val="nil"/>
                    <w:tr2bl w:val="nil"/>
                  </w:tcBorders>
                  <w:vAlign w:val="center"/>
                </w:tcPr>
                <w:p w14:paraId="153CF0A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p>
              </w:tc>
              <w:tc>
                <w:tcPr>
                  <w:tcW w:w="963" w:type="pct"/>
                  <w:tcBorders>
                    <w:tl2br w:val="nil"/>
                    <w:tr2bl w:val="nil"/>
                  </w:tcBorders>
                  <w:shd w:val="clear" w:color="auto" w:fill="auto"/>
                  <w:vAlign w:val="center"/>
                </w:tcPr>
                <w:p w14:paraId="77772CA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lang w:val="en-US" w:eastAsia="zh-CN"/>
                      <w14:textFill>
                        <w14:solidFill>
                          <w14:schemeClr w14:val="tx1"/>
                        </w14:solidFill>
                      </w14:textFill>
                    </w:rPr>
                    <w:t>45*</w:t>
                  </w:r>
                </w:p>
              </w:tc>
            </w:tr>
            <w:tr w14:paraId="72773C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5" w:type="pct"/>
                  <w:vMerge w:val="continue"/>
                  <w:tcBorders>
                    <w:tl2br w:val="nil"/>
                    <w:tr2bl w:val="nil"/>
                  </w:tcBorders>
                  <w:vAlign w:val="center"/>
                </w:tcPr>
                <w:p w14:paraId="44E6F2E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957" w:type="pct"/>
                  <w:vMerge w:val="continue"/>
                  <w:tcBorders>
                    <w:tl2br w:val="nil"/>
                    <w:tr2bl w:val="nil"/>
                  </w:tcBorders>
                  <w:vAlign w:val="center"/>
                </w:tcPr>
                <w:p w14:paraId="1545E28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957" w:type="pct"/>
                  <w:tcBorders>
                    <w:tl2br w:val="nil"/>
                    <w:tr2bl w:val="nil"/>
                  </w:tcBorders>
                  <w:shd w:val="clear" w:color="auto" w:fill="auto"/>
                  <w:vAlign w:val="center"/>
                </w:tcPr>
                <w:p w14:paraId="248E3E1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 w:val="0"/>
                      <w:bCs/>
                      <w:color w:val="000000" w:themeColor="text1"/>
                      <w:spacing w:val="0"/>
                      <w:kern w:val="2"/>
                      <w:sz w:val="21"/>
                      <w:szCs w:val="21"/>
                      <w:highlight w:val="none"/>
                      <w:vertAlign w:val="baseline"/>
                      <w:lang w:val="en-US" w:eastAsia="zh-CN" w:bidi="ar-SA"/>
                      <w14:textFill>
                        <w14:solidFill>
                          <w14:schemeClr w14:val="tx1"/>
                        </w14:solidFill>
                      </w14:textFill>
                    </w:rPr>
                    <w:t>总磷</w:t>
                  </w:r>
                </w:p>
              </w:tc>
              <w:tc>
                <w:tcPr>
                  <w:tcW w:w="1166" w:type="pct"/>
                  <w:vMerge w:val="continue"/>
                  <w:tcBorders>
                    <w:tl2br w:val="nil"/>
                    <w:tr2bl w:val="nil"/>
                  </w:tcBorders>
                  <w:vAlign w:val="center"/>
                </w:tcPr>
                <w:p w14:paraId="1F2FC03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p>
              </w:tc>
              <w:tc>
                <w:tcPr>
                  <w:tcW w:w="963" w:type="pct"/>
                  <w:tcBorders>
                    <w:tl2br w:val="nil"/>
                    <w:tr2bl w:val="nil"/>
                  </w:tcBorders>
                  <w:shd w:val="clear" w:color="auto" w:fill="auto"/>
                  <w:vAlign w:val="center"/>
                </w:tcPr>
                <w:p w14:paraId="4E58D1F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lang w:val="en-US" w:eastAsia="zh-CN"/>
                      <w14:textFill>
                        <w14:solidFill>
                          <w14:schemeClr w14:val="tx1"/>
                        </w14:solidFill>
                      </w14:textFill>
                    </w:rPr>
                    <w:t>8*</w:t>
                  </w:r>
                </w:p>
              </w:tc>
            </w:tr>
            <w:tr w14:paraId="47FC7A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5" w:type="pct"/>
                  <w:vMerge w:val="continue"/>
                  <w:tcBorders>
                    <w:tl2br w:val="nil"/>
                    <w:tr2bl w:val="nil"/>
                  </w:tcBorders>
                  <w:vAlign w:val="center"/>
                </w:tcPr>
                <w:p w14:paraId="5C40689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957" w:type="pct"/>
                  <w:vMerge w:val="continue"/>
                  <w:tcBorders>
                    <w:tl2br w:val="nil"/>
                    <w:tr2bl w:val="nil"/>
                  </w:tcBorders>
                  <w:vAlign w:val="center"/>
                </w:tcPr>
                <w:p w14:paraId="144BD34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957" w:type="pct"/>
                  <w:tcBorders>
                    <w:tl2br w:val="nil"/>
                    <w:tr2bl w:val="nil"/>
                  </w:tcBorders>
                  <w:shd w:val="clear" w:color="auto" w:fill="auto"/>
                  <w:vAlign w:val="center"/>
                </w:tcPr>
                <w:p w14:paraId="6AB4DEB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 w:val="0"/>
                      <w:bCs/>
                      <w:color w:val="000000" w:themeColor="text1"/>
                      <w:spacing w:val="0"/>
                      <w:kern w:val="2"/>
                      <w:sz w:val="21"/>
                      <w:szCs w:val="21"/>
                      <w:highlight w:val="none"/>
                      <w:vertAlign w:val="baseline"/>
                      <w:lang w:val="en-US" w:eastAsia="zh-CN" w:bidi="ar-SA"/>
                      <w14:textFill>
                        <w14:solidFill>
                          <w14:schemeClr w14:val="tx1"/>
                        </w14:solidFill>
                      </w14:textFill>
                    </w:rPr>
                    <w:t>LAS</w:t>
                  </w:r>
                </w:p>
              </w:tc>
              <w:tc>
                <w:tcPr>
                  <w:tcW w:w="1166" w:type="pct"/>
                  <w:vMerge w:val="continue"/>
                  <w:tcBorders>
                    <w:tl2br w:val="nil"/>
                    <w:tr2bl w:val="nil"/>
                  </w:tcBorders>
                  <w:vAlign w:val="center"/>
                </w:tcPr>
                <w:p w14:paraId="7FC505A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p>
              </w:tc>
              <w:tc>
                <w:tcPr>
                  <w:tcW w:w="963" w:type="pct"/>
                  <w:tcBorders>
                    <w:tl2br w:val="nil"/>
                    <w:tr2bl w:val="nil"/>
                  </w:tcBorders>
                  <w:shd w:val="clear" w:color="auto" w:fill="auto"/>
                  <w:vAlign w:val="center"/>
                </w:tcPr>
                <w:p w14:paraId="588EFB5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lang w:val="en-US" w:eastAsia="zh-CN"/>
                      <w14:textFill>
                        <w14:solidFill>
                          <w14:schemeClr w14:val="tx1"/>
                        </w14:solidFill>
                      </w14:textFill>
                    </w:rPr>
                    <w:t>20</w:t>
                  </w:r>
                </w:p>
              </w:tc>
            </w:tr>
            <w:tr w14:paraId="31AFA7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5" w:type="pct"/>
                  <w:vMerge w:val="continue"/>
                  <w:tcBorders>
                    <w:tl2br w:val="nil"/>
                    <w:tr2bl w:val="nil"/>
                  </w:tcBorders>
                  <w:vAlign w:val="center"/>
                </w:tcPr>
                <w:p w14:paraId="75EA051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957" w:type="pct"/>
                  <w:vMerge w:val="continue"/>
                  <w:tcBorders>
                    <w:tl2br w:val="nil"/>
                    <w:tr2bl w:val="nil"/>
                  </w:tcBorders>
                  <w:vAlign w:val="center"/>
                </w:tcPr>
                <w:p w14:paraId="4B24E1A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957" w:type="pct"/>
                  <w:tcBorders>
                    <w:tl2br w:val="nil"/>
                    <w:tr2bl w:val="nil"/>
                  </w:tcBorders>
                  <w:vAlign w:val="center"/>
                </w:tcPr>
                <w:p w14:paraId="054BC9D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lang w:val="en-US" w:eastAsia="zh-CN"/>
                      <w14:textFill>
                        <w14:solidFill>
                          <w14:schemeClr w14:val="tx1"/>
                        </w14:solidFill>
                      </w14:textFill>
                    </w:rPr>
                    <w:t>粪大肠菌群</w:t>
                  </w:r>
                </w:p>
              </w:tc>
              <w:tc>
                <w:tcPr>
                  <w:tcW w:w="1166" w:type="pct"/>
                  <w:vMerge w:val="continue"/>
                  <w:tcBorders>
                    <w:tl2br w:val="nil"/>
                    <w:tr2bl w:val="nil"/>
                  </w:tcBorders>
                  <w:vAlign w:val="center"/>
                </w:tcPr>
                <w:p w14:paraId="5C4D97D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p>
              </w:tc>
              <w:tc>
                <w:tcPr>
                  <w:tcW w:w="963" w:type="pct"/>
                  <w:tcBorders>
                    <w:tl2br w:val="nil"/>
                    <w:tr2bl w:val="nil"/>
                  </w:tcBorders>
                  <w:shd w:val="clear" w:color="auto" w:fill="auto"/>
                  <w:vAlign w:val="center"/>
                </w:tcPr>
                <w:p w14:paraId="2A1A479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lang w:val="en-US" w:eastAsia="zh-CN"/>
                      <w14:textFill>
                        <w14:solidFill>
                          <w14:schemeClr w14:val="tx1"/>
                        </w14:solidFill>
                      </w14:textFill>
                    </w:rPr>
                    <w:t>5000个/L</w:t>
                  </w:r>
                </w:p>
              </w:tc>
            </w:tr>
            <w:tr w14:paraId="7D974D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5" w:type="pct"/>
                  <w:vMerge w:val="restart"/>
                  <w:tcBorders>
                    <w:tl2br w:val="nil"/>
                    <w:tr2bl w:val="nil"/>
                  </w:tcBorders>
                  <w:vAlign w:val="center"/>
                </w:tcPr>
                <w:p w14:paraId="143CC01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r>
                    <w:rPr>
                      <w:rFonts w:hint="eastAsia" w:cs="Times New Roman"/>
                      <w:b w:val="0"/>
                      <w:bCs/>
                      <w:color w:val="000000" w:themeColor="text1"/>
                      <w:kern w:val="0"/>
                      <w:sz w:val="21"/>
                      <w:szCs w:val="21"/>
                      <w:highlight w:val="none"/>
                      <w:vertAlign w:val="baseline"/>
                      <w:lang w:val="en-US" w:eastAsia="zh-CN"/>
                      <w14:textFill>
                        <w14:solidFill>
                          <w14:schemeClr w14:val="tx1"/>
                        </w14:solidFill>
                      </w14:textFill>
                    </w:rPr>
                    <w:t>/</w:t>
                  </w:r>
                </w:p>
              </w:tc>
              <w:tc>
                <w:tcPr>
                  <w:tcW w:w="957" w:type="pct"/>
                  <w:vMerge w:val="restart"/>
                  <w:tcBorders>
                    <w:tl2br w:val="nil"/>
                    <w:tr2bl w:val="nil"/>
                  </w:tcBorders>
                  <w:vAlign w:val="center"/>
                </w:tcPr>
                <w:p w14:paraId="58C4ADA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r>
                    <w:rPr>
                      <w:rFonts w:hint="eastAsia" w:cs="Times New Roman"/>
                      <w:b w:val="0"/>
                      <w:bCs/>
                      <w:color w:val="000000" w:themeColor="text1"/>
                      <w:kern w:val="0"/>
                      <w:sz w:val="21"/>
                      <w:szCs w:val="21"/>
                      <w:highlight w:val="none"/>
                      <w:vertAlign w:val="baseline"/>
                      <w:lang w:eastAsia="zh-CN"/>
                      <w14:textFill>
                        <w14:solidFill>
                          <w14:schemeClr w14:val="tx1"/>
                        </w14:solidFill>
                      </w14:textFill>
                    </w:rPr>
                    <w:t>消毒设施</w:t>
                  </w:r>
                  <w:r>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t>排放口</w:t>
                  </w:r>
                </w:p>
              </w:tc>
              <w:tc>
                <w:tcPr>
                  <w:tcW w:w="957" w:type="pct"/>
                  <w:tcBorders>
                    <w:tl2br w:val="nil"/>
                    <w:tr2bl w:val="nil"/>
                  </w:tcBorders>
                  <w:shd w:val="clear" w:color="auto" w:fill="auto"/>
                  <w:vAlign w:val="center"/>
                </w:tcPr>
                <w:p w14:paraId="3A1564C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lang w:val="en-US" w:eastAsia="zh-CN"/>
                      <w14:textFill>
                        <w14:solidFill>
                          <w14:schemeClr w14:val="tx1"/>
                        </w14:solidFill>
                      </w14:textFill>
                    </w:rPr>
                    <w:t>粪大肠菌群</w:t>
                  </w:r>
                </w:p>
              </w:tc>
              <w:tc>
                <w:tcPr>
                  <w:tcW w:w="1166" w:type="pct"/>
                  <w:vMerge w:val="restart"/>
                  <w:tcBorders>
                    <w:tl2br w:val="nil"/>
                    <w:tr2bl w:val="nil"/>
                  </w:tcBorders>
                  <w:vAlign w:val="center"/>
                </w:tcPr>
                <w:p w14:paraId="234C7BE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lang w:eastAsia="zh-CN"/>
                      <w14:textFill>
                        <w14:solidFill>
                          <w14:schemeClr w14:val="tx1"/>
                        </w14:solidFill>
                      </w14:textFill>
                    </w:rPr>
                    <w:t>《</w:t>
                  </w:r>
                  <w:r>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t>医疗机构水污染物排放标准》</w:t>
                  </w:r>
                  <w:r>
                    <w:rPr>
                      <w:rFonts w:hint="default" w:ascii="Times New Roman" w:hAnsi="Times New Roman" w:cs="Times New Roman"/>
                      <w:b w:val="0"/>
                      <w:bCs/>
                      <w:color w:val="000000" w:themeColor="text1"/>
                      <w:kern w:val="0"/>
                      <w:sz w:val="21"/>
                      <w:szCs w:val="21"/>
                      <w:highlight w:val="none"/>
                      <w:vertAlign w:val="baseline"/>
                      <w:lang w:eastAsia="zh-CN"/>
                      <w14:textFill>
                        <w14:solidFill>
                          <w14:schemeClr w14:val="tx1"/>
                        </w14:solidFill>
                      </w14:textFill>
                    </w:rPr>
                    <w:t>（</w:t>
                  </w:r>
                  <w:r>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t>GB18466-2005</w:t>
                  </w:r>
                  <w:r>
                    <w:rPr>
                      <w:rFonts w:hint="default" w:ascii="Times New Roman" w:hAnsi="Times New Roman" w:cs="Times New Roman"/>
                      <w:b w:val="0"/>
                      <w:bCs/>
                      <w:color w:val="000000" w:themeColor="text1"/>
                      <w:kern w:val="0"/>
                      <w:sz w:val="21"/>
                      <w:szCs w:val="21"/>
                      <w:highlight w:val="none"/>
                      <w:vertAlign w:val="baseline"/>
                      <w:lang w:eastAsia="zh-CN"/>
                      <w14:textFill>
                        <w14:solidFill>
                          <w14:schemeClr w14:val="tx1"/>
                        </w14:solidFill>
                      </w14:textFill>
                    </w:rPr>
                    <w:t>）</w:t>
                  </w:r>
                  <w:r>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t>预处理标准</w:t>
                  </w:r>
                </w:p>
              </w:tc>
              <w:tc>
                <w:tcPr>
                  <w:tcW w:w="963" w:type="pct"/>
                  <w:tcBorders>
                    <w:tl2br w:val="nil"/>
                    <w:tr2bl w:val="nil"/>
                  </w:tcBorders>
                  <w:vAlign w:val="center"/>
                </w:tcPr>
                <w:p w14:paraId="7383697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lang w:val="en-US" w:eastAsia="zh-CN"/>
                      <w14:textFill>
                        <w14:solidFill>
                          <w14:schemeClr w14:val="tx1"/>
                        </w14:solidFill>
                      </w14:textFill>
                    </w:rPr>
                    <w:t>5000个/L</w:t>
                  </w:r>
                </w:p>
              </w:tc>
            </w:tr>
            <w:tr w14:paraId="3B09B8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5" w:type="pct"/>
                  <w:vMerge w:val="continue"/>
                  <w:tcBorders>
                    <w:tl2br w:val="nil"/>
                    <w:tr2bl w:val="nil"/>
                  </w:tcBorders>
                  <w:vAlign w:val="center"/>
                </w:tcPr>
                <w:p w14:paraId="4B448C2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957" w:type="pct"/>
                  <w:vMerge w:val="continue"/>
                  <w:tcBorders>
                    <w:tl2br w:val="nil"/>
                    <w:tr2bl w:val="nil"/>
                  </w:tcBorders>
                  <w:vAlign w:val="center"/>
                </w:tcPr>
                <w:p w14:paraId="324CE40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957" w:type="pct"/>
                  <w:tcBorders>
                    <w:tl2br w:val="nil"/>
                    <w:tr2bl w:val="nil"/>
                  </w:tcBorders>
                  <w:shd w:val="clear" w:color="auto" w:fill="auto"/>
                  <w:vAlign w:val="center"/>
                </w:tcPr>
                <w:p w14:paraId="5127A56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lang w:val="en-US" w:eastAsia="zh-CN"/>
                      <w14:textFill>
                        <w14:solidFill>
                          <w14:schemeClr w14:val="tx1"/>
                        </w14:solidFill>
                      </w14:textFill>
                    </w:rPr>
                    <w:t>总余氯</w:t>
                  </w:r>
                </w:p>
              </w:tc>
              <w:tc>
                <w:tcPr>
                  <w:tcW w:w="1166" w:type="pct"/>
                  <w:vMerge w:val="continue"/>
                  <w:tcBorders>
                    <w:tl2br w:val="nil"/>
                    <w:tr2bl w:val="nil"/>
                  </w:tcBorders>
                  <w:vAlign w:val="center"/>
                </w:tcPr>
                <w:p w14:paraId="1408D9C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963" w:type="pct"/>
                  <w:tcBorders>
                    <w:tl2br w:val="nil"/>
                    <w:tr2bl w:val="nil"/>
                  </w:tcBorders>
                  <w:vAlign w:val="center"/>
                </w:tcPr>
                <w:p w14:paraId="01FBEB7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lang w:val="en-US" w:eastAsia="zh-CN"/>
                      <w14:textFill>
                        <w14:solidFill>
                          <w14:schemeClr w14:val="tx1"/>
                        </w14:solidFill>
                      </w14:textFill>
                    </w:rPr>
                    <w:t>2~8</w:t>
                  </w:r>
                  <w:r>
                    <w:rPr>
                      <w:rFonts w:hint="eastAsia" w:cs="Times New Roman"/>
                      <w:b w:val="0"/>
                      <w:bCs/>
                      <w:color w:val="000000" w:themeColor="text1"/>
                      <w:kern w:val="0"/>
                      <w:sz w:val="21"/>
                      <w:szCs w:val="21"/>
                      <w:highlight w:val="none"/>
                      <w:vertAlign w:val="superscript"/>
                      <w:lang w:val="en-US" w:eastAsia="zh-CN"/>
                      <w14:textFill>
                        <w14:solidFill>
                          <w14:schemeClr w14:val="tx1"/>
                        </w14:solidFill>
                      </w14:textFill>
                    </w:rPr>
                    <w:t>②</w:t>
                  </w:r>
                </w:p>
              </w:tc>
            </w:tr>
            <w:tr w14:paraId="161539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5"/>
                  <w:tcBorders>
                    <w:tl2br w:val="nil"/>
                    <w:tr2bl w:val="nil"/>
                  </w:tcBorders>
                  <w:vAlign w:val="center"/>
                </w:tcPr>
                <w:p w14:paraId="018793E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t>注：①*：氨氮、TP 执行《污水排入城镇下水道水质标准》（GB/T31962-2015）B级标</w:t>
                  </w:r>
                </w:p>
                <w:p w14:paraId="54608EF6">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t>准</w:t>
                  </w:r>
                  <w:r>
                    <w:rPr>
                      <w:rFonts w:hint="eastAsia" w:cs="Times New Roman"/>
                      <w:b w:val="0"/>
                      <w:bCs w:val="0"/>
                      <w:color w:val="000000" w:themeColor="text1"/>
                      <w:kern w:val="0"/>
                      <w:sz w:val="21"/>
                      <w:szCs w:val="21"/>
                      <w:highlight w:val="none"/>
                      <w:vertAlign w:val="baseline"/>
                      <w:lang w:val="en-US" w:eastAsia="zh-CN"/>
                      <w14:textFill>
                        <w14:solidFill>
                          <w14:schemeClr w14:val="tx1"/>
                        </w14:solidFill>
                      </w14:textFill>
                    </w:rPr>
                    <w:t>；</w:t>
                  </w:r>
                </w:p>
                <w:p w14:paraId="76CAC79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r>
                    <w:rPr>
                      <w:rFonts w:hint="eastAsia" w:cs="Times New Roman"/>
                      <w:b w:val="0"/>
                      <w:bCs w:val="0"/>
                      <w:color w:val="000000" w:themeColor="text1"/>
                      <w:kern w:val="0"/>
                      <w:sz w:val="21"/>
                      <w:szCs w:val="21"/>
                      <w:highlight w:val="none"/>
                      <w:vertAlign w:val="baseline"/>
                      <w:lang w:val="en-US" w:eastAsia="zh-CN"/>
                      <w14:textFill>
                        <w14:solidFill>
                          <w14:schemeClr w14:val="tx1"/>
                        </w14:solidFill>
                      </w14:textFill>
                    </w:rPr>
                    <w:t>②</w:t>
                  </w:r>
                  <w:r>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t>注：含氯消毒剂消毒的工艺控制要求为：排放标准：消毒接触池接触时间≥1h，接触池出口总余氯3~10mgL。预处理标准：消毒接触池接触时间≥1h，接触池出口总余氯2~8mg/L。</w:t>
                  </w:r>
                </w:p>
              </w:tc>
            </w:tr>
          </w:tbl>
          <w:p w14:paraId="5DF0DCCC">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cs="Times New Roman"/>
                <w:b/>
                <w:bCs w:val="0"/>
                <w:color w:val="000000" w:themeColor="text1"/>
                <w:kern w:val="0"/>
                <w:sz w:val="24"/>
                <w:szCs w:val="24"/>
                <w:highlight w:val="none"/>
                <w:vertAlign w:val="baseline"/>
                <w14:textFill>
                  <w14:solidFill>
                    <w14:schemeClr w14:val="tx1"/>
                  </w14:solidFill>
                </w14:textFill>
              </w:rPr>
            </w:pPr>
            <w:r>
              <w:rPr>
                <w:rFonts w:hint="default" w:ascii="Times New Roman" w:hAnsi="Times New Roman" w:cs="Times New Roman"/>
                <w:b/>
                <w:bCs w:val="0"/>
                <w:color w:val="000000" w:themeColor="text1"/>
                <w:kern w:val="0"/>
                <w:sz w:val="24"/>
                <w:szCs w:val="24"/>
                <w:highlight w:val="none"/>
                <w:vertAlign w:val="baseline"/>
                <w14:textFill>
                  <w14:solidFill>
                    <w14:schemeClr w14:val="tx1"/>
                  </w14:solidFill>
                </w14:textFill>
              </w:rPr>
              <w:t>4.2.2.</w:t>
            </w:r>
            <w:r>
              <w:rPr>
                <w:rFonts w:hint="eastAsia" w:cs="Times New Roman"/>
                <w:b/>
                <w:bCs w:val="0"/>
                <w:color w:val="000000" w:themeColor="text1"/>
                <w:kern w:val="0"/>
                <w:sz w:val="24"/>
                <w:szCs w:val="24"/>
                <w:highlight w:val="none"/>
                <w:vertAlign w:val="baseline"/>
                <w:lang w:val="en-US" w:eastAsia="zh-CN"/>
                <w14:textFill>
                  <w14:solidFill>
                    <w14:schemeClr w14:val="tx1"/>
                  </w14:solidFill>
                </w14:textFill>
              </w:rPr>
              <w:t>4</w:t>
            </w:r>
            <w:r>
              <w:rPr>
                <w:rFonts w:hint="default" w:ascii="Times New Roman" w:hAnsi="Times New Roman" w:cs="Times New Roman"/>
                <w:b/>
                <w:bCs w:val="0"/>
                <w:color w:val="000000" w:themeColor="text1"/>
                <w:kern w:val="0"/>
                <w:sz w:val="24"/>
                <w:szCs w:val="24"/>
                <w:highlight w:val="none"/>
                <w:vertAlign w:val="baseline"/>
                <w14:textFill>
                  <w14:solidFill>
                    <w14:schemeClr w14:val="tx1"/>
                  </w14:solidFill>
                </w14:textFill>
              </w:rPr>
              <w:t xml:space="preserve"> 监测要求</w:t>
            </w:r>
          </w:p>
          <w:p w14:paraId="291CBB5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color w:val="000000" w:themeColor="text1"/>
                <w:kern w:val="0"/>
                <w:sz w:val="24"/>
                <w:szCs w:val="24"/>
                <w:highlight w:val="none"/>
                <w:vertAlign w:val="baseline"/>
                <w14:textFill>
                  <w14:solidFill>
                    <w14:schemeClr w14:val="tx1"/>
                  </w14:solidFill>
                </w14:textFill>
              </w:rPr>
            </w:pPr>
            <w:r>
              <w:rPr>
                <w:rFonts w:hint="default" w:ascii="Times New Roman" w:hAnsi="Times New Roman" w:cs="Times New Roman"/>
                <w:b w:val="0"/>
                <w:bCs/>
                <w:color w:val="000000" w:themeColor="text1"/>
                <w:kern w:val="0"/>
                <w:sz w:val="24"/>
                <w:szCs w:val="24"/>
                <w:highlight w:val="none"/>
                <w:vertAlign w:val="baseline"/>
                <w14:textFill>
                  <w14:solidFill>
                    <w14:schemeClr w14:val="tx1"/>
                  </w14:solidFill>
                </w14:textFill>
              </w:rPr>
              <w:t>《排污许可证申请与核发技术规范医疗机构》</w:t>
            </w:r>
            <w:r>
              <w:rPr>
                <w:rFonts w:hint="default" w:ascii="Times New Roman" w:hAnsi="Times New Roman" w:cs="Times New Roman"/>
                <w:b w:val="0"/>
                <w:bCs/>
                <w:color w:val="000000" w:themeColor="text1"/>
                <w:kern w:val="0"/>
                <w:sz w:val="24"/>
                <w:szCs w:val="24"/>
                <w:highlight w:val="none"/>
                <w:vertAlign w:val="baseline"/>
                <w:lang w:eastAsia="zh-CN"/>
                <w14:textFill>
                  <w14:solidFill>
                    <w14:schemeClr w14:val="tx1"/>
                  </w14:solidFill>
                </w14:textFill>
              </w:rPr>
              <w:t>（</w:t>
            </w:r>
            <w:r>
              <w:rPr>
                <w:rFonts w:hint="default" w:ascii="Times New Roman" w:hAnsi="Times New Roman" w:cs="Times New Roman"/>
                <w:b w:val="0"/>
                <w:bCs/>
                <w:color w:val="000000" w:themeColor="text1"/>
                <w:kern w:val="0"/>
                <w:sz w:val="24"/>
                <w:szCs w:val="24"/>
                <w:highlight w:val="none"/>
                <w:vertAlign w:val="baseline"/>
                <w14:textFill>
                  <w14:solidFill>
                    <w14:schemeClr w14:val="tx1"/>
                  </w14:solidFill>
                </w14:textFill>
              </w:rPr>
              <w:t>HJ1105-2020</w:t>
            </w:r>
            <w:r>
              <w:rPr>
                <w:rFonts w:hint="default" w:ascii="Times New Roman" w:hAnsi="Times New Roman" w:cs="Times New Roman"/>
                <w:b w:val="0"/>
                <w:bCs/>
                <w:color w:val="000000" w:themeColor="text1"/>
                <w:kern w:val="0"/>
                <w:sz w:val="24"/>
                <w:szCs w:val="24"/>
                <w:highlight w:val="none"/>
                <w:vertAlign w:val="baseline"/>
                <w:lang w:eastAsia="zh-CN"/>
                <w14:textFill>
                  <w14:solidFill>
                    <w14:schemeClr w14:val="tx1"/>
                  </w14:solidFill>
                </w14:textFill>
              </w:rPr>
              <w:t>）</w:t>
            </w:r>
            <w:r>
              <w:rPr>
                <w:rFonts w:hint="default" w:ascii="Times New Roman" w:hAnsi="Times New Roman" w:cs="Times New Roman"/>
                <w:b w:val="0"/>
                <w:bCs/>
                <w:color w:val="000000" w:themeColor="text1"/>
                <w:kern w:val="0"/>
                <w:sz w:val="24"/>
                <w:szCs w:val="24"/>
                <w:highlight w:val="none"/>
                <w:vertAlign w:val="baseline"/>
                <w14:textFill>
                  <w14:solidFill>
                    <w14:schemeClr w14:val="tx1"/>
                  </w14:solidFill>
                </w14:textFill>
              </w:rPr>
              <w:t>适用于指导医疗机构排污单位在全国排污许可证管理信息平台填报相关申请信息，适用于指导核发机关审核确定医疗机构排污许可证许可事项。适用于医疗机构排污单位排放的大气污染物、水污染物以及产生的危险废物的排污许可管理。根据《固定污染源排污许可分类管理名录</w:t>
            </w:r>
            <w:r>
              <w:rPr>
                <w:rFonts w:hint="default" w:ascii="Times New Roman" w:hAnsi="Times New Roman" w:cs="Times New Roman"/>
                <w:b w:val="0"/>
                <w:bCs/>
                <w:color w:val="000000" w:themeColor="text1"/>
                <w:kern w:val="0"/>
                <w:sz w:val="24"/>
                <w:szCs w:val="24"/>
                <w:highlight w:val="none"/>
                <w:vertAlign w:val="baseline"/>
                <w:lang w:eastAsia="zh-CN"/>
                <w14:textFill>
                  <w14:solidFill>
                    <w14:schemeClr w14:val="tx1"/>
                  </w14:solidFill>
                </w14:textFill>
              </w:rPr>
              <w:t>（</w:t>
            </w:r>
            <w:r>
              <w:rPr>
                <w:rFonts w:hint="default" w:ascii="Times New Roman" w:hAnsi="Times New Roman" w:cs="Times New Roman"/>
                <w:b w:val="0"/>
                <w:bCs/>
                <w:color w:val="000000" w:themeColor="text1"/>
                <w:kern w:val="0"/>
                <w:sz w:val="24"/>
                <w:szCs w:val="24"/>
                <w:highlight w:val="none"/>
                <w:vertAlign w:val="baseline"/>
                <w14:textFill>
                  <w14:solidFill>
                    <w14:schemeClr w14:val="tx1"/>
                  </w14:solidFill>
                </w14:textFill>
              </w:rPr>
              <w:t>2019年版</w:t>
            </w:r>
            <w:r>
              <w:rPr>
                <w:rFonts w:hint="default" w:ascii="Times New Roman" w:hAnsi="Times New Roman" w:cs="Times New Roman"/>
                <w:b w:val="0"/>
                <w:bCs/>
                <w:color w:val="000000" w:themeColor="text1"/>
                <w:kern w:val="0"/>
                <w:sz w:val="24"/>
                <w:szCs w:val="24"/>
                <w:highlight w:val="none"/>
                <w:vertAlign w:val="baseline"/>
                <w:lang w:eastAsia="zh-CN"/>
                <w14:textFill>
                  <w14:solidFill>
                    <w14:schemeClr w14:val="tx1"/>
                  </w14:solidFill>
                </w14:textFill>
              </w:rPr>
              <w:t>）</w:t>
            </w:r>
            <w:r>
              <w:rPr>
                <w:rFonts w:hint="default" w:ascii="Times New Roman" w:hAnsi="Times New Roman" w:cs="Times New Roman"/>
                <w:b w:val="0"/>
                <w:bCs/>
                <w:color w:val="000000" w:themeColor="text1"/>
                <w:kern w:val="0"/>
                <w:sz w:val="24"/>
                <w:szCs w:val="24"/>
                <w:highlight w:val="none"/>
                <w:vertAlign w:val="baseline"/>
                <w14:textFill>
                  <w14:solidFill>
                    <w14:schemeClr w14:val="tx1"/>
                  </w14:solidFill>
                </w14:textFill>
              </w:rPr>
              <w:t>》，项目不属于该名录规定的排污单位，无需纳入排污许可管理。因此，根据项目实际情况，结合项目特点，项目参照《排污单位自行监测技术指南 总则》</w:t>
            </w:r>
            <w:r>
              <w:rPr>
                <w:rFonts w:hint="default" w:ascii="Times New Roman" w:hAnsi="Times New Roman" w:cs="Times New Roman"/>
                <w:b w:val="0"/>
                <w:bCs/>
                <w:color w:val="000000" w:themeColor="text1"/>
                <w:kern w:val="0"/>
                <w:sz w:val="24"/>
                <w:szCs w:val="24"/>
                <w:highlight w:val="none"/>
                <w:vertAlign w:val="baseline"/>
                <w:lang w:eastAsia="zh-CN"/>
                <w14:textFill>
                  <w14:solidFill>
                    <w14:schemeClr w14:val="tx1"/>
                  </w14:solidFill>
                </w14:textFill>
              </w:rPr>
              <w:t>（</w:t>
            </w:r>
            <w:r>
              <w:rPr>
                <w:rFonts w:hint="default" w:ascii="Times New Roman" w:hAnsi="Times New Roman" w:cs="Times New Roman"/>
                <w:b w:val="0"/>
                <w:bCs/>
                <w:color w:val="000000" w:themeColor="text1"/>
                <w:kern w:val="0"/>
                <w:sz w:val="24"/>
                <w:szCs w:val="24"/>
                <w:highlight w:val="none"/>
                <w:vertAlign w:val="baseline"/>
                <w14:textFill>
                  <w14:solidFill>
                    <w14:schemeClr w14:val="tx1"/>
                  </w14:solidFill>
                </w14:textFill>
              </w:rPr>
              <w:t>HJ819-2017</w:t>
            </w:r>
            <w:r>
              <w:rPr>
                <w:rFonts w:hint="default" w:ascii="Times New Roman" w:hAnsi="Times New Roman" w:cs="Times New Roman"/>
                <w:b w:val="0"/>
                <w:bCs/>
                <w:color w:val="000000" w:themeColor="text1"/>
                <w:kern w:val="0"/>
                <w:sz w:val="24"/>
                <w:szCs w:val="24"/>
                <w:highlight w:val="none"/>
                <w:vertAlign w:val="baseline"/>
                <w:lang w:eastAsia="zh-CN"/>
                <w14:textFill>
                  <w14:solidFill>
                    <w14:schemeClr w14:val="tx1"/>
                  </w14:solidFill>
                </w14:textFill>
              </w:rPr>
              <w:t>）</w:t>
            </w:r>
            <w:r>
              <w:rPr>
                <w:rFonts w:hint="default" w:ascii="Times New Roman" w:hAnsi="Times New Roman" w:cs="Times New Roman"/>
                <w:b w:val="0"/>
                <w:bCs/>
                <w:color w:val="000000" w:themeColor="text1"/>
                <w:kern w:val="0"/>
                <w:sz w:val="24"/>
                <w:szCs w:val="24"/>
                <w:highlight w:val="none"/>
                <w:vertAlign w:val="baseline"/>
                <w14:textFill>
                  <w14:solidFill>
                    <w14:schemeClr w14:val="tx1"/>
                  </w14:solidFill>
                </w14:textFill>
              </w:rPr>
              <w:t>进行执行，</w:t>
            </w:r>
            <w:r>
              <w:rPr>
                <w:rFonts w:hint="default" w:ascii="Times New Roman" w:hAnsi="Times New Roman" w:eastAsia="宋体" w:cs="Times New Roman"/>
                <w:b w:val="0"/>
                <w:bCs/>
                <w:color w:val="000000" w:themeColor="text1"/>
                <w:kern w:val="0"/>
                <w:sz w:val="24"/>
                <w:szCs w:val="24"/>
                <w:highlight w:val="none"/>
                <w:vertAlign w:val="baseline"/>
                <w:lang w:val="en-US" w:eastAsia="zh-CN"/>
                <w14:textFill>
                  <w14:solidFill>
                    <w14:schemeClr w14:val="tx1"/>
                  </w14:solidFill>
                </w14:textFill>
              </w:rPr>
              <w:t>本项目医疗废水经医疗废水预处理设施预处理后排入</w:t>
            </w:r>
            <w:r>
              <w:rPr>
                <w:rFonts w:hint="eastAsia" w:cs="Times New Roman"/>
                <w:b w:val="0"/>
                <w:bCs/>
                <w:color w:val="000000" w:themeColor="text1"/>
                <w:kern w:val="0"/>
                <w:sz w:val="24"/>
                <w:szCs w:val="24"/>
                <w:highlight w:val="none"/>
                <w:vertAlign w:val="baseline"/>
                <w:lang w:val="en-US" w:eastAsia="zh-CN"/>
                <w14:textFill>
                  <w14:solidFill>
                    <w14:schemeClr w14:val="tx1"/>
                  </w14:solidFill>
                </w14:textFill>
              </w:rPr>
              <w:t>弘悦101已建</w:t>
            </w:r>
            <w:r>
              <w:rPr>
                <w:rFonts w:hint="eastAsia" w:ascii="Times New Roman" w:hAnsi="Times New Roman" w:eastAsia="宋体" w:cs="Times New Roman"/>
                <w:b w:val="0"/>
                <w:bCs/>
                <w:color w:val="000000" w:themeColor="text1"/>
                <w:kern w:val="0"/>
                <w:sz w:val="24"/>
                <w:szCs w:val="24"/>
                <w:highlight w:val="none"/>
                <w:vertAlign w:val="baseline"/>
                <w:lang w:val="en-US" w:eastAsia="zh-CN"/>
                <w14:textFill>
                  <w14:solidFill>
                    <w14:schemeClr w14:val="tx1"/>
                  </w14:solidFill>
                </w14:textFill>
              </w:rPr>
              <w:t>生化池</w:t>
            </w:r>
            <w:r>
              <w:rPr>
                <w:rFonts w:hint="default" w:ascii="Times New Roman" w:hAnsi="Times New Roman" w:eastAsia="宋体" w:cs="Times New Roman"/>
                <w:b w:val="0"/>
                <w:bCs/>
                <w:color w:val="000000" w:themeColor="text1"/>
                <w:kern w:val="0"/>
                <w:sz w:val="24"/>
                <w:szCs w:val="24"/>
                <w:highlight w:val="none"/>
                <w:vertAlign w:val="baseline"/>
                <w:lang w:val="en-US" w:eastAsia="zh-CN"/>
                <w14:textFill>
                  <w14:solidFill>
                    <w14:schemeClr w14:val="tx1"/>
                  </w14:solidFill>
                </w14:textFill>
              </w:rPr>
              <w:t>进行处理，环保责任主体为重庆致兴物业服务有限公司，同时本项目污废水产生量小，对生化池的冲击不大，故项目对生化池不作监测要求。</w:t>
            </w:r>
            <w:r>
              <w:rPr>
                <w:rFonts w:hint="default" w:ascii="Times New Roman" w:hAnsi="Times New Roman" w:cs="Times New Roman"/>
                <w:b w:val="0"/>
                <w:bCs/>
                <w:color w:val="000000" w:themeColor="text1"/>
                <w:kern w:val="0"/>
                <w:sz w:val="24"/>
                <w:szCs w:val="24"/>
                <w:highlight w:val="none"/>
                <w:vertAlign w:val="baseline"/>
                <w14:textFill>
                  <w14:solidFill>
                    <w14:schemeClr w14:val="tx1"/>
                  </w14:solidFill>
                </w14:textFill>
              </w:rPr>
              <w:t>项目废水监测要求见下表。</w:t>
            </w:r>
          </w:p>
          <w:p w14:paraId="67854C9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val="0"/>
                <w:color w:val="000000" w:themeColor="text1"/>
                <w:kern w:val="0"/>
                <w:sz w:val="24"/>
                <w:szCs w:val="24"/>
                <w:highlight w:val="none"/>
                <w:vertAlign w:val="baseline"/>
                <w14:textFill>
                  <w14:solidFill>
                    <w14:schemeClr w14:val="tx1"/>
                  </w14:solidFill>
                </w14:textFill>
              </w:rPr>
            </w:pPr>
            <w:r>
              <w:rPr>
                <w:rFonts w:hint="default" w:ascii="Times New Roman" w:hAnsi="Times New Roman" w:cs="Times New Roman"/>
                <w:b/>
                <w:bCs w:val="0"/>
                <w:color w:val="000000" w:themeColor="text1"/>
                <w:kern w:val="0"/>
                <w:sz w:val="24"/>
                <w:szCs w:val="24"/>
                <w:highlight w:val="none"/>
                <w:vertAlign w:val="baseline"/>
                <w14:textFill>
                  <w14:solidFill>
                    <w14:schemeClr w14:val="tx1"/>
                  </w14:solidFill>
                </w14:textFill>
              </w:rPr>
              <w:t>表4.2-</w:t>
            </w:r>
            <w:r>
              <w:rPr>
                <w:rFonts w:hint="eastAsia" w:cs="Times New Roman"/>
                <w:b/>
                <w:bCs w:val="0"/>
                <w:color w:val="000000" w:themeColor="text1"/>
                <w:kern w:val="0"/>
                <w:sz w:val="24"/>
                <w:szCs w:val="24"/>
                <w:highlight w:val="none"/>
                <w:vertAlign w:val="baseline"/>
                <w:lang w:val="en-US" w:eastAsia="zh-CN"/>
                <w14:textFill>
                  <w14:solidFill>
                    <w14:schemeClr w14:val="tx1"/>
                  </w14:solidFill>
                </w14:textFill>
              </w:rPr>
              <w:t xml:space="preserve">6 </w:t>
            </w:r>
            <w:r>
              <w:rPr>
                <w:rFonts w:hint="default" w:ascii="Times New Roman" w:hAnsi="Times New Roman" w:cs="Times New Roman"/>
                <w:b/>
                <w:bCs w:val="0"/>
                <w:color w:val="000000" w:themeColor="text1"/>
                <w:kern w:val="0"/>
                <w:sz w:val="24"/>
                <w:szCs w:val="24"/>
                <w:highlight w:val="none"/>
                <w:vertAlign w:val="baseline"/>
                <w14:textFill>
                  <w14:solidFill>
                    <w14:schemeClr w14:val="tx1"/>
                  </w14:solidFill>
                </w14:textFill>
              </w:rPr>
              <w:t>废水污染物监测要求一览表</w:t>
            </w:r>
          </w:p>
          <w:tbl>
            <w:tblPr>
              <w:tblStyle w:val="2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80"/>
              <w:gridCol w:w="2080"/>
              <w:gridCol w:w="2081"/>
              <w:gridCol w:w="2081"/>
            </w:tblGrid>
            <w:tr w14:paraId="652924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9" w:type="pct"/>
                  <w:tcBorders>
                    <w:tl2br w:val="nil"/>
                    <w:tr2bl w:val="nil"/>
                  </w:tcBorders>
                  <w:vAlign w:val="center"/>
                </w:tcPr>
                <w:p w14:paraId="6E4B5B3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lang w:val="en-US" w:eastAsia="zh-CN"/>
                      <w14:textFill>
                        <w14:solidFill>
                          <w14:schemeClr w14:val="tx1"/>
                        </w14:solidFill>
                      </w14:textFill>
                    </w:rPr>
                    <w:t>监测点位</w:t>
                  </w:r>
                </w:p>
              </w:tc>
              <w:tc>
                <w:tcPr>
                  <w:tcW w:w="1249" w:type="pct"/>
                  <w:tcBorders>
                    <w:tl2br w:val="nil"/>
                    <w:tr2bl w:val="nil"/>
                  </w:tcBorders>
                  <w:vAlign w:val="center"/>
                </w:tcPr>
                <w:p w14:paraId="611B044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lang w:val="en-US" w:eastAsia="zh-CN"/>
                      <w14:textFill>
                        <w14:solidFill>
                          <w14:schemeClr w14:val="tx1"/>
                        </w14:solidFill>
                      </w14:textFill>
                    </w:rPr>
                    <w:t>监测因子</w:t>
                  </w:r>
                </w:p>
              </w:tc>
              <w:tc>
                <w:tcPr>
                  <w:tcW w:w="1250" w:type="pct"/>
                  <w:tcBorders>
                    <w:tl2br w:val="nil"/>
                    <w:tr2bl w:val="nil"/>
                  </w:tcBorders>
                  <w:vAlign w:val="center"/>
                </w:tcPr>
                <w:p w14:paraId="078BD3A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lang w:val="en-US" w:eastAsia="zh-CN"/>
                      <w14:textFill>
                        <w14:solidFill>
                          <w14:schemeClr w14:val="tx1"/>
                        </w14:solidFill>
                      </w14:textFill>
                    </w:rPr>
                    <w:t>监测频率</w:t>
                  </w:r>
                </w:p>
              </w:tc>
              <w:tc>
                <w:tcPr>
                  <w:tcW w:w="1250" w:type="pct"/>
                  <w:tcBorders>
                    <w:tl2br w:val="nil"/>
                    <w:tr2bl w:val="nil"/>
                  </w:tcBorders>
                  <w:vAlign w:val="center"/>
                </w:tcPr>
                <w:p w14:paraId="6028E65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lang w:val="en-US" w:eastAsia="zh-CN"/>
                      <w14:textFill>
                        <w14:solidFill>
                          <w14:schemeClr w14:val="tx1"/>
                        </w14:solidFill>
                      </w14:textFill>
                    </w:rPr>
                    <w:t>执行标准</w:t>
                  </w:r>
                </w:p>
              </w:tc>
            </w:tr>
            <w:tr w14:paraId="194936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9" w:type="pct"/>
                  <w:tcBorders>
                    <w:tl2br w:val="nil"/>
                    <w:tr2bl w:val="nil"/>
                  </w:tcBorders>
                  <w:vAlign w:val="center"/>
                </w:tcPr>
                <w:p w14:paraId="053F0FD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r>
                    <w:rPr>
                      <w:rFonts w:hint="eastAsia" w:cs="Times New Roman"/>
                      <w:b w:val="0"/>
                      <w:bCs/>
                      <w:color w:val="000000" w:themeColor="text1"/>
                      <w:kern w:val="0"/>
                      <w:sz w:val="21"/>
                      <w:szCs w:val="21"/>
                      <w:highlight w:val="none"/>
                      <w:vertAlign w:val="baseline"/>
                      <w:lang w:eastAsia="zh-CN"/>
                      <w14:textFill>
                        <w14:solidFill>
                          <w14:schemeClr w14:val="tx1"/>
                        </w14:solidFill>
                      </w14:textFill>
                    </w:rPr>
                    <w:t>消毒设施</w:t>
                  </w:r>
                  <w:r>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t>排放口</w:t>
                  </w:r>
                </w:p>
              </w:tc>
              <w:tc>
                <w:tcPr>
                  <w:tcW w:w="1249" w:type="pct"/>
                  <w:tcBorders>
                    <w:tl2br w:val="nil"/>
                    <w:tr2bl w:val="nil"/>
                  </w:tcBorders>
                  <w:vAlign w:val="center"/>
                </w:tcPr>
                <w:p w14:paraId="5A303BE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t>粪大肠菌群、总余氯</w:t>
                  </w:r>
                </w:p>
              </w:tc>
              <w:tc>
                <w:tcPr>
                  <w:tcW w:w="1250" w:type="pct"/>
                  <w:tcBorders>
                    <w:tl2br w:val="nil"/>
                    <w:tr2bl w:val="nil"/>
                  </w:tcBorders>
                  <w:vAlign w:val="center"/>
                </w:tcPr>
                <w:p w14:paraId="226F04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lang w:val="en-US"/>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lang w:val="en-US" w:eastAsia="zh-CN"/>
                      <w14:textFill>
                        <w14:solidFill>
                          <w14:schemeClr w14:val="tx1"/>
                        </w14:solidFill>
                      </w14:textFill>
                    </w:rPr>
                    <w:t>验收时监测一次</w:t>
                  </w:r>
                </w:p>
              </w:tc>
              <w:tc>
                <w:tcPr>
                  <w:tcW w:w="1250" w:type="pct"/>
                  <w:tcBorders>
                    <w:tl2br w:val="nil"/>
                    <w:tr2bl w:val="nil"/>
                  </w:tcBorders>
                  <w:vAlign w:val="center"/>
                </w:tcPr>
                <w:p w14:paraId="66FDBCB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eastAsia="zh-CN"/>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t>《医疗机构水污染物排放标准》</w:t>
                  </w:r>
                  <w:r>
                    <w:rPr>
                      <w:rFonts w:hint="default" w:ascii="Times New Roman" w:hAnsi="Times New Roman" w:cs="Times New Roman"/>
                      <w:b w:val="0"/>
                      <w:bCs/>
                      <w:color w:val="000000" w:themeColor="text1"/>
                      <w:kern w:val="0"/>
                      <w:sz w:val="21"/>
                      <w:szCs w:val="21"/>
                      <w:highlight w:val="none"/>
                      <w:vertAlign w:val="baseline"/>
                      <w:lang w:eastAsia="zh-CN"/>
                      <w14:textFill>
                        <w14:solidFill>
                          <w14:schemeClr w14:val="tx1"/>
                        </w14:solidFill>
                      </w14:textFill>
                    </w:rPr>
                    <w:t>（</w:t>
                  </w:r>
                  <w:r>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t>GB18466-2005</w:t>
                  </w:r>
                  <w:r>
                    <w:rPr>
                      <w:rFonts w:hint="default" w:ascii="Times New Roman" w:hAnsi="Times New Roman" w:cs="Times New Roman"/>
                      <w:b w:val="0"/>
                      <w:bCs/>
                      <w:color w:val="000000" w:themeColor="text1"/>
                      <w:kern w:val="0"/>
                      <w:sz w:val="21"/>
                      <w:szCs w:val="21"/>
                      <w:highlight w:val="none"/>
                      <w:vertAlign w:val="baseline"/>
                      <w:lang w:eastAsia="zh-CN"/>
                      <w14:textFill>
                        <w14:solidFill>
                          <w14:schemeClr w14:val="tx1"/>
                        </w14:solidFill>
                      </w14:textFill>
                    </w:rPr>
                    <w:t>）</w:t>
                  </w:r>
                  <w:r>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t>预</w:t>
                  </w:r>
                  <w:r>
                    <w:rPr>
                      <w:rFonts w:hint="default" w:ascii="Times New Roman" w:hAnsi="Times New Roman" w:cs="Times New Roman"/>
                      <w:b w:val="0"/>
                      <w:bCs/>
                      <w:color w:val="000000" w:themeColor="text1"/>
                      <w:kern w:val="0"/>
                      <w:sz w:val="21"/>
                      <w:szCs w:val="21"/>
                      <w:highlight w:val="none"/>
                      <w:vertAlign w:val="baseline"/>
                      <w:lang w:val="en-US" w:eastAsia="zh-CN"/>
                      <w14:textFill>
                        <w14:solidFill>
                          <w14:schemeClr w14:val="tx1"/>
                        </w14:solidFill>
                      </w14:textFill>
                    </w:rPr>
                    <w:t>处理标准</w:t>
                  </w:r>
                </w:p>
              </w:tc>
            </w:tr>
          </w:tbl>
          <w:p w14:paraId="1173D6C8">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cs="Times New Roman"/>
                <w:b/>
                <w:bCs w:val="0"/>
                <w:color w:val="000000" w:themeColor="text1"/>
                <w:kern w:val="0"/>
                <w:sz w:val="24"/>
                <w:szCs w:val="24"/>
                <w:highlight w:val="none"/>
                <w:vertAlign w:val="baseline"/>
                <w14:textFill>
                  <w14:solidFill>
                    <w14:schemeClr w14:val="tx1"/>
                  </w14:solidFill>
                </w14:textFill>
              </w:rPr>
            </w:pPr>
            <w:r>
              <w:rPr>
                <w:rFonts w:hint="default" w:ascii="Times New Roman" w:hAnsi="Times New Roman" w:cs="Times New Roman"/>
                <w:b/>
                <w:bCs w:val="0"/>
                <w:color w:val="000000" w:themeColor="text1"/>
                <w:kern w:val="0"/>
                <w:sz w:val="24"/>
                <w:szCs w:val="24"/>
                <w:highlight w:val="none"/>
                <w:vertAlign w:val="baseline"/>
                <w14:textFill>
                  <w14:solidFill>
                    <w14:schemeClr w14:val="tx1"/>
                  </w14:solidFill>
                </w14:textFill>
              </w:rPr>
              <w:t>4.2.2.</w:t>
            </w:r>
            <w:r>
              <w:rPr>
                <w:rFonts w:hint="eastAsia" w:cs="Times New Roman"/>
                <w:b/>
                <w:bCs w:val="0"/>
                <w:color w:val="000000" w:themeColor="text1"/>
                <w:kern w:val="0"/>
                <w:sz w:val="24"/>
                <w:szCs w:val="24"/>
                <w:highlight w:val="none"/>
                <w:vertAlign w:val="baseline"/>
                <w:lang w:val="en-US" w:eastAsia="zh-CN"/>
                <w14:textFill>
                  <w14:solidFill>
                    <w14:schemeClr w14:val="tx1"/>
                  </w14:solidFill>
                </w14:textFill>
              </w:rPr>
              <w:t>5</w:t>
            </w:r>
            <w:r>
              <w:rPr>
                <w:rFonts w:hint="default" w:ascii="Times New Roman" w:hAnsi="Times New Roman" w:cs="Times New Roman"/>
                <w:b/>
                <w:bCs w:val="0"/>
                <w:color w:val="000000" w:themeColor="text1"/>
                <w:kern w:val="0"/>
                <w:sz w:val="24"/>
                <w:szCs w:val="24"/>
                <w:highlight w:val="none"/>
                <w:vertAlign w:val="baseline"/>
                <w14:textFill>
                  <w14:solidFill>
                    <w14:schemeClr w14:val="tx1"/>
                  </w14:solidFill>
                </w14:textFill>
              </w:rPr>
              <w:t xml:space="preserve"> </w:t>
            </w:r>
            <w:r>
              <w:rPr>
                <w:rFonts w:hint="eastAsia" w:cs="Times New Roman"/>
                <w:b/>
                <w:bCs w:val="0"/>
                <w:color w:val="000000" w:themeColor="text1"/>
                <w:kern w:val="0"/>
                <w:sz w:val="24"/>
                <w:szCs w:val="24"/>
                <w:highlight w:val="none"/>
                <w:vertAlign w:val="baseline"/>
                <w:lang w:eastAsia="zh-CN"/>
                <w14:textFill>
                  <w14:solidFill>
                    <w14:schemeClr w14:val="tx1"/>
                  </w14:solidFill>
                </w14:textFill>
              </w:rPr>
              <w:t>消毒设施</w:t>
            </w:r>
            <w:r>
              <w:rPr>
                <w:rFonts w:hint="default" w:ascii="Times New Roman" w:hAnsi="Times New Roman" w:cs="Times New Roman"/>
                <w:b/>
                <w:bCs w:val="0"/>
                <w:color w:val="000000" w:themeColor="text1"/>
                <w:kern w:val="0"/>
                <w:sz w:val="24"/>
                <w:szCs w:val="24"/>
                <w:highlight w:val="none"/>
                <w:vertAlign w:val="baseline"/>
                <w14:textFill>
                  <w14:solidFill>
                    <w14:schemeClr w14:val="tx1"/>
                  </w14:solidFill>
                </w14:textFill>
              </w:rPr>
              <w:t>可行性分析</w:t>
            </w:r>
          </w:p>
          <w:p w14:paraId="6A4999F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color w:val="000000" w:themeColor="text1"/>
                <w:kern w:val="0"/>
                <w:sz w:val="24"/>
                <w:szCs w:val="24"/>
                <w:highlight w:val="none"/>
                <w:vertAlign w:val="baseline"/>
                <w14:textFill>
                  <w14:solidFill>
                    <w14:schemeClr w14:val="tx1"/>
                  </w14:solidFill>
                </w14:textFill>
              </w:rPr>
            </w:pPr>
            <w:r>
              <w:rPr>
                <w:rFonts w:hint="default" w:ascii="Times New Roman" w:hAnsi="Times New Roman" w:cs="Times New Roman"/>
                <w:b w:val="0"/>
                <w:bCs/>
                <w:color w:val="000000" w:themeColor="text1"/>
                <w:kern w:val="0"/>
                <w:sz w:val="24"/>
                <w:szCs w:val="24"/>
                <w:highlight w:val="none"/>
                <w:vertAlign w:val="baseline"/>
                <w:lang w:eastAsia="zh-CN"/>
                <w14:textFill>
                  <w14:solidFill>
                    <w14:schemeClr w14:val="tx1"/>
                  </w14:solidFill>
                </w14:textFill>
              </w:rPr>
              <w:t>（</w:t>
            </w:r>
            <w:r>
              <w:rPr>
                <w:rFonts w:hint="default" w:ascii="Times New Roman" w:hAnsi="Times New Roman" w:cs="Times New Roman"/>
                <w:b w:val="0"/>
                <w:bCs/>
                <w:color w:val="000000" w:themeColor="text1"/>
                <w:kern w:val="0"/>
                <w:sz w:val="24"/>
                <w:szCs w:val="24"/>
                <w:highlight w:val="none"/>
                <w:vertAlign w:val="baseline"/>
                <w:lang w:val="en-US" w:eastAsia="zh-CN"/>
                <w14:textFill>
                  <w14:solidFill>
                    <w14:schemeClr w14:val="tx1"/>
                  </w14:solidFill>
                </w14:textFill>
              </w:rPr>
              <w:t>1</w:t>
            </w:r>
            <w:r>
              <w:rPr>
                <w:rFonts w:hint="default" w:ascii="Times New Roman" w:hAnsi="Times New Roman" w:cs="Times New Roman"/>
                <w:b w:val="0"/>
                <w:bCs/>
                <w:color w:val="000000" w:themeColor="text1"/>
                <w:kern w:val="0"/>
                <w:sz w:val="24"/>
                <w:szCs w:val="24"/>
                <w:highlight w:val="none"/>
                <w:vertAlign w:val="baseline"/>
                <w:lang w:eastAsia="zh-CN"/>
                <w14:textFill>
                  <w14:solidFill>
                    <w14:schemeClr w14:val="tx1"/>
                  </w14:solidFill>
                </w14:textFill>
              </w:rPr>
              <w:t>）</w:t>
            </w:r>
            <w:r>
              <w:rPr>
                <w:rFonts w:hint="default" w:ascii="Times New Roman" w:hAnsi="Times New Roman" w:cs="Times New Roman"/>
                <w:b w:val="0"/>
                <w:bCs/>
                <w:color w:val="000000" w:themeColor="text1"/>
                <w:kern w:val="0"/>
                <w:sz w:val="24"/>
                <w:szCs w:val="24"/>
                <w:highlight w:val="none"/>
                <w:vertAlign w:val="baseline"/>
                <w14:textFill>
                  <w14:solidFill>
                    <w14:schemeClr w14:val="tx1"/>
                  </w14:solidFill>
                </w14:textFill>
              </w:rPr>
              <w:t>项目废水水质分析</w:t>
            </w:r>
          </w:p>
          <w:p w14:paraId="713FD31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color w:val="000000" w:themeColor="text1"/>
                <w:kern w:val="0"/>
                <w:sz w:val="24"/>
                <w:szCs w:val="24"/>
                <w:highlight w:val="none"/>
                <w:vertAlign w:val="baseline"/>
                <w14:textFill>
                  <w14:solidFill>
                    <w14:schemeClr w14:val="tx1"/>
                  </w14:solidFill>
                </w14:textFill>
              </w:rPr>
            </w:pPr>
            <w:r>
              <w:rPr>
                <w:rFonts w:hint="default" w:ascii="Times New Roman" w:hAnsi="Times New Roman" w:cs="Times New Roman"/>
                <w:b w:val="0"/>
                <w:bCs/>
                <w:color w:val="000000" w:themeColor="text1"/>
                <w:kern w:val="0"/>
                <w:sz w:val="24"/>
                <w:szCs w:val="24"/>
                <w:highlight w:val="none"/>
                <w:vertAlign w:val="baseline"/>
                <w14:textFill>
                  <w14:solidFill>
                    <w14:schemeClr w14:val="tx1"/>
                  </w14:solidFill>
                </w14:textFill>
              </w:rPr>
              <w:t>根据前述分析，项目营运期废水主要包括医疗废水、生活污水及</w:t>
            </w:r>
            <w:r>
              <w:rPr>
                <w:rFonts w:hint="eastAsia" w:cs="Times New Roman"/>
                <w:b w:val="0"/>
                <w:bCs/>
                <w:color w:val="000000" w:themeColor="text1"/>
                <w:kern w:val="0"/>
                <w:sz w:val="24"/>
                <w:szCs w:val="24"/>
                <w:highlight w:val="none"/>
                <w:vertAlign w:val="baseline"/>
                <w:lang w:val="en-US" w:eastAsia="zh-CN"/>
                <w14:textFill>
                  <w14:solidFill>
                    <w14:schemeClr w14:val="tx1"/>
                  </w14:solidFill>
                </w14:textFill>
              </w:rPr>
              <w:t>其它废水</w:t>
            </w:r>
            <w:r>
              <w:rPr>
                <w:rFonts w:hint="default" w:ascii="Times New Roman" w:hAnsi="Times New Roman" w:cs="Times New Roman"/>
                <w:b w:val="0"/>
                <w:bCs/>
                <w:color w:val="000000" w:themeColor="text1"/>
                <w:kern w:val="0"/>
                <w:sz w:val="24"/>
                <w:szCs w:val="24"/>
                <w:highlight w:val="none"/>
                <w:vertAlign w:val="baseline"/>
                <w14:textFill>
                  <w14:solidFill>
                    <w14:schemeClr w14:val="tx1"/>
                  </w14:solidFill>
                </w14:textFill>
              </w:rPr>
              <w:t>。医疗废水成分复杂，废水中因沾染血、尿、便等具有传染性，必须经消毒杀菌后才能排放，参照《医疗废物管理条例</w:t>
            </w:r>
            <w:r>
              <w:rPr>
                <w:rFonts w:hint="default" w:ascii="Times New Roman" w:hAnsi="Times New Roman" w:cs="Times New Roman"/>
                <w:b w:val="0"/>
                <w:bCs/>
                <w:color w:val="000000" w:themeColor="text1"/>
                <w:kern w:val="0"/>
                <w:sz w:val="24"/>
                <w:szCs w:val="24"/>
                <w:highlight w:val="none"/>
                <w:vertAlign w:val="baseline"/>
                <w:lang w:eastAsia="zh-CN"/>
                <w14:textFill>
                  <w14:solidFill>
                    <w14:schemeClr w14:val="tx1"/>
                  </w14:solidFill>
                </w14:textFill>
              </w:rPr>
              <w:t>（</w:t>
            </w:r>
            <w:r>
              <w:rPr>
                <w:rFonts w:hint="default" w:ascii="Times New Roman" w:hAnsi="Times New Roman" w:cs="Times New Roman"/>
                <w:b w:val="0"/>
                <w:bCs/>
                <w:color w:val="000000" w:themeColor="text1"/>
                <w:kern w:val="0"/>
                <w:sz w:val="24"/>
                <w:szCs w:val="24"/>
                <w:highlight w:val="none"/>
                <w:vertAlign w:val="baseline"/>
                <w14:textFill>
                  <w14:solidFill>
                    <w14:schemeClr w14:val="tx1"/>
                  </w14:solidFill>
                </w14:textFill>
              </w:rPr>
              <w:t>2011修订</w:t>
            </w:r>
            <w:r>
              <w:rPr>
                <w:rFonts w:hint="default" w:ascii="Times New Roman" w:hAnsi="Times New Roman" w:cs="Times New Roman"/>
                <w:b w:val="0"/>
                <w:bCs/>
                <w:color w:val="000000" w:themeColor="text1"/>
                <w:kern w:val="0"/>
                <w:sz w:val="24"/>
                <w:szCs w:val="24"/>
                <w:highlight w:val="none"/>
                <w:vertAlign w:val="baseline"/>
                <w:lang w:eastAsia="zh-CN"/>
                <w14:textFill>
                  <w14:solidFill>
                    <w14:schemeClr w14:val="tx1"/>
                  </w14:solidFill>
                </w14:textFill>
              </w:rPr>
              <w:t>）</w:t>
            </w:r>
            <w:r>
              <w:rPr>
                <w:rFonts w:hint="default" w:ascii="Times New Roman" w:hAnsi="Times New Roman" w:cs="Times New Roman"/>
                <w:b w:val="0"/>
                <w:bCs/>
                <w:color w:val="000000" w:themeColor="text1"/>
                <w:kern w:val="0"/>
                <w:sz w:val="24"/>
                <w:szCs w:val="24"/>
                <w:highlight w:val="none"/>
                <w:vertAlign w:val="baseline"/>
                <w14:textFill>
                  <w14:solidFill>
                    <w14:schemeClr w14:val="tx1"/>
                  </w14:solidFill>
                </w14:textFill>
              </w:rPr>
              <w:t>》中</w:t>
            </w:r>
            <w:r>
              <w:rPr>
                <w:rFonts w:hint="eastAsia" w:cs="Times New Roman"/>
                <w:b w:val="0"/>
                <w:bCs/>
                <w:color w:val="000000" w:themeColor="text1"/>
                <w:kern w:val="0"/>
                <w:sz w:val="24"/>
                <w:szCs w:val="24"/>
                <w:highlight w:val="none"/>
                <w:vertAlign w:val="baseline"/>
                <w:lang w:eastAsia="zh-CN"/>
                <w14:textFill>
                  <w14:solidFill>
                    <w14:schemeClr w14:val="tx1"/>
                  </w14:solidFill>
                </w14:textFill>
              </w:rPr>
              <w:t>“</w:t>
            </w:r>
            <w:r>
              <w:rPr>
                <w:rFonts w:hint="default" w:ascii="Times New Roman" w:hAnsi="Times New Roman" w:cs="Times New Roman"/>
                <w:b w:val="0"/>
                <w:bCs/>
                <w:color w:val="000000" w:themeColor="text1"/>
                <w:kern w:val="0"/>
                <w:sz w:val="24"/>
                <w:szCs w:val="24"/>
                <w:highlight w:val="none"/>
                <w:vertAlign w:val="baseline"/>
                <w14:textFill>
                  <w14:solidFill>
                    <w14:schemeClr w14:val="tx1"/>
                  </w14:solidFill>
                </w14:textFill>
              </w:rPr>
              <w:t>第二十条 医疗卫生机构产生的污水、传染病病人或者疑似传染病病人的排泄物，应当按照国家规定严格消毒</w:t>
            </w:r>
            <w:r>
              <w:rPr>
                <w:rFonts w:hint="eastAsia" w:cs="Times New Roman"/>
                <w:b w:val="0"/>
                <w:bCs/>
                <w:color w:val="000000" w:themeColor="text1"/>
                <w:kern w:val="0"/>
                <w:sz w:val="24"/>
                <w:szCs w:val="24"/>
                <w:highlight w:val="none"/>
                <w:vertAlign w:val="baseline"/>
                <w:lang w:eastAsia="zh-CN"/>
                <w14:textFill>
                  <w14:solidFill>
                    <w14:schemeClr w14:val="tx1"/>
                  </w14:solidFill>
                </w14:textFill>
              </w:rPr>
              <w:t>：</w:t>
            </w:r>
            <w:r>
              <w:rPr>
                <w:rFonts w:hint="default" w:ascii="Times New Roman" w:hAnsi="Times New Roman" w:cs="Times New Roman"/>
                <w:b w:val="0"/>
                <w:bCs/>
                <w:color w:val="000000" w:themeColor="text1"/>
                <w:kern w:val="0"/>
                <w:sz w:val="24"/>
                <w:szCs w:val="24"/>
                <w:highlight w:val="none"/>
                <w:vertAlign w:val="baseline"/>
                <w14:textFill>
                  <w14:solidFill>
                    <w14:schemeClr w14:val="tx1"/>
                  </w14:solidFill>
                </w14:textFill>
              </w:rPr>
              <w:t>达到国家规定的排放标准后，方可排入污水处理系统。</w:t>
            </w:r>
            <w:r>
              <w:rPr>
                <w:rFonts w:hint="eastAsia" w:cs="Times New Roman"/>
                <w:b w:val="0"/>
                <w:bCs/>
                <w:color w:val="000000" w:themeColor="text1"/>
                <w:kern w:val="0"/>
                <w:sz w:val="24"/>
                <w:szCs w:val="24"/>
                <w:highlight w:val="none"/>
                <w:vertAlign w:val="baseline"/>
                <w:lang w:eastAsia="zh-CN"/>
                <w14:textFill>
                  <w14:solidFill>
                    <w14:schemeClr w14:val="tx1"/>
                  </w14:solidFill>
                </w14:textFill>
              </w:rPr>
              <w:t>”</w:t>
            </w:r>
            <w:r>
              <w:rPr>
                <w:rFonts w:hint="default" w:ascii="Times New Roman" w:hAnsi="Times New Roman" w:cs="Times New Roman"/>
                <w:b w:val="0"/>
                <w:bCs/>
                <w:color w:val="000000" w:themeColor="text1"/>
                <w:kern w:val="0"/>
                <w:sz w:val="24"/>
                <w:szCs w:val="24"/>
                <w:highlight w:val="none"/>
                <w:vertAlign w:val="baseline"/>
                <w14:textFill>
                  <w14:solidFill>
                    <w14:schemeClr w14:val="tx1"/>
                  </w14:solidFill>
                </w14:textFill>
              </w:rPr>
              <w:t>和《动物诊疗机构管理办法》</w:t>
            </w:r>
            <w:r>
              <w:rPr>
                <w:rFonts w:hint="default" w:ascii="Times New Roman" w:hAnsi="Times New Roman" w:cs="Times New Roman"/>
                <w:b w:val="0"/>
                <w:bCs/>
                <w:color w:val="000000" w:themeColor="text1"/>
                <w:kern w:val="0"/>
                <w:sz w:val="24"/>
                <w:szCs w:val="24"/>
                <w:highlight w:val="none"/>
                <w:vertAlign w:val="baseline"/>
                <w:lang w:eastAsia="zh-CN"/>
                <w14:textFill>
                  <w14:solidFill>
                    <w14:schemeClr w14:val="tx1"/>
                  </w14:solidFill>
                </w14:textFill>
              </w:rPr>
              <w:t>（</w:t>
            </w:r>
            <w:r>
              <w:rPr>
                <w:rFonts w:hint="default" w:ascii="Times New Roman" w:hAnsi="Times New Roman" w:cs="Times New Roman"/>
                <w:b w:val="0"/>
                <w:bCs/>
                <w:color w:val="000000" w:themeColor="text1"/>
                <w:kern w:val="0"/>
                <w:sz w:val="24"/>
                <w:szCs w:val="24"/>
                <w:highlight w:val="none"/>
                <w:vertAlign w:val="baseline"/>
                <w14:textFill>
                  <w14:solidFill>
                    <w14:schemeClr w14:val="tx1"/>
                  </w14:solidFill>
                </w14:textFill>
              </w:rPr>
              <w:t>中华人民共和国农业农村部令 2022年第5号</w:t>
            </w:r>
            <w:r>
              <w:rPr>
                <w:rFonts w:hint="default" w:ascii="Times New Roman" w:hAnsi="Times New Roman" w:cs="Times New Roman"/>
                <w:b w:val="0"/>
                <w:bCs/>
                <w:color w:val="000000" w:themeColor="text1"/>
                <w:kern w:val="0"/>
                <w:sz w:val="24"/>
                <w:szCs w:val="24"/>
                <w:highlight w:val="none"/>
                <w:vertAlign w:val="baseline"/>
                <w:lang w:eastAsia="zh-CN"/>
                <w14:textFill>
                  <w14:solidFill>
                    <w14:schemeClr w14:val="tx1"/>
                  </w14:solidFill>
                </w14:textFill>
              </w:rPr>
              <w:t>）</w:t>
            </w:r>
            <w:r>
              <w:rPr>
                <w:rFonts w:hint="default" w:ascii="Times New Roman" w:hAnsi="Times New Roman" w:cs="Times New Roman"/>
                <w:b w:val="0"/>
                <w:bCs/>
                <w:color w:val="000000" w:themeColor="text1"/>
                <w:kern w:val="0"/>
                <w:sz w:val="24"/>
                <w:szCs w:val="24"/>
                <w:highlight w:val="none"/>
                <w:vertAlign w:val="baseline"/>
                <w14:textFill>
                  <w14:solidFill>
                    <w14:schemeClr w14:val="tx1"/>
                  </w14:solidFill>
                </w14:textFill>
              </w:rPr>
              <w:t>中</w:t>
            </w:r>
            <w:r>
              <w:rPr>
                <w:rFonts w:hint="eastAsia" w:cs="Times New Roman"/>
                <w:b w:val="0"/>
                <w:bCs/>
                <w:color w:val="000000" w:themeColor="text1"/>
                <w:kern w:val="0"/>
                <w:sz w:val="24"/>
                <w:szCs w:val="24"/>
                <w:highlight w:val="none"/>
                <w:vertAlign w:val="baseline"/>
                <w:lang w:eastAsia="zh-CN"/>
                <w14:textFill>
                  <w14:solidFill>
                    <w14:schemeClr w14:val="tx1"/>
                  </w14:solidFill>
                </w14:textFill>
              </w:rPr>
              <w:t>“</w:t>
            </w:r>
            <w:r>
              <w:rPr>
                <w:rFonts w:hint="default" w:ascii="Times New Roman" w:hAnsi="Times New Roman" w:cs="Times New Roman"/>
                <w:b w:val="0"/>
                <w:bCs/>
                <w:color w:val="000000" w:themeColor="text1"/>
                <w:kern w:val="0"/>
                <w:sz w:val="24"/>
                <w:szCs w:val="24"/>
                <w:highlight w:val="none"/>
                <w:vertAlign w:val="baseline"/>
                <w14:textFill>
                  <w14:solidFill>
                    <w14:schemeClr w14:val="tx1"/>
                  </w14:solidFill>
                </w14:textFill>
              </w:rPr>
              <w:t>第二十六条..动物诊疗机构应当参照《医疗废物管理条例》的有关规定处理诊疗废弃物，不得随意丢弃诊疗废弃物，排放未经无害化处理的</w:t>
            </w:r>
            <w:r>
              <w:rPr>
                <w:rFonts w:hint="eastAsia" w:cs="Times New Roman"/>
                <w:b w:val="0"/>
                <w:bCs/>
                <w:color w:val="000000" w:themeColor="text1"/>
                <w:kern w:val="0"/>
                <w:sz w:val="24"/>
                <w:szCs w:val="24"/>
                <w:highlight w:val="none"/>
                <w:vertAlign w:val="baseline"/>
                <w:lang w:eastAsia="zh-CN"/>
                <w14:textFill>
                  <w14:solidFill>
                    <w14:schemeClr w14:val="tx1"/>
                  </w14:solidFill>
                </w14:textFill>
              </w:rPr>
              <w:t>化验废水</w:t>
            </w:r>
            <w:r>
              <w:rPr>
                <w:rFonts w:hint="default" w:ascii="Times New Roman" w:hAnsi="Times New Roman" w:cs="Times New Roman"/>
                <w:b w:val="0"/>
                <w:bCs/>
                <w:color w:val="000000" w:themeColor="text1"/>
                <w:kern w:val="0"/>
                <w:sz w:val="24"/>
                <w:szCs w:val="24"/>
                <w:highlight w:val="none"/>
                <w:vertAlign w:val="baseline"/>
                <w14:textFill>
                  <w14:solidFill>
                    <w14:schemeClr w14:val="tx1"/>
                  </w14:solidFill>
                </w14:textFill>
              </w:rPr>
              <w:t>。</w:t>
            </w:r>
            <w:r>
              <w:rPr>
                <w:rFonts w:hint="eastAsia" w:cs="Times New Roman"/>
                <w:b w:val="0"/>
                <w:bCs/>
                <w:color w:val="000000" w:themeColor="text1"/>
                <w:kern w:val="0"/>
                <w:sz w:val="24"/>
                <w:szCs w:val="24"/>
                <w:highlight w:val="none"/>
                <w:vertAlign w:val="baseline"/>
                <w:lang w:eastAsia="zh-CN"/>
                <w14:textFill>
                  <w14:solidFill>
                    <w14:schemeClr w14:val="tx1"/>
                  </w14:solidFill>
                </w14:textFill>
              </w:rPr>
              <w:t>”</w:t>
            </w:r>
            <w:r>
              <w:rPr>
                <w:rFonts w:hint="default" w:ascii="Times New Roman" w:hAnsi="Times New Roman" w:cs="Times New Roman"/>
                <w:b w:val="0"/>
                <w:bCs/>
                <w:color w:val="000000" w:themeColor="text1"/>
                <w:kern w:val="0"/>
                <w:sz w:val="24"/>
                <w:szCs w:val="24"/>
                <w:highlight w:val="none"/>
                <w:vertAlign w:val="baseline"/>
                <w14:textFill>
                  <w14:solidFill>
                    <w14:schemeClr w14:val="tx1"/>
                  </w14:solidFill>
                </w14:textFill>
              </w:rPr>
              <w:t>项目设</w:t>
            </w:r>
            <w:r>
              <w:rPr>
                <w:rFonts w:hint="eastAsia" w:cs="Times New Roman"/>
                <w:b w:val="0"/>
                <w:bCs/>
                <w:color w:val="000000" w:themeColor="text1"/>
                <w:kern w:val="0"/>
                <w:sz w:val="24"/>
                <w:szCs w:val="24"/>
                <w:highlight w:val="none"/>
                <w:vertAlign w:val="baseline"/>
                <w:lang w:val="en-US" w:eastAsia="zh-CN"/>
                <w14:textFill>
                  <w14:solidFill>
                    <w14:schemeClr w14:val="tx1"/>
                  </w14:solidFill>
                </w14:textFill>
              </w:rPr>
              <w:t>有2</w:t>
            </w:r>
            <w:r>
              <w:rPr>
                <w:rFonts w:hint="default" w:ascii="Times New Roman" w:hAnsi="Times New Roman" w:cs="Times New Roman"/>
                <w:b w:val="0"/>
                <w:bCs/>
                <w:color w:val="000000" w:themeColor="text1"/>
                <w:kern w:val="0"/>
                <w:sz w:val="24"/>
                <w:szCs w:val="24"/>
                <w:highlight w:val="none"/>
                <w:vertAlign w:val="baseline"/>
                <w14:textFill>
                  <w14:solidFill>
                    <w14:schemeClr w14:val="tx1"/>
                  </w14:solidFill>
                </w14:textFill>
              </w:rPr>
              <w:t>台</w:t>
            </w:r>
            <w:r>
              <w:rPr>
                <w:rFonts w:hint="eastAsia" w:cs="Times New Roman"/>
                <w:b w:val="0"/>
                <w:bCs/>
                <w:color w:val="000000" w:themeColor="text1"/>
                <w:kern w:val="0"/>
                <w:sz w:val="24"/>
                <w:szCs w:val="24"/>
                <w:highlight w:val="none"/>
                <w:vertAlign w:val="baseline"/>
                <w:lang w:eastAsia="zh-CN"/>
                <w14:textFill>
                  <w14:solidFill>
                    <w14:schemeClr w14:val="tx1"/>
                  </w14:solidFill>
                </w14:textFill>
              </w:rPr>
              <w:t>消毒设施</w:t>
            </w:r>
            <w:r>
              <w:rPr>
                <w:rFonts w:hint="default" w:ascii="Times New Roman" w:hAnsi="Times New Roman" w:cs="Times New Roman"/>
                <w:b w:val="0"/>
                <w:bCs/>
                <w:color w:val="000000" w:themeColor="text1"/>
                <w:kern w:val="0"/>
                <w:sz w:val="24"/>
                <w:szCs w:val="24"/>
                <w:highlight w:val="none"/>
                <w:vertAlign w:val="baseline"/>
                <w14:textFill>
                  <w14:solidFill>
                    <w14:schemeClr w14:val="tx1"/>
                  </w14:solidFill>
                </w14:textFill>
              </w:rPr>
              <w:t>，动物诊疗过程</w:t>
            </w:r>
            <w:r>
              <w:rPr>
                <w:rFonts w:hint="eastAsia" w:cs="Times New Roman"/>
                <w:b w:val="0"/>
                <w:bCs/>
                <w:color w:val="000000" w:themeColor="text1"/>
                <w:kern w:val="0"/>
                <w:sz w:val="24"/>
                <w:szCs w:val="24"/>
                <w:highlight w:val="none"/>
                <w:vertAlign w:val="baseline"/>
                <w:lang w:eastAsia="zh-CN"/>
                <w14:textFill>
                  <w14:solidFill>
                    <w14:schemeClr w14:val="tx1"/>
                  </w14:solidFill>
                </w14:textFill>
              </w:rPr>
              <w:t>、</w:t>
            </w:r>
            <w:r>
              <w:rPr>
                <w:rFonts w:hint="default" w:ascii="Times New Roman" w:hAnsi="Times New Roman" w:cs="Times New Roman"/>
                <w:b w:val="0"/>
                <w:bCs/>
                <w:color w:val="000000" w:themeColor="text1"/>
                <w:kern w:val="0"/>
                <w:sz w:val="24"/>
                <w:szCs w:val="24"/>
                <w:highlight w:val="none"/>
                <w:vertAlign w:val="baseline"/>
                <w14:textFill>
                  <w14:solidFill>
                    <w14:schemeClr w14:val="tx1"/>
                  </w14:solidFill>
                </w14:textFill>
              </w:rPr>
              <w:t>宠物笼及手术器械清洗过程产生的废水</w:t>
            </w:r>
            <w:r>
              <w:rPr>
                <w:rFonts w:hint="eastAsia" w:cs="Times New Roman"/>
                <w:b w:val="0"/>
                <w:bCs/>
                <w:color w:val="000000" w:themeColor="text1"/>
                <w:kern w:val="0"/>
                <w:sz w:val="24"/>
                <w:szCs w:val="24"/>
                <w:highlight w:val="none"/>
                <w:vertAlign w:val="baseline"/>
                <w:lang w:eastAsia="zh-CN"/>
                <w14:textFill>
                  <w14:solidFill>
                    <w14:schemeClr w14:val="tx1"/>
                  </w14:solidFill>
                </w14:textFill>
              </w:rPr>
              <w:t>、</w:t>
            </w:r>
            <w:r>
              <w:rPr>
                <w:rFonts w:hint="eastAsia" w:cs="Times New Roman"/>
                <w:b w:val="0"/>
                <w:bCs/>
                <w:color w:val="000000" w:themeColor="text1"/>
                <w:kern w:val="0"/>
                <w:sz w:val="24"/>
                <w:szCs w:val="24"/>
                <w:highlight w:val="none"/>
                <w:vertAlign w:val="baseline"/>
                <w:lang w:val="en-US" w:eastAsia="zh-CN"/>
                <w14:textFill>
                  <w14:solidFill>
                    <w14:schemeClr w14:val="tx1"/>
                  </w14:solidFill>
                </w14:textFill>
              </w:rPr>
              <w:t>隔离室产生的洗手废水</w:t>
            </w:r>
            <w:r>
              <w:rPr>
                <w:rFonts w:hint="default" w:ascii="Times New Roman" w:hAnsi="Times New Roman" w:cs="Times New Roman"/>
                <w:b w:val="0"/>
                <w:bCs/>
                <w:color w:val="000000" w:themeColor="text1"/>
                <w:kern w:val="0"/>
                <w:sz w:val="24"/>
                <w:szCs w:val="24"/>
                <w:highlight w:val="none"/>
                <w:vertAlign w:val="baseline"/>
                <w14:textFill>
                  <w14:solidFill>
                    <w14:schemeClr w14:val="tx1"/>
                  </w14:solidFill>
                </w14:textFill>
              </w:rPr>
              <w:t>均经</w:t>
            </w:r>
            <w:r>
              <w:rPr>
                <w:rFonts w:hint="eastAsia" w:cs="Times New Roman"/>
                <w:b w:val="0"/>
                <w:bCs/>
                <w:color w:val="000000" w:themeColor="text1"/>
                <w:kern w:val="0"/>
                <w:sz w:val="24"/>
                <w:szCs w:val="24"/>
                <w:highlight w:val="none"/>
                <w:vertAlign w:val="baseline"/>
                <w:lang w:eastAsia="zh-CN"/>
                <w14:textFill>
                  <w14:solidFill>
                    <w14:schemeClr w14:val="tx1"/>
                  </w14:solidFill>
                </w14:textFill>
              </w:rPr>
              <w:t>消毒设施消毒</w:t>
            </w:r>
            <w:r>
              <w:rPr>
                <w:rFonts w:hint="eastAsia" w:cs="Times New Roman"/>
                <w:b w:val="0"/>
                <w:bCs/>
                <w:color w:val="000000" w:themeColor="text1"/>
                <w:kern w:val="0"/>
                <w:sz w:val="24"/>
                <w:szCs w:val="24"/>
                <w:highlight w:val="none"/>
                <w:vertAlign w:val="baseline"/>
                <w:lang w:val="en-US" w:eastAsia="zh-CN"/>
                <w14:textFill>
                  <w14:solidFill>
                    <w14:schemeClr w14:val="tx1"/>
                  </w14:solidFill>
                </w14:textFill>
              </w:rPr>
              <w:t>后</w:t>
            </w:r>
            <w:r>
              <w:rPr>
                <w:rFonts w:hint="default" w:ascii="Times New Roman" w:hAnsi="Times New Roman" w:cs="Times New Roman"/>
                <w:b w:val="0"/>
                <w:bCs/>
                <w:color w:val="000000" w:themeColor="text1"/>
                <w:kern w:val="0"/>
                <w:sz w:val="24"/>
                <w:szCs w:val="24"/>
                <w:highlight w:val="none"/>
                <w:vertAlign w:val="baseline"/>
                <w14:textFill>
                  <w14:solidFill>
                    <w14:schemeClr w14:val="tx1"/>
                  </w14:solidFill>
                </w14:textFill>
              </w:rPr>
              <w:t>排入生化池。</w:t>
            </w:r>
          </w:p>
          <w:p w14:paraId="4C8AA63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color w:val="000000" w:themeColor="text1"/>
                <w:kern w:val="0"/>
                <w:sz w:val="24"/>
                <w:szCs w:val="24"/>
                <w:highlight w:val="none"/>
                <w:vertAlign w:val="baseline"/>
                <w14:textFill>
                  <w14:solidFill>
                    <w14:schemeClr w14:val="tx1"/>
                  </w14:solidFill>
                </w14:textFill>
              </w:rPr>
            </w:pPr>
            <w:r>
              <w:rPr>
                <w:rFonts w:hint="default" w:ascii="Times New Roman" w:hAnsi="Times New Roman" w:cs="Times New Roman"/>
                <w:b w:val="0"/>
                <w:bCs/>
                <w:color w:val="000000" w:themeColor="text1"/>
                <w:kern w:val="0"/>
                <w:sz w:val="24"/>
                <w:szCs w:val="24"/>
                <w:highlight w:val="none"/>
                <w:vertAlign w:val="baseline"/>
                <w14:textFill>
                  <w14:solidFill>
                    <w14:schemeClr w14:val="tx1"/>
                  </w14:solidFill>
                </w14:textFill>
              </w:rPr>
              <w:t>项目扩建后，整个宠物医院废水排放量为</w:t>
            </w:r>
            <w:r>
              <w:rPr>
                <w:rFonts w:hint="eastAsia" w:cs="Times New Roman"/>
                <w:b w:val="0"/>
                <w:bCs/>
                <w:color w:val="000000" w:themeColor="text1"/>
                <w:kern w:val="0"/>
                <w:sz w:val="24"/>
                <w:szCs w:val="24"/>
                <w:highlight w:val="none"/>
                <w:vertAlign w:val="baseline"/>
                <w:lang w:val="en-US" w:eastAsia="zh-CN"/>
                <w14:textFill>
                  <w14:solidFill>
                    <w14:schemeClr w14:val="tx1"/>
                  </w14:solidFill>
                </w14:textFill>
              </w:rPr>
              <w:t>1.3311</w:t>
            </w:r>
            <w:r>
              <w:rPr>
                <w:rFonts w:hint="default" w:ascii="Times New Roman" w:hAnsi="Times New Roman" w:cs="Times New Roman"/>
                <w:b w:val="0"/>
                <w:bCs/>
                <w:color w:val="000000" w:themeColor="text1"/>
                <w:kern w:val="0"/>
                <w:sz w:val="24"/>
                <w:szCs w:val="24"/>
                <w:highlight w:val="none"/>
                <w:vertAlign w:val="baseline"/>
                <w14:textFill>
                  <w14:solidFill>
                    <w14:schemeClr w14:val="tx1"/>
                  </w14:solidFill>
                </w14:textFill>
              </w:rPr>
              <w:t>m</w:t>
            </w:r>
            <w:r>
              <w:rPr>
                <w:rFonts w:hint="default" w:ascii="Times New Roman" w:hAnsi="Times New Roman" w:cs="Times New Roman"/>
                <w:b w:val="0"/>
                <w:bCs/>
                <w:color w:val="000000" w:themeColor="text1"/>
                <w:kern w:val="0"/>
                <w:sz w:val="24"/>
                <w:szCs w:val="24"/>
                <w:highlight w:val="none"/>
                <w:vertAlign w:val="superscript"/>
                <w:lang w:val="en-US" w:eastAsia="zh-CN"/>
                <w14:textFill>
                  <w14:solidFill>
                    <w14:schemeClr w14:val="tx1"/>
                  </w14:solidFill>
                </w14:textFill>
              </w:rPr>
              <w:t>3</w:t>
            </w:r>
            <w:r>
              <w:rPr>
                <w:rFonts w:hint="default" w:ascii="Times New Roman" w:hAnsi="Times New Roman" w:cs="Times New Roman"/>
                <w:b w:val="0"/>
                <w:bCs/>
                <w:color w:val="000000" w:themeColor="text1"/>
                <w:kern w:val="0"/>
                <w:sz w:val="24"/>
                <w:szCs w:val="24"/>
                <w:highlight w:val="none"/>
                <w:vertAlign w:val="baseline"/>
                <w14:textFill>
                  <w14:solidFill>
                    <w14:schemeClr w14:val="tx1"/>
                  </w14:solidFill>
                </w14:textFill>
              </w:rPr>
              <w:t>/d，依托</w:t>
            </w:r>
            <w:r>
              <w:rPr>
                <w:rFonts w:hint="eastAsia" w:cs="Times New Roman"/>
                <w:b w:val="0"/>
                <w:bCs/>
                <w:color w:val="000000" w:themeColor="text1"/>
                <w:kern w:val="0"/>
                <w:sz w:val="24"/>
                <w:szCs w:val="24"/>
                <w:highlight w:val="none"/>
                <w:vertAlign w:val="baseline"/>
                <w:lang w:val="en-US" w:eastAsia="zh-CN"/>
                <w14:textFill>
                  <w14:solidFill>
                    <w14:schemeClr w14:val="tx1"/>
                  </w14:solidFill>
                </w14:textFill>
              </w:rPr>
              <w:t>弘悦101已建生化池</w:t>
            </w:r>
            <w:r>
              <w:rPr>
                <w:rFonts w:hint="default" w:ascii="Times New Roman" w:hAnsi="Times New Roman" w:cs="Times New Roman"/>
                <w:b w:val="0"/>
                <w:bCs/>
                <w:color w:val="000000" w:themeColor="text1"/>
                <w:kern w:val="0"/>
                <w:sz w:val="24"/>
                <w:szCs w:val="24"/>
                <w:highlight w:val="none"/>
                <w:vertAlign w:val="baseline"/>
                <w14:textFill>
                  <w14:solidFill>
                    <w14:schemeClr w14:val="tx1"/>
                  </w14:solidFill>
                </w14:textFill>
              </w:rPr>
              <w:t>处理达《污水综合排放标准》</w:t>
            </w:r>
            <w:r>
              <w:rPr>
                <w:rFonts w:hint="default" w:ascii="Times New Roman" w:hAnsi="Times New Roman" w:cs="Times New Roman"/>
                <w:b w:val="0"/>
                <w:bCs/>
                <w:color w:val="000000" w:themeColor="text1"/>
                <w:kern w:val="0"/>
                <w:sz w:val="24"/>
                <w:szCs w:val="24"/>
                <w:highlight w:val="none"/>
                <w:vertAlign w:val="baseline"/>
                <w:lang w:eastAsia="zh-CN"/>
                <w14:textFill>
                  <w14:solidFill>
                    <w14:schemeClr w14:val="tx1"/>
                  </w14:solidFill>
                </w14:textFill>
              </w:rPr>
              <w:t>（</w:t>
            </w:r>
            <w:r>
              <w:rPr>
                <w:rFonts w:hint="default" w:ascii="Times New Roman" w:hAnsi="Times New Roman" w:cs="Times New Roman"/>
                <w:b w:val="0"/>
                <w:bCs/>
                <w:color w:val="000000" w:themeColor="text1"/>
                <w:kern w:val="0"/>
                <w:sz w:val="24"/>
                <w:szCs w:val="24"/>
                <w:highlight w:val="none"/>
                <w:vertAlign w:val="baseline"/>
                <w14:textFill>
                  <w14:solidFill>
                    <w14:schemeClr w14:val="tx1"/>
                  </w14:solidFill>
                </w14:textFill>
              </w:rPr>
              <w:t>GB8978-1996</w:t>
            </w:r>
            <w:r>
              <w:rPr>
                <w:rFonts w:hint="default" w:ascii="Times New Roman" w:hAnsi="Times New Roman" w:cs="Times New Roman"/>
                <w:b w:val="0"/>
                <w:bCs/>
                <w:color w:val="000000" w:themeColor="text1"/>
                <w:kern w:val="0"/>
                <w:sz w:val="24"/>
                <w:szCs w:val="24"/>
                <w:highlight w:val="none"/>
                <w:vertAlign w:val="baseline"/>
                <w:lang w:eastAsia="zh-CN"/>
                <w14:textFill>
                  <w14:solidFill>
                    <w14:schemeClr w14:val="tx1"/>
                  </w14:solidFill>
                </w14:textFill>
              </w:rPr>
              <w:t>）</w:t>
            </w:r>
            <w:r>
              <w:rPr>
                <w:rFonts w:hint="default" w:ascii="Times New Roman" w:hAnsi="Times New Roman" w:cs="Times New Roman"/>
                <w:b w:val="0"/>
                <w:bCs/>
                <w:color w:val="000000" w:themeColor="text1"/>
                <w:kern w:val="0"/>
                <w:sz w:val="24"/>
                <w:szCs w:val="24"/>
                <w:highlight w:val="none"/>
                <w:vertAlign w:val="baseline"/>
                <w14:textFill>
                  <w14:solidFill>
                    <w14:schemeClr w14:val="tx1"/>
                  </w14:solidFill>
                </w14:textFill>
              </w:rPr>
              <w:t>三级标准，排入市政污水管网，然后进入</w:t>
            </w:r>
            <w:r>
              <w:rPr>
                <w:rFonts w:hint="eastAsia" w:cs="Times New Roman"/>
                <w:b w:val="0"/>
                <w:bCs/>
                <w:color w:val="000000" w:themeColor="text1"/>
                <w:kern w:val="0"/>
                <w:sz w:val="24"/>
                <w:szCs w:val="24"/>
                <w:highlight w:val="none"/>
                <w:vertAlign w:val="baseline"/>
                <w:lang w:val="en-US" w:eastAsia="zh-CN"/>
                <w14:textFill>
                  <w14:solidFill>
                    <w14:schemeClr w14:val="tx1"/>
                  </w14:solidFill>
                </w14:textFill>
              </w:rPr>
              <w:t>彩云湖污水处理厂</w:t>
            </w:r>
            <w:r>
              <w:rPr>
                <w:rFonts w:hint="default" w:ascii="Times New Roman" w:hAnsi="Times New Roman" w:cs="Times New Roman"/>
                <w:b w:val="0"/>
                <w:bCs/>
                <w:color w:val="000000" w:themeColor="text1"/>
                <w:kern w:val="0"/>
                <w:sz w:val="24"/>
                <w:szCs w:val="24"/>
                <w:highlight w:val="none"/>
                <w:vertAlign w:val="baseline"/>
                <w14:textFill>
                  <w14:solidFill>
                    <w14:schemeClr w14:val="tx1"/>
                  </w14:solidFill>
                </w14:textFill>
              </w:rPr>
              <w:t>深度处理达彩云湖污水处理厂出水水质标准后作为彩云湖湿地公园和桃花溪景观补水，最终排入长江。</w:t>
            </w:r>
          </w:p>
          <w:p w14:paraId="392BAC3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color w:val="000000" w:themeColor="text1"/>
                <w:kern w:val="0"/>
                <w:sz w:val="24"/>
                <w:szCs w:val="24"/>
                <w:highlight w:val="none"/>
                <w:vertAlign w:val="baseline"/>
                <w14:textFill>
                  <w14:solidFill>
                    <w14:schemeClr w14:val="tx1"/>
                  </w14:solidFill>
                </w14:textFill>
              </w:rPr>
            </w:pPr>
            <w:r>
              <w:rPr>
                <w:rFonts w:hint="default" w:ascii="Times New Roman" w:hAnsi="Times New Roman" w:cs="Times New Roman"/>
                <w:b w:val="0"/>
                <w:bCs/>
                <w:color w:val="000000" w:themeColor="text1"/>
                <w:kern w:val="0"/>
                <w:sz w:val="24"/>
                <w:szCs w:val="24"/>
                <w:highlight w:val="none"/>
                <w:vertAlign w:val="baseline"/>
                <w:lang w:eastAsia="zh-CN"/>
                <w14:textFill>
                  <w14:solidFill>
                    <w14:schemeClr w14:val="tx1"/>
                  </w14:solidFill>
                </w14:textFill>
              </w:rPr>
              <w:t>（</w:t>
            </w:r>
            <w:r>
              <w:rPr>
                <w:rFonts w:hint="default" w:ascii="Times New Roman" w:hAnsi="Times New Roman" w:cs="Times New Roman"/>
                <w:b w:val="0"/>
                <w:bCs/>
                <w:color w:val="000000" w:themeColor="text1"/>
                <w:kern w:val="0"/>
                <w:sz w:val="24"/>
                <w:szCs w:val="24"/>
                <w:highlight w:val="none"/>
                <w:vertAlign w:val="baseline"/>
                <w:lang w:val="en-US" w:eastAsia="zh-CN"/>
                <w14:textFill>
                  <w14:solidFill>
                    <w14:schemeClr w14:val="tx1"/>
                  </w14:solidFill>
                </w14:textFill>
              </w:rPr>
              <w:t>2</w:t>
            </w:r>
            <w:r>
              <w:rPr>
                <w:rFonts w:hint="default" w:ascii="Times New Roman" w:hAnsi="Times New Roman" w:cs="Times New Roman"/>
                <w:b w:val="0"/>
                <w:bCs/>
                <w:color w:val="000000" w:themeColor="text1"/>
                <w:kern w:val="0"/>
                <w:sz w:val="24"/>
                <w:szCs w:val="24"/>
                <w:highlight w:val="none"/>
                <w:vertAlign w:val="baseline"/>
                <w:lang w:eastAsia="zh-CN"/>
                <w14:textFill>
                  <w14:solidFill>
                    <w14:schemeClr w14:val="tx1"/>
                  </w14:solidFill>
                </w14:textFill>
              </w:rPr>
              <w:t>）</w:t>
            </w:r>
            <w:r>
              <w:rPr>
                <w:rFonts w:hint="default" w:ascii="Times New Roman" w:hAnsi="Times New Roman" w:cs="Times New Roman"/>
                <w:b w:val="0"/>
                <w:bCs/>
                <w:color w:val="000000" w:themeColor="text1"/>
                <w:kern w:val="0"/>
                <w:sz w:val="24"/>
                <w:szCs w:val="24"/>
                <w:highlight w:val="none"/>
                <w:vertAlign w:val="baseline"/>
                <w14:textFill>
                  <w14:solidFill>
                    <w14:schemeClr w14:val="tx1"/>
                  </w14:solidFill>
                </w14:textFill>
              </w:rPr>
              <w:t>医疗废水治理措施可行性分析</w:t>
            </w:r>
          </w:p>
          <w:p w14:paraId="4E61934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color w:val="000000" w:themeColor="text1"/>
                <w:kern w:val="0"/>
                <w:sz w:val="24"/>
                <w:szCs w:val="24"/>
                <w:highlight w:val="none"/>
                <w:vertAlign w:val="baseline"/>
                <w:lang w:eastAsia="zh-CN"/>
                <w14:textFill>
                  <w14:solidFill>
                    <w14:schemeClr w14:val="tx1"/>
                  </w14:solidFill>
                </w14:textFill>
              </w:rPr>
            </w:pPr>
            <w:r>
              <w:rPr>
                <w:rFonts w:hint="default" w:ascii="Times New Roman" w:hAnsi="Times New Roman" w:cs="Times New Roman"/>
                <w:b w:val="0"/>
                <w:bCs/>
                <w:color w:val="000000" w:themeColor="text1"/>
                <w:kern w:val="0"/>
                <w:sz w:val="24"/>
                <w:szCs w:val="24"/>
                <w:highlight w:val="none"/>
                <w:vertAlign w:val="baseline"/>
                <w:lang w:eastAsia="zh-CN"/>
                <w14:textFill>
                  <w14:solidFill>
                    <w14:schemeClr w14:val="tx1"/>
                  </w14:solidFill>
                </w14:textFill>
              </w:rPr>
              <w:t>项目设置</w:t>
            </w:r>
            <w:r>
              <w:rPr>
                <w:rFonts w:hint="eastAsia" w:cs="Times New Roman"/>
                <w:b w:val="0"/>
                <w:bCs/>
                <w:color w:val="000000" w:themeColor="text1"/>
                <w:kern w:val="0"/>
                <w:sz w:val="24"/>
                <w:szCs w:val="24"/>
                <w:highlight w:val="none"/>
                <w:vertAlign w:val="baseline"/>
                <w:lang w:val="en-US" w:eastAsia="zh-CN"/>
                <w14:textFill>
                  <w14:solidFill>
                    <w14:schemeClr w14:val="tx1"/>
                  </w14:solidFill>
                </w14:textFill>
              </w:rPr>
              <w:t>有2</w:t>
            </w:r>
            <w:r>
              <w:rPr>
                <w:rFonts w:hint="default" w:ascii="Times New Roman" w:hAnsi="Times New Roman" w:cs="Times New Roman"/>
                <w:b w:val="0"/>
                <w:bCs/>
                <w:color w:val="000000" w:themeColor="text1"/>
                <w:kern w:val="0"/>
                <w:sz w:val="24"/>
                <w:szCs w:val="24"/>
                <w:highlight w:val="none"/>
                <w:vertAlign w:val="baseline"/>
                <w:lang w:eastAsia="zh-CN"/>
                <w14:textFill>
                  <w14:solidFill>
                    <w14:schemeClr w14:val="tx1"/>
                  </w14:solidFill>
                </w14:textFill>
              </w:rPr>
              <w:t>台</w:t>
            </w:r>
            <w:r>
              <w:rPr>
                <w:rFonts w:hint="eastAsia" w:cs="Times New Roman"/>
                <w:b w:val="0"/>
                <w:bCs/>
                <w:color w:val="000000" w:themeColor="text1"/>
                <w:kern w:val="0"/>
                <w:sz w:val="24"/>
                <w:szCs w:val="24"/>
                <w:highlight w:val="none"/>
                <w:vertAlign w:val="baseline"/>
                <w:lang w:eastAsia="zh-CN"/>
                <w14:textFill>
                  <w14:solidFill>
                    <w14:schemeClr w14:val="tx1"/>
                  </w14:solidFill>
                </w14:textFill>
              </w:rPr>
              <w:t>消毒设施</w:t>
            </w:r>
            <w:r>
              <w:rPr>
                <w:rFonts w:hint="default" w:ascii="Times New Roman" w:hAnsi="Times New Roman" w:cs="Times New Roman"/>
                <w:b w:val="0"/>
                <w:bCs/>
                <w:color w:val="000000" w:themeColor="text1"/>
                <w:kern w:val="0"/>
                <w:sz w:val="24"/>
                <w:szCs w:val="24"/>
                <w:highlight w:val="none"/>
                <w:vertAlign w:val="baseline"/>
                <w:lang w:eastAsia="zh-CN"/>
                <w14:textFill>
                  <w14:solidFill>
                    <w14:schemeClr w14:val="tx1"/>
                  </w14:solidFill>
                </w14:textFill>
              </w:rPr>
              <w:t>，</w:t>
            </w:r>
            <w:r>
              <w:rPr>
                <w:rFonts w:hint="default" w:ascii="Times New Roman" w:hAnsi="Times New Roman" w:cs="Times New Roman"/>
                <w:color w:val="000000" w:themeColor="text1"/>
                <w:kern w:val="0"/>
                <w:sz w:val="24"/>
                <w:szCs w:val="24"/>
                <w:highlight w:val="none"/>
                <w:vertAlign w:val="baseline"/>
                <w:lang w:val="en-US" w:eastAsia="zh-CN" w:bidi="ar"/>
                <w14:textFill>
                  <w14:solidFill>
                    <w14:schemeClr w14:val="tx1"/>
                  </w14:solidFill>
                </w14:textFill>
              </w:rPr>
              <w:t>通过投加</w:t>
            </w:r>
            <w:r>
              <w:rPr>
                <w:rFonts w:hint="eastAsia" w:cs="Times New Roman"/>
                <w:color w:val="000000" w:themeColor="text1"/>
                <w:kern w:val="0"/>
                <w:sz w:val="24"/>
                <w:szCs w:val="24"/>
                <w:highlight w:val="none"/>
                <w:vertAlign w:val="baseline"/>
                <w:lang w:val="en-US" w:eastAsia="zh-CN" w:bidi="ar"/>
                <w14:textFill>
                  <w14:solidFill>
                    <w14:schemeClr w14:val="tx1"/>
                  </w14:solidFill>
                </w14:textFill>
              </w:rPr>
              <w:t>二氧化氯</w:t>
            </w:r>
            <w:r>
              <w:rPr>
                <w:rFonts w:hint="default" w:ascii="Times New Roman" w:hAnsi="Times New Roman" w:cs="Times New Roman"/>
                <w:color w:val="000000" w:themeColor="text1"/>
                <w:kern w:val="0"/>
                <w:sz w:val="24"/>
                <w:szCs w:val="24"/>
                <w:highlight w:val="none"/>
                <w:vertAlign w:val="baseline"/>
                <w:lang w:val="en-US" w:eastAsia="zh-CN" w:bidi="ar"/>
                <w14:textFill>
                  <w14:solidFill>
                    <w14:schemeClr w14:val="tx1"/>
                  </w14:solidFill>
                </w14:textFill>
              </w:rPr>
              <w:t>消毒片</w:t>
            </w:r>
            <w:r>
              <w:rPr>
                <w:rFonts w:hint="eastAsia" w:cs="Times New Roman"/>
                <w:color w:val="000000" w:themeColor="text1"/>
                <w:kern w:val="0"/>
                <w:sz w:val="24"/>
                <w:szCs w:val="24"/>
                <w:highlight w:val="none"/>
                <w:vertAlign w:val="baseline"/>
                <w:lang w:val="en-US" w:eastAsia="zh-CN" w:bidi="ar"/>
                <w14:textFill>
                  <w14:solidFill>
                    <w14:schemeClr w14:val="tx1"/>
                  </w14:solidFill>
                </w14:textFill>
              </w:rPr>
              <w:t>、</w:t>
            </w:r>
            <w:r>
              <w:rPr>
                <w:rFonts w:hint="eastAsia" w:ascii="Times New Roman" w:hAnsi="Times New Roman" w:eastAsia="宋体" w:cs="Times New Roman"/>
                <w:b w:val="0"/>
                <w:color w:val="auto"/>
                <w:sz w:val="24"/>
                <w:szCs w:val="24"/>
                <w:lang w:val="en-US" w:eastAsia="zh-CN" w:bidi="ar-SA"/>
              </w:rPr>
              <w:t>三氯异氰尿酸消毒片</w:t>
            </w:r>
            <w:r>
              <w:rPr>
                <w:rFonts w:hint="default" w:ascii="Times New Roman" w:hAnsi="Times New Roman" w:cs="Times New Roman"/>
                <w:color w:val="000000" w:themeColor="text1"/>
                <w:kern w:val="0"/>
                <w:sz w:val="24"/>
                <w:szCs w:val="24"/>
                <w:highlight w:val="none"/>
                <w:vertAlign w:val="baseline"/>
                <w:lang w:val="en-US" w:eastAsia="zh-CN" w:bidi="ar"/>
                <w14:textFill>
                  <w14:solidFill>
                    <w14:schemeClr w14:val="tx1"/>
                  </w14:solidFill>
                </w14:textFill>
              </w:rPr>
              <w:t>消毒，是目前国内比较常用的消毒方式，不仅价格优廉，而且使用方便，适用于项目废水消毒</w:t>
            </w:r>
            <w:r>
              <w:rPr>
                <w:rFonts w:hint="default" w:ascii="Times New Roman" w:hAnsi="Times New Roman" w:cs="Times New Roman"/>
                <w:b w:val="0"/>
                <w:bCs/>
                <w:color w:val="000000" w:themeColor="text1"/>
                <w:kern w:val="0"/>
                <w:sz w:val="24"/>
                <w:szCs w:val="24"/>
                <w:highlight w:val="none"/>
                <w:vertAlign w:val="baseline"/>
                <w:lang w:eastAsia="zh-CN"/>
                <w14:textFill>
                  <w14:solidFill>
                    <w14:schemeClr w14:val="tx1"/>
                  </w14:solidFill>
                </w14:textFill>
              </w:rPr>
              <w:t>。医疗废水经</w:t>
            </w:r>
            <w:r>
              <w:rPr>
                <w:rFonts w:hint="eastAsia" w:cs="Times New Roman"/>
                <w:b w:val="0"/>
                <w:bCs/>
                <w:color w:val="000000" w:themeColor="text1"/>
                <w:kern w:val="0"/>
                <w:sz w:val="24"/>
                <w:szCs w:val="24"/>
                <w:highlight w:val="none"/>
                <w:vertAlign w:val="baseline"/>
                <w:lang w:eastAsia="zh-CN"/>
                <w14:textFill>
                  <w14:solidFill>
                    <w14:schemeClr w14:val="tx1"/>
                  </w14:solidFill>
                </w14:textFill>
              </w:rPr>
              <w:t>消毒设施</w:t>
            </w:r>
            <w:r>
              <w:rPr>
                <w:rFonts w:hint="default" w:ascii="Times New Roman" w:hAnsi="Times New Roman" w:cs="Times New Roman"/>
                <w:b w:val="0"/>
                <w:bCs/>
                <w:color w:val="000000" w:themeColor="text1"/>
                <w:kern w:val="0"/>
                <w:sz w:val="24"/>
                <w:szCs w:val="24"/>
                <w:highlight w:val="none"/>
                <w:vertAlign w:val="baseline"/>
                <w:lang w:eastAsia="zh-CN"/>
                <w14:textFill>
                  <w14:solidFill>
                    <w14:schemeClr w14:val="tx1"/>
                  </w14:solidFill>
                </w14:textFill>
              </w:rPr>
              <w:t>处理后同生活污水、</w:t>
            </w:r>
            <w:r>
              <w:rPr>
                <w:rFonts w:hint="eastAsia" w:cs="Times New Roman"/>
                <w:b w:val="0"/>
                <w:bCs/>
                <w:color w:val="000000" w:themeColor="text1"/>
                <w:kern w:val="0"/>
                <w:sz w:val="24"/>
                <w:szCs w:val="24"/>
                <w:highlight w:val="none"/>
                <w:vertAlign w:val="baseline"/>
                <w:lang w:val="en-US" w:eastAsia="zh-CN"/>
                <w14:textFill>
                  <w14:solidFill>
                    <w14:schemeClr w14:val="tx1"/>
                  </w14:solidFill>
                </w14:textFill>
              </w:rPr>
              <w:t>其他废水</w:t>
            </w:r>
            <w:r>
              <w:rPr>
                <w:rFonts w:hint="default" w:ascii="Times New Roman" w:hAnsi="Times New Roman" w:cs="Times New Roman"/>
                <w:b w:val="0"/>
                <w:bCs/>
                <w:color w:val="000000" w:themeColor="text1"/>
                <w:kern w:val="0"/>
                <w:sz w:val="24"/>
                <w:szCs w:val="24"/>
                <w:highlight w:val="none"/>
                <w:vertAlign w:val="baseline"/>
                <w:lang w:eastAsia="zh-CN"/>
                <w14:textFill>
                  <w14:solidFill>
                    <w14:schemeClr w14:val="tx1"/>
                  </w14:solidFill>
                </w14:textFill>
              </w:rPr>
              <w:t>一起进入生化池处理，随后经市政管网进入污水处理厂处理达标排放。</w:t>
            </w:r>
          </w:p>
          <w:p w14:paraId="5293323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color w:val="000000" w:themeColor="text1"/>
                <w:kern w:val="0"/>
                <w:sz w:val="24"/>
                <w:szCs w:val="24"/>
                <w:highlight w:val="none"/>
                <w:vertAlign w:val="baseline"/>
                <w:lang w:eastAsia="zh-CN"/>
                <w14:textFill>
                  <w14:solidFill>
                    <w14:schemeClr w14:val="tx1"/>
                  </w14:solidFill>
                </w14:textFill>
              </w:rPr>
            </w:pPr>
            <w:r>
              <w:rPr>
                <w:rFonts w:hint="default" w:ascii="Times New Roman" w:hAnsi="Times New Roman" w:cs="Times New Roman"/>
                <w:b w:val="0"/>
                <w:bCs/>
                <w:color w:val="000000" w:themeColor="text1"/>
                <w:kern w:val="0"/>
                <w:sz w:val="24"/>
                <w:szCs w:val="24"/>
                <w:highlight w:val="none"/>
                <w:vertAlign w:val="baseline"/>
                <w:lang w:eastAsia="zh-CN"/>
                <w14:textFill>
                  <w14:solidFill>
                    <w14:schemeClr w14:val="tx1"/>
                  </w14:solidFill>
                </w14:textFill>
              </w:rPr>
              <w:t>根据《排污许可证申请与核发技术规范 医疗机构》（HJ1105-2020）表A2 医疗机构排水单位污水治理可行技术参照表。具体可行技术见下表。</w:t>
            </w:r>
          </w:p>
          <w:p w14:paraId="7DC8E69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val="0"/>
                <w:color w:val="000000" w:themeColor="text1"/>
                <w:kern w:val="0"/>
                <w:sz w:val="24"/>
                <w:szCs w:val="24"/>
                <w:highlight w:val="none"/>
                <w:vertAlign w:val="baseline"/>
                <w:lang w:eastAsia="zh-CN"/>
                <w14:textFill>
                  <w14:solidFill>
                    <w14:schemeClr w14:val="tx1"/>
                  </w14:solidFill>
                </w14:textFill>
              </w:rPr>
            </w:pPr>
            <w:r>
              <w:rPr>
                <w:rFonts w:hint="default" w:ascii="Times New Roman" w:hAnsi="Times New Roman" w:cs="Times New Roman"/>
                <w:b/>
                <w:bCs w:val="0"/>
                <w:color w:val="000000" w:themeColor="text1"/>
                <w:kern w:val="0"/>
                <w:sz w:val="24"/>
                <w:szCs w:val="24"/>
                <w:highlight w:val="none"/>
                <w:vertAlign w:val="baseline"/>
                <w:lang w:eastAsia="zh-CN"/>
                <w14:textFill>
                  <w14:solidFill>
                    <w14:schemeClr w14:val="tx1"/>
                  </w14:solidFill>
                </w14:textFill>
              </w:rPr>
              <w:t>表4.2-</w:t>
            </w:r>
            <w:r>
              <w:rPr>
                <w:rFonts w:hint="eastAsia" w:cs="Times New Roman"/>
                <w:b/>
                <w:bCs w:val="0"/>
                <w:color w:val="000000" w:themeColor="text1"/>
                <w:kern w:val="0"/>
                <w:sz w:val="24"/>
                <w:szCs w:val="24"/>
                <w:highlight w:val="none"/>
                <w:vertAlign w:val="baseline"/>
                <w:lang w:val="en-US" w:eastAsia="zh-CN"/>
                <w14:textFill>
                  <w14:solidFill>
                    <w14:schemeClr w14:val="tx1"/>
                  </w14:solidFill>
                </w14:textFill>
              </w:rPr>
              <w:t>7</w:t>
            </w:r>
            <w:r>
              <w:rPr>
                <w:rFonts w:hint="default" w:ascii="Times New Roman" w:hAnsi="Times New Roman" w:cs="Times New Roman"/>
                <w:b/>
                <w:bCs w:val="0"/>
                <w:color w:val="000000" w:themeColor="text1"/>
                <w:kern w:val="0"/>
                <w:sz w:val="24"/>
                <w:szCs w:val="24"/>
                <w:highlight w:val="none"/>
                <w:vertAlign w:val="baseline"/>
                <w:lang w:eastAsia="zh-CN"/>
                <w14:textFill>
                  <w14:solidFill>
                    <w14:schemeClr w14:val="tx1"/>
                  </w14:solidFill>
                </w14:textFill>
              </w:rPr>
              <w:t xml:space="preserve"> 医疗机构排污单位水污染可行技术参照表</w:t>
            </w:r>
          </w:p>
          <w:tbl>
            <w:tblPr>
              <w:tblStyle w:val="2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37"/>
              <w:gridCol w:w="3122"/>
              <w:gridCol w:w="1377"/>
              <w:gridCol w:w="2786"/>
            </w:tblGrid>
            <w:tr w14:paraId="154AEF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23" w:type="pct"/>
                  <w:tcBorders>
                    <w:tl2br w:val="nil"/>
                    <w:tr2bl w:val="nil"/>
                  </w:tcBorders>
                  <w:vAlign w:val="center"/>
                </w:tcPr>
                <w:p w14:paraId="6BD313E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lang w:val="en-US" w:eastAsia="zh-CN"/>
                      <w14:textFill>
                        <w14:solidFill>
                          <w14:schemeClr w14:val="tx1"/>
                        </w14:solidFill>
                      </w14:textFill>
                    </w:rPr>
                    <w:t>污水类别</w:t>
                  </w:r>
                </w:p>
              </w:tc>
              <w:tc>
                <w:tcPr>
                  <w:tcW w:w="1875" w:type="pct"/>
                  <w:tcBorders>
                    <w:tl2br w:val="nil"/>
                    <w:tr2bl w:val="nil"/>
                  </w:tcBorders>
                  <w:vAlign w:val="center"/>
                </w:tcPr>
                <w:p w14:paraId="7DE4B52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lang w:eastAsia="zh-CN"/>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lang w:eastAsia="zh-CN"/>
                      <w14:textFill>
                        <w14:solidFill>
                          <w14:schemeClr w14:val="tx1"/>
                        </w14:solidFill>
                      </w14:textFill>
                    </w:rPr>
                    <w:t>污染物种类</w:t>
                  </w:r>
                </w:p>
              </w:tc>
              <w:tc>
                <w:tcPr>
                  <w:tcW w:w="827" w:type="pct"/>
                  <w:tcBorders>
                    <w:tl2br w:val="nil"/>
                    <w:tr2bl w:val="nil"/>
                  </w:tcBorders>
                  <w:vAlign w:val="center"/>
                </w:tcPr>
                <w:p w14:paraId="0B8E7C2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lang w:val="en-US" w:eastAsia="zh-CN"/>
                      <w14:textFill>
                        <w14:solidFill>
                          <w14:schemeClr w14:val="tx1"/>
                        </w14:solidFill>
                      </w14:textFill>
                    </w:rPr>
                    <w:t>排放去向</w:t>
                  </w:r>
                </w:p>
              </w:tc>
              <w:tc>
                <w:tcPr>
                  <w:tcW w:w="1673" w:type="pct"/>
                  <w:tcBorders>
                    <w:tl2br w:val="nil"/>
                    <w:tr2bl w:val="nil"/>
                  </w:tcBorders>
                  <w:vAlign w:val="center"/>
                </w:tcPr>
                <w:p w14:paraId="37F78D8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lang w:val="en-US" w:eastAsia="zh-CN"/>
                      <w14:textFill>
                        <w14:solidFill>
                          <w14:schemeClr w14:val="tx1"/>
                        </w14:solidFill>
                      </w14:textFill>
                    </w:rPr>
                    <w:t>可行技术</w:t>
                  </w:r>
                </w:p>
              </w:tc>
            </w:tr>
            <w:tr w14:paraId="3B6717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23" w:type="pct"/>
                  <w:tcBorders>
                    <w:tl2br w:val="nil"/>
                    <w:tr2bl w:val="nil"/>
                  </w:tcBorders>
                  <w:vAlign w:val="center"/>
                </w:tcPr>
                <w:p w14:paraId="2EE5771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lang w:val="en-US" w:eastAsia="zh-CN"/>
                      <w14:textFill>
                        <w14:solidFill>
                          <w14:schemeClr w14:val="tx1"/>
                        </w14:solidFill>
                      </w14:textFill>
                    </w:rPr>
                    <w:t>医疗废水</w:t>
                  </w:r>
                </w:p>
              </w:tc>
              <w:tc>
                <w:tcPr>
                  <w:tcW w:w="1875" w:type="pct"/>
                  <w:tcBorders>
                    <w:tl2br w:val="nil"/>
                    <w:tr2bl w:val="nil"/>
                  </w:tcBorders>
                  <w:vAlign w:val="center"/>
                </w:tcPr>
                <w:p w14:paraId="65A70C9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lang w:eastAsia="zh-CN"/>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lang w:eastAsia="zh-CN"/>
                      <w14:textFill>
                        <w14:solidFill>
                          <w14:schemeClr w14:val="tx1"/>
                        </w14:solidFill>
                      </w14:textFill>
                    </w:rPr>
                    <w:t>粪大肠菌群数、肠道致病菌、肠道病毒化学需氧量、氨氮、pH值、悬浮物、五日生化需氧量、动植物油、石油类、阴离子表面活性剂、挥发酚、色度、总氰化物、总余氯</w:t>
                  </w:r>
                </w:p>
              </w:tc>
              <w:tc>
                <w:tcPr>
                  <w:tcW w:w="827" w:type="pct"/>
                  <w:tcBorders>
                    <w:tl2br w:val="nil"/>
                    <w:tr2bl w:val="nil"/>
                  </w:tcBorders>
                  <w:vAlign w:val="center"/>
                </w:tcPr>
                <w:p w14:paraId="111CFB3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lang w:eastAsia="zh-CN"/>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lang w:eastAsia="zh-CN"/>
                      <w14:textFill>
                        <w14:solidFill>
                          <w14:schemeClr w14:val="tx1"/>
                        </w14:solidFill>
                      </w14:textFill>
                    </w:rPr>
                    <w:t>排入城镇污水处理</w:t>
                  </w:r>
                  <w:r>
                    <w:rPr>
                      <w:rFonts w:hint="default" w:ascii="Times New Roman" w:hAnsi="Times New Roman" w:cs="Times New Roman"/>
                      <w:b w:val="0"/>
                      <w:bCs/>
                      <w:color w:val="000000" w:themeColor="text1"/>
                      <w:kern w:val="0"/>
                      <w:sz w:val="21"/>
                      <w:szCs w:val="21"/>
                      <w:highlight w:val="none"/>
                      <w:vertAlign w:val="baseline"/>
                      <w:lang w:val="en-US" w:eastAsia="zh-CN"/>
                      <w14:textFill>
                        <w14:solidFill>
                          <w14:schemeClr w14:val="tx1"/>
                        </w14:solidFill>
                      </w14:textFill>
                    </w:rPr>
                    <w:t>厂</w:t>
                  </w:r>
                </w:p>
              </w:tc>
              <w:tc>
                <w:tcPr>
                  <w:tcW w:w="1673" w:type="pct"/>
                  <w:tcBorders>
                    <w:tl2br w:val="nil"/>
                    <w:tr2bl w:val="nil"/>
                  </w:tcBorders>
                  <w:vAlign w:val="center"/>
                </w:tcPr>
                <w:p w14:paraId="0134CB3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lang w:eastAsia="zh-CN"/>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lang w:eastAsia="zh-CN"/>
                      <w14:textFill>
                        <w14:solidFill>
                          <w14:schemeClr w14:val="tx1"/>
                        </w14:solidFill>
                      </w14:textFill>
                    </w:rPr>
                    <w:t>一级处理/一级强化处理+消毒工艺。一级处理包括：筛滤法</w:t>
                  </w:r>
                  <w:r>
                    <w:rPr>
                      <w:rFonts w:hint="eastAsia" w:cs="Times New Roman"/>
                      <w:b w:val="0"/>
                      <w:bCs/>
                      <w:color w:val="000000" w:themeColor="text1"/>
                      <w:kern w:val="0"/>
                      <w:sz w:val="21"/>
                      <w:szCs w:val="21"/>
                      <w:highlight w:val="none"/>
                      <w:vertAlign w:val="baseline"/>
                      <w:lang w:eastAsia="zh-CN"/>
                      <w14:textFill>
                        <w14:solidFill>
                          <w14:schemeClr w14:val="tx1"/>
                        </w14:solidFill>
                      </w14:textFill>
                    </w:rPr>
                    <w:t>；</w:t>
                  </w:r>
                  <w:r>
                    <w:rPr>
                      <w:rFonts w:hint="default" w:ascii="Times New Roman" w:hAnsi="Times New Roman" w:cs="Times New Roman"/>
                      <w:b w:val="0"/>
                      <w:bCs/>
                      <w:color w:val="000000" w:themeColor="text1"/>
                      <w:kern w:val="0"/>
                      <w:sz w:val="21"/>
                      <w:szCs w:val="21"/>
                      <w:highlight w:val="none"/>
                      <w:vertAlign w:val="baseline"/>
                      <w:lang w:eastAsia="zh-CN"/>
                      <w14:textFill>
                        <w14:solidFill>
                          <w14:schemeClr w14:val="tx1"/>
                        </w14:solidFill>
                      </w14:textFill>
                    </w:rPr>
                    <w:t>沉淀法</w:t>
                  </w:r>
                  <w:r>
                    <w:rPr>
                      <w:rFonts w:hint="eastAsia" w:cs="Times New Roman"/>
                      <w:b w:val="0"/>
                      <w:bCs/>
                      <w:color w:val="000000" w:themeColor="text1"/>
                      <w:kern w:val="0"/>
                      <w:sz w:val="21"/>
                      <w:szCs w:val="21"/>
                      <w:highlight w:val="none"/>
                      <w:vertAlign w:val="baseline"/>
                      <w:lang w:eastAsia="zh-CN"/>
                      <w14:textFill>
                        <w14:solidFill>
                          <w14:schemeClr w14:val="tx1"/>
                        </w14:solidFill>
                      </w14:textFill>
                    </w:rPr>
                    <w:t>；</w:t>
                  </w:r>
                  <w:r>
                    <w:rPr>
                      <w:rFonts w:hint="default" w:ascii="Times New Roman" w:hAnsi="Times New Roman" w:cs="Times New Roman"/>
                      <w:b w:val="0"/>
                      <w:bCs/>
                      <w:color w:val="000000" w:themeColor="text1"/>
                      <w:kern w:val="0"/>
                      <w:sz w:val="21"/>
                      <w:szCs w:val="21"/>
                      <w:highlight w:val="none"/>
                      <w:vertAlign w:val="baseline"/>
                      <w:lang w:eastAsia="zh-CN"/>
                      <w14:textFill>
                        <w14:solidFill>
                          <w14:schemeClr w14:val="tx1"/>
                        </w14:solidFill>
                      </w14:textFill>
                    </w:rPr>
                    <w:t>气浮法</w:t>
                  </w:r>
                  <w:r>
                    <w:rPr>
                      <w:rFonts w:hint="eastAsia" w:cs="Times New Roman"/>
                      <w:b w:val="0"/>
                      <w:bCs/>
                      <w:color w:val="000000" w:themeColor="text1"/>
                      <w:kern w:val="0"/>
                      <w:sz w:val="21"/>
                      <w:szCs w:val="21"/>
                      <w:highlight w:val="none"/>
                      <w:vertAlign w:val="baseline"/>
                      <w:lang w:eastAsia="zh-CN"/>
                      <w14:textFill>
                        <w14:solidFill>
                          <w14:schemeClr w14:val="tx1"/>
                        </w14:solidFill>
                      </w14:textFill>
                    </w:rPr>
                    <w:t>；</w:t>
                  </w:r>
                  <w:r>
                    <w:rPr>
                      <w:rFonts w:hint="default" w:ascii="Times New Roman" w:hAnsi="Times New Roman" w:cs="Times New Roman"/>
                      <w:b w:val="0"/>
                      <w:bCs/>
                      <w:color w:val="000000" w:themeColor="text1"/>
                      <w:kern w:val="0"/>
                      <w:sz w:val="21"/>
                      <w:szCs w:val="21"/>
                      <w:highlight w:val="none"/>
                      <w:vertAlign w:val="baseline"/>
                      <w:lang w:eastAsia="zh-CN"/>
                      <w14:textFill>
                        <w14:solidFill>
                          <w14:schemeClr w14:val="tx1"/>
                        </w14:solidFill>
                      </w14:textFill>
                    </w:rPr>
                    <w:t>预曝气法。一级强化处理包括：化学混凝处理、机械过滤或不完全生物处理。消毒工艺：加氯消毒，臭氧法消毒次氯酸钠法、二氧化氯法消毒、紫外线消毒等</w:t>
                  </w:r>
                </w:p>
              </w:tc>
            </w:tr>
          </w:tbl>
          <w:p w14:paraId="7B854EC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color w:val="000000" w:themeColor="text1"/>
                <w:kern w:val="0"/>
                <w:sz w:val="24"/>
                <w:szCs w:val="24"/>
                <w:highlight w:val="none"/>
                <w:vertAlign w:val="baseline"/>
                <w:lang w:eastAsia="zh-CN"/>
                <w14:textFill>
                  <w14:solidFill>
                    <w14:schemeClr w14:val="tx1"/>
                  </w14:solidFill>
                </w14:textFill>
              </w:rPr>
            </w:pPr>
            <w:r>
              <w:rPr>
                <w:rFonts w:hint="default" w:ascii="Times New Roman" w:hAnsi="Times New Roman" w:cs="Times New Roman"/>
                <w:b w:val="0"/>
                <w:bCs/>
                <w:color w:val="000000" w:themeColor="text1"/>
                <w:kern w:val="0"/>
                <w:sz w:val="24"/>
                <w:szCs w:val="24"/>
                <w:highlight w:val="none"/>
                <w:vertAlign w:val="baseline"/>
                <w:lang w:eastAsia="zh-CN"/>
                <w14:textFill>
                  <w14:solidFill>
                    <w14:schemeClr w14:val="tx1"/>
                  </w14:solidFill>
                </w14:textFill>
              </w:rPr>
              <w:t>项目通过投加</w:t>
            </w:r>
            <w:r>
              <w:rPr>
                <w:rFonts w:hint="eastAsia" w:cs="Times New Roman"/>
                <w:b w:val="0"/>
                <w:bCs/>
                <w:color w:val="000000" w:themeColor="text1"/>
                <w:kern w:val="0"/>
                <w:sz w:val="24"/>
                <w:szCs w:val="24"/>
                <w:highlight w:val="none"/>
                <w:vertAlign w:val="baseline"/>
                <w:lang w:val="en-US" w:eastAsia="zh-CN"/>
                <w14:textFill>
                  <w14:solidFill>
                    <w14:schemeClr w14:val="tx1"/>
                  </w14:solidFill>
                </w14:textFill>
              </w:rPr>
              <w:t>二氧化氯</w:t>
            </w:r>
            <w:r>
              <w:rPr>
                <w:rFonts w:hint="default" w:ascii="Times New Roman" w:hAnsi="Times New Roman" w:cs="Times New Roman"/>
                <w:b w:val="0"/>
                <w:bCs/>
                <w:color w:val="000000" w:themeColor="text1"/>
                <w:kern w:val="0"/>
                <w:sz w:val="24"/>
                <w:szCs w:val="24"/>
                <w:highlight w:val="none"/>
                <w:vertAlign w:val="baseline"/>
                <w:lang w:eastAsia="zh-CN"/>
                <w14:textFill>
                  <w14:solidFill>
                    <w14:schemeClr w14:val="tx1"/>
                  </w14:solidFill>
                </w14:textFill>
              </w:rPr>
              <w:t>消毒片</w:t>
            </w:r>
            <w:r>
              <w:rPr>
                <w:rFonts w:hint="eastAsia" w:cs="Times New Roman"/>
                <w:b w:val="0"/>
                <w:bCs/>
                <w:color w:val="000000" w:themeColor="text1"/>
                <w:kern w:val="0"/>
                <w:sz w:val="24"/>
                <w:szCs w:val="24"/>
                <w:highlight w:val="none"/>
                <w:vertAlign w:val="baseline"/>
                <w:lang w:eastAsia="zh-CN"/>
                <w14:textFill>
                  <w14:solidFill>
                    <w14:schemeClr w14:val="tx1"/>
                  </w14:solidFill>
                </w14:textFill>
              </w:rPr>
              <w:t>、</w:t>
            </w:r>
            <w:r>
              <w:rPr>
                <w:rFonts w:hint="eastAsia" w:ascii="Times New Roman" w:hAnsi="Times New Roman" w:eastAsia="宋体" w:cs="Times New Roman"/>
                <w:b w:val="0"/>
                <w:color w:val="auto"/>
                <w:sz w:val="24"/>
                <w:szCs w:val="24"/>
                <w:lang w:val="en-US" w:eastAsia="zh-CN" w:bidi="ar-SA"/>
              </w:rPr>
              <w:t>三氯异氰尿酸消毒片</w:t>
            </w:r>
            <w:r>
              <w:rPr>
                <w:rFonts w:hint="default" w:ascii="Times New Roman" w:hAnsi="Times New Roman" w:cs="Times New Roman"/>
                <w:b w:val="0"/>
                <w:bCs/>
                <w:color w:val="000000" w:themeColor="text1"/>
                <w:kern w:val="0"/>
                <w:sz w:val="24"/>
                <w:szCs w:val="24"/>
                <w:highlight w:val="none"/>
                <w:vertAlign w:val="baseline"/>
                <w:lang w:eastAsia="zh-CN"/>
                <w14:textFill>
                  <w14:solidFill>
                    <w14:schemeClr w14:val="tx1"/>
                  </w14:solidFill>
                </w14:textFill>
              </w:rPr>
              <w:t>进行消毒处理符合医疗机构排污单位水污染可行技术要求。</w:t>
            </w:r>
          </w:p>
          <w:p w14:paraId="73108F5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color w:val="auto"/>
                <w:kern w:val="0"/>
                <w:sz w:val="24"/>
                <w:szCs w:val="24"/>
                <w:highlight w:val="none"/>
                <w:vertAlign w:val="baseline"/>
                <w:lang w:eastAsia="zh-CN"/>
              </w:rPr>
            </w:pPr>
            <w:r>
              <w:rPr>
                <w:rFonts w:hint="default" w:ascii="Times New Roman" w:hAnsi="Times New Roman" w:cs="Times New Roman"/>
                <w:b w:val="0"/>
                <w:bCs/>
                <w:color w:val="auto"/>
                <w:kern w:val="0"/>
                <w:sz w:val="24"/>
                <w:szCs w:val="24"/>
                <w:highlight w:val="none"/>
                <w:vertAlign w:val="baseline"/>
                <w:lang w:eastAsia="zh-CN"/>
              </w:rPr>
              <w:t>项目设置</w:t>
            </w:r>
            <w:r>
              <w:rPr>
                <w:rFonts w:hint="eastAsia" w:cs="Times New Roman"/>
                <w:b w:val="0"/>
                <w:bCs/>
                <w:color w:val="auto"/>
                <w:kern w:val="0"/>
                <w:sz w:val="24"/>
                <w:szCs w:val="24"/>
                <w:highlight w:val="none"/>
                <w:vertAlign w:val="baseline"/>
                <w:lang w:val="en-US" w:eastAsia="zh-CN"/>
              </w:rPr>
              <w:t>有2</w:t>
            </w:r>
            <w:r>
              <w:rPr>
                <w:rFonts w:hint="default" w:ascii="Times New Roman" w:hAnsi="Times New Roman" w:cs="Times New Roman"/>
                <w:b w:val="0"/>
                <w:bCs/>
                <w:color w:val="auto"/>
                <w:kern w:val="0"/>
                <w:sz w:val="24"/>
                <w:szCs w:val="24"/>
                <w:highlight w:val="none"/>
                <w:vertAlign w:val="baseline"/>
                <w:lang w:eastAsia="zh-CN"/>
              </w:rPr>
              <w:t>台</w:t>
            </w:r>
            <w:r>
              <w:rPr>
                <w:rFonts w:hint="eastAsia" w:cs="Times New Roman"/>
                <w:b w:val="0"/>
                <w:bCs/>
                <w:color w:val="auto"/>
                <w:kern w:val="0"/>
                <w:sz w:val="24"/>
                <w:szCs w:val="24"/>
                <w:highlight w:val="none"/>
                <w:vertAlign w:val="baseline"/>
                <w:lang w:eastAsia="zh-CN"/>
              </w:rPr>
              <w:t>消毒设施</w:t>
            </w:r>
            <w:r>
              <w:rPr>
                <w:rFonts w:hint="default" w:ascii="Times New Roman" w:hAnsi="Times New Roman" w:cs="Times New Roman"/>
                <w:b w:val="0"/>
                <w:bCs/>
                <w:color w:val="auto"/>
                <w:kern w:val="0"/>
                <w:sz w:val="24"/>
                <w:szCs w:val="24"/>
                <w:highlight w:val="none"/>
                <w:vertAlign w:val="baseline"/>
                <w:lang w:eastAsia="zh-CN"/>
              </w:rPr>
              <w:t>，</w:t>
            </w:r>
            <w:r>
              <w:rPr>
                <w:rFonts w:hint="eastAsia" w:cs="Times New Roman"/>
                <w:b w:val="0"/>
                <w:bCs/>
                <w:color w:val="auto"/>
                <w:kern w:val="0"/>
                <w:sz w:val="24"/>
                <w:szCs w:val="24"/>
                <w:highlight w:val="none"/>
                <w:vertAlign w:val="baseline"/>
                <w:lang w:val="en-US" w:eastAsia="zh-CN"/>
              </w:rPr>
              <w:t>分别</w:t>
            </w:r>
            <w:r>
              <w:rPr>
                <w:rFonts w:hint="default" w:ascii="Times New Roman" w:hAnsi="Times New Roman" w:cs="Times New Roman"/>
                <w:b w:val="0"/>
                <w:bCs/>
                <w:color w:val="auto"/>
                <w:kern w:val="0"/>
                <w:sz w:val="24"/>
                <w:szCs w:val="24"/>
                <w:highlight w:val="none"/>
                <w:vertAlign w:val="baseline"/>
                <w:lang w:eastAsia="zh-CN"/>
              </w:rPr>
              <w:t>位于</w:t>
            </w:r>
            <w:r>
              <w:rPr>
                <w:rFonts w:hint="eastAsia" w:cs="Times New Roman"/>
                <w:b w:val="0"/>
                <w:bCs/>
                <w:color w:val="auto"/>
                <w:sz w:val="24"/>
                <w:szCs w:val="24"/>
                <w:highlight w:val="none"/>
                <w:lang w:val="en-US" w:eastAsia="zh-CN"/>
              </w:rPr>
              <w:t>手术室洗手台、中央处置台</w:t>
            </w:r>
            <w:r>
              <w:rPr>
                <w:rFonts w:hint="eastAsia" w:ascii="Times New Roman" w:hAnsi="Times New Roman" w:eastAsia="宋体" w:cs="Times New Roman"/>
                <w:b w:val="0"/>
                <w:bCs/>
                <w:color w:val="auto"/>
                <w:sz w:val="24"/>
                <w:szCs w:val="24"/>
                <w:highlight w:val="none"/>
                <w:lang w:val="en-US" w:eastAsia="zh-CN"/>
              </w:rPr>
              <w:t>下方</w:t>
            </w:r>
            <w:r>
              <w:rPr>
                <w:rFonts w:hint="default" w:ascii="Times New Roman" w:hAnsi="Times New Roman" w:cs="Times New Roman"/>
                <w:b w:val="0"/>
                <w:bCs/>
                <w:color w:val="auto"/>
                <w:kern w:val="0"/>
                <w:sz w:val="24"/>
                <w:szCs w:val="24"/>
                <w:highlight w:val="none"/>
                <w:vertAlign w:val="baseline"/>
                <w:lang w:eastAsia="zh-CN"/>
              </w:rPr>
              <w:t>。项目</w:t>
            </w:r>
            <w:r>
              <w:rPr>
                <w:rFonts w:hint="eastAsia" w:cs="Times New Roman"/>
                <w:b w:val="0"/>
                <w:bCs/>
                <w:color w:val="auto"/>
                <w:kern w:val="0"/>
                <w:sz w:val="24"/>
                <w:szCs w:val="24"/>
                <w:highlight w:val="none"/>
                <w:vertAlign w:val="baseline"/>
                <w:lang w:eastAsia="zh-CN"/>
              </w:rPr>
              <w:t>消毒设施</w:t>
            </w:r>
            <w:r>
              <w:rPr>
                <w:rFonts w:hint="eastAsia" w:cs="Times New Roman"/>
                <w:b w:val="0"/>
                <w:bCs/>
                <w:color w:val="auto"/>
                <w:kern w:val="0"/>
                <w:sz w:val="24"/>
                <w:szCs w:val="24"/>
                <w:highlight w:val="none"/>
                <w:vertAlign w:val="baseline"/>
                <w:lang w:val="en-US" w:eastAsia="zh-CN"/>
              </w:rPr>
              <w:t>有效容积分别为20L、50L</w:t>
            </w:r>
            <w:r>
              <w:rPr>
                <w:rFonts w:hint="default" w:ascii="Times New Roman" w:hAnsi="Times New Roman" w:cs="Times New Roman"/>
                <w:b w:val="0"/>
                <w:bCs/>
                <w:color w:val="auto"/>
                <w:kern w:val="0"/>
                <w:sz w:val="24"/>
                <w:szCs w:val="24"/>
                <w:highlight w:val="none"/>
                <w:vertAlign w:val="baseline"/>
                <w:lang w:eastAsia="zh-CN"/>
              </w:rPr>
              <w:t>，</w:t>
            </w:r>
            <w:r>
              <w:rPr>
                <w:rFonts w:hint="eastAsia" w:cs="Times New Roman"/>
                <w:b w:val="0"/>
                <w:bCs/>
                <w:color w:val="auto"/>
                <w:kern w:val="0"/>
                <w:sz w:val="24"/>
                <w:szCs w:val="24"/>
                <w:highlight w:val="none"/>
                <w:vertAlign w:val="baseline"/>
                <w:lang w:eastAsia="zh-CN"/>
              </w:rPr>
              <w:t>消毒设施</w:t>
            </w:r>
            <w:r>
              <w:rPr>
                <w:rFonts w:hint="default" w:ascii="Times New Roman" w:hAnsi="Times New Roman" w:cs="Times New Roman"/>
                <w:b w:val="0"/>
                <w:bCs/>
                <w:color w:val="auto"/>
                <w:kern w:val="0"/>
                <w:sz w:val="24"/>
                <w:szCs w:val="24"/>
                <w:highlight w:val="none"/>
                <w:vertAlign w:val="baseline"/>
                <w:lang w:eastAsia="zh-CN"/>
              </w:rPr>
              <w:t>接触消毒时长不低于1h</w:t>
            </w:r>
            <w:r>
              <w:rPr>
                <w:rFonts w:hint="eastAsia" w:cs="Times New Roman"/>
                <w:b w:val="0"/>
                <w:bCs/>
                <w:color w:val="auto"/>
                <w:kern w:val="0"/>
                <w:sz w:val="24"/>
                <w:szCs w:val="24"/>
                <w:highlight w:val="none"/>
                <w:vertAlign w:val="baseline"/>
                <w:lang w:eastAsia="zh-CN"/>
              </w:rPr>
              <w:t>，</w:t>
            </w:r>
            <w:r>
              <w:rPr>
                <w:rFonts w:hint="eastAsia" w:cs="Times New Roman"/>
                <w:snapToGrid w:val="0"/>
                <w:color w:val="auto"/>
                <w:kern w:val="0"/>
                <w:sz w:val="24"/>
                <w:highlight w:val="none"/>
                <w:lang w:val="en-US" w:eastAsia="zh-CN"/>
              </w:rPr>
              <w:t>每日多次使用可满足项目需求</w:t>
            </w:r>
            <w:r>
              <w:rPr>
                <w:rFonts w:hint="default" w:ascii="Times New Roman" w:hAnsi="Times New Roman" w:cs="Times New Roman"/>
                <w:b w:val="0"/>
                <w:bCs/>
                <w:color w:val="auto"/>
                <w:kern w:val="0"/>
                <w:sz w:val="24"/>
                <w:szCs w:val="24"/>
                <w:highlight w:val="none"/>
                <w:vertAlign w:val="baseline"/>
                <w:lang w:eastAsia="zh-CN"/>
              </w:rPr>
              <w:t>。</w:t>
            </w:r>
            <w:r>
              <w:rPr>
                <w:rFonts w:hint="eastAsia" w:cs="Times New Roman"/>
                <w:b w:val="0"/>
                <w:bCs/>
                <w:color w:val="auto"/>
                <w:kern w:val="0"/>
                <w:sz w:val="24"/>
                <w:szCs w:val="24"/>
                <w:highlight w:val="none"/>
                <w:vertAlign w:val="baseline"/>
                <w:lang w:val="en-US" w:eastAsia="zh-CN"/>
              </w:rPr>
              <w:t>项目医疗废水排入消毒设施处理，消毒设施容量达80%后停止使用，人工将消毒设施上盖打开后投加二氧化氯消毒片、</w:t>
            </w:r>
            <w:r>
              <w:rPr>
                <w:rFonts w:hint="eastAsia" w:ascii="Times New Roman" w:hAnsi="Times New Roman" w:eastAsia="宋体" w:cs="Times New Roman"/>
                <w:b w:val="0"/>
                <w:color w:val="auto"/>
                <w:sz w:val="24"/>
                <w:szCs w:val="24"/>
                <w:lang w:val="en-US" w:eastAsia="zh-CN" w:bidi="ar-SA"/>
              </w:rPr>
              <w:t>三氯异氰尿酸消毒片</w:t>
            </w:r>
            <w:r>
              <w:rPr>
                <w:rFonts w:hint="eastAsia" w:cs="Times New Roman"/>
                <w:b w:val="0"/>
                <w:bCs/>
                <w:color w:val="auto"/>
                <w:kern w:val="0"/>
                <w:sz w:val="24"/>
                <w:szCs w:val="24"/>
                <w:highlight w:val="none"/>
                <w:vertAlign w:val="baseline"/>
                <w:lang w:val="en-US" w:eastAsia="zh-CN"/>
              </w:rPr>
              <w:t>，静置1h，使消毒片充分反应，之后打开排水阀门，医疗废水排入生化池。</w:t>
            </w:r>
            <w:r>
              <w:rPr>
                <w:rFonts w:hint="default" w:ascii="Times New Roman" w:hAnsi="Times New Roman" w:cs="Times New Roman"/>
                <w:b w:val="0"/>
                <w:bCs/>
                <w:color w:val="auto"/>
                <w:kern w:val="0"/>
                <w:sz w:val="24"/>
                <w:szCs w:val="24"/>
                <w:highlight w:val="none"/>
                <w:vertAlign w:val="baseline"/>
                <w:lang w:eastAsia="zh-CN"/>
              </w:rPr>
              <w:t>项目</w:t>
            </w:r>
            <w:r>
              <w:rPr>
                <w:rFonts w:hint="eastAsia" w:cs="Times New Roman"/>
                <w:b w:val="0"/>
                <w:bCs/>
                <w:color w:val="auto"/>
                <w:kern w:val="0"/>
                <w:sz w:val="24"/>
                <w:szCs w:val="24"/>
                <w:highlight w:val="none"/>
                <w:vertAlign w:val="baseline"/>
                <w:lang w:val="en-US" w:eastAsia="zh-CN"/>
              </w:rPr>
              <w:t>化验废水、宠物笼清洗废水</w:t>
            </w:r>
            <w:r>
              <w:rPr>
                <w:rFonts w:hint="default" w:ascii="Times New Roman" w:hAnsi="Times New Roman" w:cs="Times New Roman"/>
                <w:b w:val="0"/>
                <w:bCs/>
                <w:color w:val="auto"/>
                <w:kern w:val="0"/>
                <w:sz w:val="24"/>
                <w:szCs w:val="24"/>
                <w:highlight w:val="none"/>
                <w:vertAlign w:val="baseline"/>
                <w:lang w:eastAsia="zh-CN"/>
              </w:rPr>
              <w:t>最大产生量约为</w:t>
            </w:r>
            <w:r>
              <w:rPr>
                <w:rFonts w:hint="eastAsia" w:cs="Times New Roman"/>
                <w:b w:val="0"/>
                <w:bCs/>
                <w:color w:val="auto"/>
                <w:kern w:val="0"/>
                <w:sz w:val="24"/>
                <w:szCs w:val="24"/>
                <w:highlight w:val="none"/>
                <w:vertAlign w:val="baseline"/>
                <w:lang w:val="en-US" w:eastAsia="zh-CN"/>
              </w:rPr>
              <w:t>0.2205</w:t>
            </w:r>
            <w:r>
              <w:rPr>
                <w:rFonts w:hint="default" w:ascii="Times New Roman" w:hAnsi="Times New Roman" w:cs="Times New Roman"/>
                <w:b w:val="0"/>
                <w:bCs/>
                <w:color w:val="auto"/>
                <w:kern w:val="0"/>
                <w:sz w:val="24"/>
                <w:szCs w:val="24"/>
                <w:highlight w:val="none"/>
                <w:vertAlign w:val="baseline"/>
                <w:lang w:eastAsia="zh-CN"/>
              </w:rPr>
              <w:t>m</w:t>
            </w:r>
            <w:r>
              <w:rPr>
                <w:rFonts w:hint="default" w:ascii="Times New Roman" w:hAnsi="Times New Roman" w:cs="Times New Roman"/>
                <w:b w:val="0"/>
                <w:bCs/>
                <w:color w:val="auto"/>
                <w:kern w:val="0"/>
                <w:sz w:val="24"/>
                <w:szCs w:val="24"/>
                <w:highlight w:val="none"/>
                <w:vertAlign w:val="superscript"/>
                <w:lang w:eastAsia="zh-CN"/>
              </w:rPr>
              <w:t>3</w:t>
            </w:r>
            <w:r>
              <w:rPr>
                <w:rFonts w:hint="default" w:ascii="Times New Roman" w:hAnsi="Times New Roman" w:cs="Times New Roman"/>
                <w:b w:val="0"/>
                <w:bCs/>
                <w:color w:val="auto"/>
                <w:kern w:val="0"/>
                <w:sz w:val="24"/>
                <w:szCs w:val="24"/>
                <w:highlight w:val="none"/>
                <w:vertAlign w:val="baseline"/>
                <w:lang w:eastAsia="zh-CN"/>
              </w:rPr>
              <w:t>/d，</w:t>
            </w:r>
            <w:r>
              <w:rPr>
                <w:rFonts w:hint="eastAsia" w:cs="Times New Roman"/>
                <w:b w:val="0"/>
                <w:bCs/>
                <w:color w:val="auto"/>
                <w:kern w:val="0"/>
                <w:sz w:val="24"/>
                <w:szCs w:val="24"/>
                <w:highlight w:val="none"/>
                <w:vertAlign w:val="baseline"/>
                <w:lang w:val="en-US" w:eastAsia="zh-CN"/>
              </w:rPr>
              <w:t>手术器械清洗废水</w:t>
            </w:r>
            <w:r>
              <w:rPr>
                <w:rFonts w:hint="default" w:ascii="Times New Roman" w:hAnsi="Times New Roman" w:cs="Times New Roman"/>
                <w:b w:val="0"/>
                <w:bCs/>
                <w:color w:val="auto"/>
                <w:kern w:val="0"/>
                <w:sz w:val="24"/>
                <w:szCs w:val="24"/>
                <w:highlight w:val="none"/>
                <w:vertAlign w:val="baseline"/>
                <w:lang w:eastAsia="zh-CN"/>
              </w:rPr>
              <w:t>最大产生量约为</w:t>
            </w:r>
            <w:r>
              <w:rPr>
                <w:rFonts w:hint="eastAsia" w:cs="Times New Roman"/>
                <w:b w:val="0"/>
                <w:bCs/>
                <w:color w:val="auto"/>
                <w:kern w:val="0"/>
                <w:sz w:val="24"/>
                <w:szCs w:val="24"/>
                <w:highlight w:val="none"/>
                <w:vertAlign w:val="baseline"/>
                <w:lang w:val="en-US" w:eastAsia="zh-CN"/>
              </w:rPr>
              <w:t>0.018</w:t>
            </w:r>
            <w:r>
              <w:rPr>
                <w:rFonts w:hint="default" w:ascii="Times New Roman" w:hAnsi="Times New Roman" w:cs="Times New Roman"/>
                <w:b w:val="0"/>
                <w:bCs/>
                <w:color w:val="auto"/>
                <w:kern w:val="0"/>
                <w:sz w:val="24"/>
                <w:szCs w:val="24"/>
                <w:highlight w:val="none"/>
                <w:vertAlign w:val="baseline"/>
                <w:lang w:eastAsia="zh-CN"/>
              </w:rPr>
              <w:t>m</w:t>
            </w:r>
            <w:r>
              <w:rPr>
                <w:rFonts w:hint="default" w:ascii="Times New Roman" w:hAnsi="Times New Roman" w:cs="Times New Roman"/>
                <w:b w:val="0"/>
                <w:bCs/>
                <w:color w:val="auto"/>
                <w:kern w:val="0"/>
                <w:sz w:val="24"/>
                <w:szCs w:val="24"/>
                <w:highlight w:val="none"/>
                <w:vertAlign w:val="superscript"/>
                <w:lang w:eastAsia="zh-CN"/>
              </w:rPr>
              <w:t>3</w:t>
            </w:r>
            <w:r>
              <w:rPr>
                <w:rFonts w:hint="default" w:ascii="Times New Roman" w:hAnsi="Times New Roman" w:cs="Times New Roman"/>
                <w:b w:val="0"/>
                <w:bCs/>
                <w:color w:val="auto"/>
                <w:kern w:val="0"/>
                <w:sz w:val="24"/>
                <w:szCs w:val="24"/>
                <w:highlight w:val="none"/>
                <w:vertAlign w:val="baseline"/>
                <w:lang w:eastAsia="zh-CN"/>
              </w:rPr>
              <w:t>/d</w:t>
            </w:r>
            <w:r>
              <w:rPr>
                <w:rFonts w:hint="eastAsia" w:cs="Times New Roman"/>
                <w:b w:val="0"/>
                <w:bCs/>
                <w:color w:val="auto"/>
                <w:kern w:val="0"/>
                <w:sz w:val="24"/>
                <w:szCs w:val="24"/>
                <w:highlight w:val="none"/>
                <w:vertAlign w:val="baseline"/>
                <w:lang w:eastAsia="zh-CN"/>
              </w:rPr>
              <w:t>，</w:t>
            </w:r>
            <w:r>
              <w:rPr>
                <w:rFonts w:hint="eastAsia" w:cs="Times New Roman"/>
                <w:snapToGrid w:val="0"/>
                <w:color w:val="auto"/>
                <w:kern w:val="0"/>
                <w:sz w:val="24"/>
                <w:highlight w:val="none"/>
                <w:lang w:val="en-US" w:eastAsia="zh-CN"/>
              </w:rPr>
              <w:t>每日多次使用可满足项目需求</w:t>
            </w:r>
            <w:r>
              <w:rPr>
                <w:rFonts w:hint="default" w:ascii="Times New Roman" w:hAnsi="Times New Roman" w:cs="Times New Roman"/>
                <w:b w:val="0"/>
                <w:bCs/>
                <w:color w:val="auto"/>
                <w:kern w:val="0"/>
                <w:sz w:val="24"/>
                <w:szCs w:val="24"/>
                <w:highlight w:val="none"/>
                <w:vertAlign w:val="baseline"/>
                <w:lang w:eastAsia="zh-CN"/>
              </w:rPr>
              <w:t>。综上，项目</w:t>
            </w:r>
            <w:r>
              <w:rPr>
                <w:rFonts w:hint="eastAsia" w:cs="Times New Roman"/>
                <w:b w:val="0"/>
                <w:bCs/>
                <w:color w:val="auto"/>
                <w:kern w:val="0"/>
                <w:sz w:val="24"/>
                <w:szCs w:val="24"/>
                <w:highlight w:val="none"/>
                <w:vertAlign w:val="baseline"/>
                <w:lang w:eastAsia="zh-CN"/>
              </w:rPr>
              <w:t>消毒设施</w:t>
            </w:r>
            <w:r>
              <w:rPr>
                <w:rFonts w:hint="default" w:ascii="Times New Roman" w:hAnsi="Times New Roman" w:cs="Times New Roman"/>
                <w:b w:val="0"/>
                <w:bCs/>
                <w:color w:val="auto"/>
                <w:kern w:val="0"/>
                <w:sz w:val="24"/>
                <w:szCs w:val="24"/>
                <w:highlight w:val="none"/>
                <w:vertAlign w:val="baseline"/>
                <w:lang w:eastAsia="zh-CN"/>
              </w:rPr>
              <w:t>处理工艺及处理能力可行。</w:t>
            </w:r>
          </w:p>
          <w:p w14:paraId="301E6769">
            <w:pPr>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color w:val="auto"/>
                <w:kern w:val="0"/>
                <w:sz w:val="24"/>
                <w:szCs w:val="24"/>
                <w:highlight w:val="none"/>
                <w:vertAlign w:val="baseline"/>
                <w:lang w:eastAsia="zh-CN"/>
              </w:rPr>
            </w:pPr>
            <w:r>
              <w:rPr>
                <w:rFonts w:hint="default" w:ascii="Times New Roman" w:hAnsi="Times New Roman" w:cs="Times New Roman"/>
                <w:b w:val="0"/>
                <w:bCs/>
                <w:color w:val="auto"/>
                <w:kern w:val="0"/>
                <w:sz w:val="24"/>
                <w:szCs w:val="24"/>
                <w:highlight w:val="none"/>
                <w:vertAlign w:val="baseline"/>
                <w:lang w:eastAsia="zh-CN"/>
              </w:rPr>
              <w:t>生化池依托可行性分析</w:t>
            </w:r>
          </w:p>
          <w:p w14:paraId="38C5707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color w:val="FF0000"/>
                <w:kern w:val="0"/>
                <w:sz w:val="24"/>
                <w:szCs w:val="24"/>
                <w:highlight w:val="none"/>
                <w:vertAlign w:val="baseline"/>
                <w:lang w:eastAsia="zh-CN"/>
              </w:rPr>
            </w:pPr>
            <w:r>
              <w:rPr>
                <w:rFonts w:hint="default" w:ascii="Times New Roman" w:hAnsi="Times New Roman" w:cs="Times New Roman"/>
                <w:b w:val="0"/>
                <w:bCs/>
                <w:color w:val="000000" w:themeColor="text1"/>
                <w:kern w:val="0"/>
                <w:sz w:val="24"/>
                <w:szCs w:val="24"/>
                <w:highlight w:val="none"/>
                <w:vertAlign w:val="baseline"/>
                <w:lang w:eastAsia="zh-CN"/>
                <w14:textFill>
                  <w14:solidFill>
                    <w14:schemeClr w14:val="tx1"/>
                  </w14:solidFill>
                </w14:textFill>
              </w:rPr>
              <w:t>项目位于</w:t>
            </w:r>
            <w:r>
              <w:rPr>
                <w:rFonts w:hint="eastAsia" w:cs="Times New Roman"/>
                <w:color w:val="000000" w:themeColor="text1"/>
                <w:sz w:val="24"/>
                <w:szCs w:val="24"/>
                <w:highlight w:val="none"/>
                <w:lang w:val="en-US" w:eastAsia="zh-CN"/>
                <w14:textFill>
                  <w14:solidFill>
                    <w14:schemeClr w14:val="tx1"/>
                  </w14:solidFill>
                </w14:textFill>
              </w:rPr>
              <w:t>重庆市九龙坡区二郎街道火炬大道100号附24号及附23-2号</w:t>
            </w:r>
            <w:r>
              <w:rPr>
                <w:rFonts w:hint="eastAsia"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商铺1F</w:t>
            </w:r>
            <w:r>
              <w:rPr>
                <w:rFonts w:hint="default" w:ascii="Times New Roman" w:hAnsi="Times New Roman" w:cs="Times New Roman"/>
                <w:b w:val="0"/>
                <w:bCs/>
                <w:color w:val="000000" w:themeColor="text1"/>
                <w:kern w:val="0"/>
                <w:sz w:val="24"/>
                <w:szCs w:val="24"/>
                <w:highlight w:val="none"/>
                <w:vertAlign w:val="baseline"/>
                <w:lang w:eastAsia="zh-CN"/>
                <w14:textFill>
                  <w14:solidFill>
                    <w14:schemeClr w14:val="tx1"/>
                  </w14:solidFill>
                </w14:textFill>
              </w:rPr>
              <w:t>，医院内部的排水管网与商铺建设初期的管网走向一致，项目废水经商铺的排水管网进入小区污水管网后，再进入</w:t>
            </w:r>
            <w:r>
              <w:rPr>
                <w:rFonts w:hint="eastAsia" w:cs="Times New Roman"/>
                <w:b w:val="0"/>
                <w:bCs/>
                <w:color w:val="000000" w:themeColor="text1"/>
                <w:kern w:val="0"/>
                <w:sz w:val="24"/>
                <w:szCs w:val="24"/>
                <w:highlight w:val="none"/>
                <w:vertAlign w:val="baseline"/>
                <w:lang w:val="en-US" w:eastAsia="zh-CN"/>
                <w14:textFill>
                  <w14:solidFill>
                    <w14:schemeClr w14:val="tx1"/>
                  </w14:solidFill>
                </w14:textFill>
              </w:rPr>
              <w:t>弘悦101已建生化池</w:t>
            </w:r>
            <w:r>
              <w:rPr>
                <w:rFonts w:hint="eastAsia" w:cs="Times New Roman"/>
                <w:b w:val="0"/>
                <w:bCs/>
                <w:color w:val="000000" w:themeColor="text1"/>
                <w:kern w:val="0"/>
                <w:sz w:val="24"/>
                <w:szCs w:val="24"/>
                <w:highlight w:val="none"/>
                <w:vertAlign w:val="baseline"/>
                <w:lang w:eastAsia="zh-CN"/>
                <w14:textFill>
                  <w14:solidFill>
                    <w14:schemeClr w14:val="tx1"/>
                  </w14:solidFill>
                </w14:textFill>
              </w:rPr>
              <w:t>；</w:t>
            </w:r>
            <w:r>
              <w:rPr>
                <w:rFonts w:hint="default" w:ascii="Times New Roman" w:hAnsi="Times New Roman" w:cs="Times New Roman"/>
                <w:b w:val="0"/>
                <w:bCs/>
                <w:color w:val="000000" w:themeColor="text1"/>
                <w:kern w:val="0"/>
                <w:sz w:val="24"/>
                <w:szCs w:val="24"/>
                <w:highlight w:val="none"/>
                <w:vertAlign w:val="baseline"/>
                <w:lang w:eastAsia="zh-CN"/>
                <w14:textFill>
                  <w14:solidFill>
                    <w14:schemeClr w14:val="tx1"/>
                  </w14:solidFill>
                </w14:textFill>
              </w:rPr>
              <w:t>该生化池设计初期的处理能力考虑了整个商业门面的废水量，目前该生化池运行正常，生化池的出水水质处理达《污水综合排放标准》（GB8978-1996）三级标准后接入市政污水管网。项目医疗废水参照《医院污水处理工程技术规范》（HJ2029-2013）进行了消毒处理，达到《医疗机构水污染物排放标准》（GB18466-2005）预处理标准后排入生化池，生化池可以接纳项目的废水。因此，项目废水排入该生化池处理合理可行。</w:t>
            </w:r>
          </w:p>
          <w:p w14:paraId="6A84378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color w:val="000000" w:themeColor="text1"/>
                <w:kern w:val="0"/>
                <w:sz w:val="24"/>
                <w:szCs w:val="24"/>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kern w:val="0"/>
                <w:sz w:val="24"/>
                <w:szCs w:val="24"/>
                <w:highlight w:val="none"/>
                <w:vertAlign w:val="baseline"/>
                <w:lang w:val="en-US" w:eastAsia="zh-CN"/>
                <w14:textFill>
                  <w14:solidFill>
                    <w14:schemeClr w14:val="tx1"/>
                  </w14:solidFill>
                </w14:textFill>
              </w:rPr>
              <w:t>（4）</w:t>
            </w:r>
            <w:r>
              <w:rPr>
                <w:rFonts w:hint="eastAsia" w:cs="Times New Roman"/>
                <w:b w:val="0"/>
                <w:bCs/>
                <w:color w:val="000000" w:themeColor="text1"/>
                <w:kern w:val="0"/>
                <w:sz w:val="24"/>
                <w:szCs w:val="24"/>
                <w:highlight w:val="none"/>
                <w:vertAlign w:val="baseline"/>
                <w:lang w:val="en-US" w:eastAsia="zh-CN"/>
                <w14:textFill>
                  <w14:solidFill>
                    <w14:schemeClr w14:val="tx1"/>
                  </w14:solidFill>
                </w14:textFill>
              </w:rPr>
              <w:t>彩云湖</w:t>
            </w:r>
            <w:r>
              <w:rPr>
                <w:rFonts w:hint="eastAsia" w:ascii="Times New Roman" w:hAnsi="Times New Roman" w:eastAsia="宋体" w:cs="Times New Roman"/>
                <w:b w:val="0"/>
                <w:bCs/>
                <w:color w:val="000000" w:themeColor="text1"/>
                <w:kern w:val="0"/>
                <w:sz w:val="24"/>
                <w:szCs w:val="24"/>
                <w:highlight w:val="none"/>
                <w:vertAlign w:val="baseline"/>
                <w:lang w:val="en-US" w:eastAsia="zh-CN"/>
                <w14:textFill>
                  <w14:solidFill>
                    <w14:schemeClr w14:val="tx1"/>
                  </w14:solidFill>
                </w14:textFill>
              </w:rPr>
              <w:t>污水处理厂</w:t>
            </w:r>
            <w:r>
              <w:rPr>
                <w:rFonts w:hint="default" w:ascii="Times New Roman" w:hAnsi="Times New Roman" w:eastAsia="宋体" w:cs="Times New Roman"/>
                <w:b w:val="0"/>
                <w:bCs/>
                <w:color w:val="000000" w:themeColor="text1"/>
                <w:kern w:val="0"/>
                <w:sz w:val="24"/>
                <w:szCs w:val="24"/>
                <w:highlight w:val="none"/>
                <w:vertAlign w:val="baseline"/>
                <w:lang w:val="en-US" w:eastAsia="zh-CN"/>
                <w14:textFill>
                  <w14:solidFill>
                    <w14:schemeClr w14:val="tx1"/>
                  </w14:solidFill>
                </w14:textFill>
              </w:rPr>
              <w:t>依托可行性分析</w:t>
            </w:r>
          </w:p>
          <w:p w14:paraId="40B8CF2B">
            <w:pPr>
              <w:keepNext w:val="0"/>
              <w:keepLines w:val="0"/>
              <w:pageBreakBefore w:val="0"/>
              <w:widowControl w:val="0"/>
              <w:kinsoku/>
              <w:wordWrap/>
              <w:overflowPunct/>
              <w:topLinePunct/>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color w:val="FF0000"/>
                <w:kern w:val="0"/>
                <w:sz w:val="24"/>
                <w:szCs w:val="24"/>
                <w:highlight w:val="none"/>
                <w:vertAlign w:val="baseline"/>
                <w:lang w:val="en-US" w:eastAsia="zh-CN"/>
              </w:rPr>
            </w:pPr>
            <w:r>
              <w:rPr>
                <w:rFonts w:hint="eastAsia" w:cs="Times New Roman"/>
                <w:b w:val="0"/>
                <w:bCs/>
                <w:color w:val="000000" w:themeColor="text1"/>
                <w:kern w:val="0"/>
                <w:sz w:val="24"/>
                <w:szCs w:val="24"/>
                <w:highlight w:val="none"/>
                <w:vertAlign w:val="baseline"/>
                <w:lang w:val="en-US" w:eastAsia="zh-CN"/>
                <w14:textFill>
                  <w14:solidFill>
                    <w14:schemeClr w14:val="tx1"/>
                  </w14:solidFill>
                </w14:textFill>
              </w:rPr>
              <w:t>彩云湖</w:t>
            </w:r>
            <w:r>
              <w:rPr>
                <w:rFonts w:hint="eastAsia" w:ascii="Times New Roman" w:hAnsi="Times New Roman" w:eastAsia="宋体" w:cs="Times New Roman"/>
                <w:b w:val="0"/>
                <w:bCs/>
                <w:color w:val="000000" w:themeColor="text1"/>
                <w:kern w:val="0"/>
                <w:sz w:val="24"/>
                <w:szCs w:val="24"/>
                <w:highlight w:val="none"/>
                <w:vertAlign w:val="baseline"/>
                <w:lang w:val="en-US" w:eastAsia="zh-CN"/>
                <w14:textFill>
                  <w14:solidFill>
                    <w14:schemeClr w14:val="tx1"/>
                  </w14:solidFill>
                </w14:textFill>
              </w:rPr>
              <w:t>污水处理厂位于彩云湖国家湿地公园内，总占地面积为33748.63平方米，建</w:t>
            </w:r>
            <w:r>
              <w:rPr>
                <w:rFonts w:hint="eastAsia" w:ascii="Times New Roman" w:hAnsi="Times New Roman" w:eastAsia="宋体" w:cs="Times New Roman"/>
                <w:b w:val="0"/>
                <w:bCs/>
                <w:color w:val="auto"/>
                <w:kern w:val="0"/>
                <w:sz w:val="24"/>
                <w:szCs w:val="24"/>
                <w:highlight w:val="none"/>
                <w:vertAlign w:val="baseline"/>
                <w:lang w:val="en-US" w:eastAsia="zh-CN"/>
              </w:rPr>
              <w:t>构筑物占地12217.09平方米</w:t>
            </w:r>
            <w:r>
              <w:rPr>
                <w:rFonts w:hint="eastAsia" w:cs="Times New Roman"/>
                <w:b w:val="0"/>
                <w:bCs/>
                <w:color w:val="auto"/>
                <w:kern w:val="0"/>
                <w:sz w:val="24"/>
                <w:szCs w:val="24"/>
                <w:highlight w:val="none"/>
                <w:vertAlign w:val="baseline"/>
                <w:lang w:val="en-US" w:eastAsia="zh-CN"/>
              </w:rPr>
              <w:t>，</w:t>
            </w:r>
            <w:r>
              <w:rPr>
                <w:rFonts w:hint="eastAsia" w:ascii="Times New Roman" w:hAnsi="Times New Roman" w:eastAsia="宋体" w:cs="Times New Roman"/>
                <w:b w:val="0"/>
                <w:bCs/>
                <w:color w:val="auto"/>
                <w:kern w:val="0"/>
                <w:sz w:val="24"/>
                <w:szCs w:val="24"/>
                <w:highlight w:val="none"/>
                <w:vertAlign w:val="baseline"/>
                <w:lang w:val="en-US" w:eastAsia="zh-CN"/>
              </w:rPr>
              <w:t>彩云湖污水处理厂日处理3万吨</w:t>
            </w:r>
            <w:r>
              <w:rPr>
                <w:rFonts w:hint="eastAsia" w:cs="Times New Roman"/>
                <w:b w:val="0"/>
                <w:bCs/>
                <w:color w:val="auto"/>
                <w:kern w:val="0"/>
                <w:sz w:val="24"/>
                <w:szCs w:val="24"/>
                <w:highlight w:val="none"/>
                <w:vertAlign w:val="baseline"/>
                <w:lang w:val="en-US" w:eastAsia="zh-CN"/>
              </w:rPr>
              <w:t>。</w:t>
            </w:r>
            <w:r>
              <w:rPr>
                <w:rFonts w:hint="eastAsia" w:ascii="Times New Roman" w:hAnsi="Times New Roman" w:eastAsia="宋体" w:cs="Times New Roman"/>
                <w:b w:val="0"/>
                <w:bCs/>
                <w:color w:val="auto"/>
                <w:kern w:val="0"/>
                <w:sz w:val="24"/>
                <w:szCs w:val="24"/>
                <w:highlight w:val="none"/>
                <w:vertAlign w:val="baseline"/>
                <w:lang w:val="en-US" w:eastAsia="zh-CN"/>
              </w:rPr>
              <w:t>根据调查，</w:t>
            </w:r>
            <w:r>
              <w:rPr>
                <w:rFonts w:hint="eastAsia" w:cs="Times New Roman"/>
                <w:b w:val="0"/>
                <w:bCs/>
                <w:color w:val="auto"/>
                <w:kern w:val="0"/>
                <w:sz w:val="24"/>
                <w:szCs w:val="24"/>
                <w:highlight w:val="none"/>
                <w:vertAlign w:val="baseline"/>
                <w:lang w:val="en-US" w:eastAsia="zh-CN"/>
              </w:rPr>
              <w:t>彩云湖</w:t>
            </w:r>
            <w:r>
              <w:rPr>
                <w:rFonts w:hint="eastAsia" w:ascii="Times New Roman" w:hAnsi="Times New Roman" w:eastAsia="宋体" w:cs="Times New Roman"/>
                <w:b w:val="0"/>
                <w:bCs/>
                <w:color w:val="auto"/>
                <w:kern w:val="0"/>
                <w:sz w:val="24"/>
                <w:szCs w:val="24"/>
                <w:highlight w:val="none"/>
                <w:vertAlign w:val="baseline"/>
                <w:lang w:val="en-US" w:eastAsia="zh-CN"/>
              </w:rPr>
              <w:t>污水处理厂</w:t>
            </w:r>
            <w:r>
              <w:rPr>
                <w:rFonts w:hint="eastAsia" w:cs="Times New Roman"/>
                <w:b w:val="0"/>
                <w:bCs/>
                <w:color w:val="auto"/>
                <w:kern w:val="0"/>
                <w:sz w:val="24"/>
                <w:szCs w:val="24"/>
                <w:highlight w:val="none"/>
                <w:vertAlign w:val="baseline"/>
                <w:lang w:val="en-US" w:eastAsia="zh-CN"/>
              </w:rPr>
              <w:t>现日均</w:t>
            </w:r>
            <w:r>
              <w:rPr>
                <w:rFonts w:hint="eastAsia" w:ascii="Times New Roman" w:hAnsi="Times New Roman" w:eastAsia="宋体" w:cs="Times New Roman"/>
                <w:b w:val="0"/>
                <w:bCs/>
                <w:color w:val="auto"/>
                <w:kern w:val="0"/>
                <w:sz w:val="24"/>
                <w:szCs w:val="24"/>
                <w:highlight w:val="none"/>
                <w:vertAlign w:val="baseline"/>
                <w:lang w:val="en-US" w:eastAsia="zh-CN"/>
              </w:rPr>
              <w:t>污水处理量为</w:t>
            </w:r>
            <w:r>
              <w:rPr>
                <w:rFonts w:hint="eastAsia" w:cs="Times New Roman"/>
                <w:b w:val="0"/>
                <w:bCs/>
                <w:color w:val="auto"/>
                <w:kern w:val="0"/>
                <w:sz w:val="24"/>
                <w:szCs w:val="24"/>
                <w:highlight w:val="none"/>
                <w:vertAlign w:val="baseline"/>
                <w:lang w:val="en-US" w:eastAsia="zh-CN"/>
              </w:rPr>
              <w:t>2.4</w:t>
            </w:r>
            <w:r>
              <w:rPr>
                <w:rFonts w:hint="eastAsia" w:ascii="Times New Roman" w:hAnsi="Times New Roman" w:eastAsia="宋体" w:cs="Times New Roman"/>
                <w:b w:val="0"/>
                <w:bCs/>
                <w:color w:val="auto"/>
                <w:kern w:val="0"/>
                <w:sz w:val="24"/>
                <w:szCs w:val="24"/>
                <w:highlight w:val="none"/>
                <w:vertAlign w:val="baseline"/>
                <w:lang w:val="en-US" w:eastAsia="zh-CN"/>
              </w:rPr>
              <w:t>万</w:t>
            </w:r>
            <w:r>
              <w:rPr>
                <w:rFonts w:hint="default" w:ascii="Times New Roman" w:hAnsi="Times New Roman" w:eastAsia="宋体" w:cs="Times New Roman"/>
                <w:b w:val="0"/>
                <w:bCs/>
                <w:color w:val="auto"/>
                <w:kern w:val="0"/>
                <w:sz w:val="24"/>
                <w:szCs w:val="24"/>
                <w:highlight w:val="none"/>
                <w:vertAlign w:val="baseline"/>
                <w:lang w:val="en-US" w:eastAsia="zh-CN"/>
              </w:rPr>
              <w:t>m</w:t>
            </w:r>
            <w:r>
              <w:rPr>
                <w:rFonts w:hint="default" w:ascii="Times New Roman" w:hAnsi="Times New Roman" w:eastAsia="宋体" w:cs="Times New Roman"/>
                <w:b w:val="0"/>
                <w:bCs/>
                <w:color w:val="auto"/>
                <w:kern w:val="0"/>
                <w:sz w:val="24"/>
                <w:szCs w:val="24"/>
                <w:highlight w:val="none"/>
                <w:vertAlign w:val="superscript"/>
                <w:lang w:val="en-US" w:eastAsia="zh-CN"/>
              </w:rPr>
              <w:t>3</w:t>
            </w:r>
            <w:r>
              <w:rPr>
                <w:rFonts w:hint="default" w:ascii="Times New Roman" w:hAnsi="Times New Roman" w:eastAsia="宋体" w:cs="Times New Roman"/>
                <w:b w:val="0"/>
                <w:bCs/>
                <w:color w:val="auto"/>
                <w:kern w:val="0"/>
                <w:sz w:val="24"/>
                <w:szCs w:val="24"/>
                <w:highlight w:val="none"/>
                <w:vertAlign w:val="baseline"/>
                <w:lang w:val="en-US" w:eastAsia="zh-CN"/>
              </w:rPr>
              <w:t>/d</w:t>
            </w:r>
            <w:r>
              <w:rPr>
                <w:rFonts w:hint="eastAsia" w:ascii="Times New Roman" w:hAnsi="Times New Roman" w:eastAsia="宋体" w:cs="Times New Roman"/>
                <w:b w:val="0"/>
                <w:bCs/>
                <w:color w:val="auto"/>
                <w:kern w:val="0"/>
                <w:sz w:val="24"/>
                <w:szCs w:val="24"/>
                <w:highlight w:val="none"/>
                <w:vertAlign w:val="baseline"/>
                <w:lang w:val="en-US" w:eastAsia="zh-CN"/>
              </w:rPr>
              <w:t>，年均负荷率</w:t>
            </w:r>
            <w:r>
              <w:rPr>
                <w:rFonts w:hint="eastAsia" w:cs="Times New Roman"/>
                <w:b w:val="0"/>
                <w:bCs/>
                <w:color w:val="auto"/>
                <w:kern w:val="0"/>
                <w:sz w:val="24"/>
                <w:szCs w:val="24"/>
                <w:highlight w:val="none"/>
                <w:vertAlign w:val="baseline"/>
                <w:lang w:val="en-US" w:eastAsia="zh-CN"/>
              </w:rPr>
              <w:t>80</w:t>
            </w:r>
            <w:r>
              <w:rPr>
                <w:rFonts w:hint="default" w:ascii="Times New Roman" w:hAnsi="Times New Roman" w:eastAsia="宋体" w:cs="Times New Roman"/>
                <w:b w:val="0"/>
                <w:bCs/>
                <w:color w:val="auto"/>
                <w:kern w:val="0"/>
                <w:sz w:val="24"/>
                <w:szCs w:val="24"/>
                <w:highlight w:val="none"/>
                <w:vertAlign w:val="baseline"/>
                <w:lang w:val="en-US" w:eastAsia="zh-CN"/>
              </w:rPr>
              <w:t>%</w:t>
            </w:r>
            <w:r>
              <w:rPr>
                <w:rFonts w:hint="eastAsia" w:ascii="Times New Roman" w:hAnsi="Times New Roman" w:eastAsia="宋体" w:cs="Times New Roman"/>
                <w:b w:val="0"/>
                <w:bCs/>
                <w:color w:val="auto"/>
                <w:kern w:val="0"/>
                <w:sz w:val="24"/>
                <w:szCs w:val="24"/>
                <w:highlight w:val="none"/>
                <w:vertAlign w:val="baseline"/>
                <w:lang w:val="en-US" w:eastAsia="zh-CN"/>
              </w:rPr>
              <w:t>，剩余处理能力为</w:t>
            </w:r>
            <w:r>
              <w:rPr>
                <w:rFonts w:hint="eastAsia" w:cs="Times New Roman"/>
                <w:b w:val="0"/>
                <w:bCs/>
                <w:color w:val="auto"/>
                <w:kern w:val="0"/>
                <w:sz w:val="24"/>
                <w:szCs w:val="24"/>
                <w:highlight w:val="none"/>
                <w:vertAlign w:val="baseline"/>
                <w:lang w:val="en-US" w:eastAsia="zh-CN"/>
              </w:rPr>
              <w:t>0.6</w:t>
            </w:r>
            <w:r>
              <w:rPr>
                <w:rFonts w:hint="eastAsia" w:ascii="Times New Roman" w:hAnsi="Times New Roman" w:eastAsia="宋体" w:cs="Times New Roman"/>
                <w:b w:val="0"/>
                <w:bCs/>
                <w:color w:val="auto"/>
                <w:kern w:val="0"/>
                <w:sz w:val="24"/>
                <w:szCs w:val="24"/>
                <w:highlight w:val="none"/>
                <w:vertAlign w:val="baseline"/>
                <w:lang w:val="en-US" w:eastAsia="zh-CN"/>
              </w:rPr>
              <w:t>万</w:t>
            </w:r>
            <w:r>
              <w:rPr>
                <w:rFonts w:hint="default" w:ascii="Times New Roman" w:hAnsi="Times New Roman" w:eastAsia="宋体" w:cs="Times New Roman"/>
                <w:b w:val="0"/>
                <w:bCs/>
                <w:color w:val="auto"/>
                <w:kern w:val="0"/>
                <w:sz w:val="24"/>
                <w:szCs w:val="24"/>
                <w:highlight w:val="none"/>
                <w:vertAlign w:val="baseline"/>
                <w:lang w:val="en-US" w:eastAsia="zh-CN"/>
              </w:rPr>
              <w:t>m</w:t>
            </w:r>
            <w:r>
              <w:rPr>
                <w:rFonts w:hint="default" w:ascii="Times New Roman" w:hAnsi="Times New Roman" w:eastAsia="宋体" w:cs="Times New Roman"/>
                <w:b w:val="0"/>
                <w:bCs/>
                <w:color w:val="auto"/>
                <w:kern w:val="0"/>
                <w:sz w:val="24"/>
                <w:szCs w:val="24"/>
                <w:highlight w:val="none"/>
                <w:vertAlign w:val="superscript"/>
                <w:lang w:val="en-US" w:eastAsia="zh-CN"/>
              </w:rPr>
              <w:t>3</w:t>
            </w:r>
            <w:r>
              <w:rPr>
                <w:rFonts w:hint="default" w:ascii="Times New Roman" w:hAnsi="Times New Roman" w:eastAsia="宋体" w:cs="Times New Roman"/>
                <w:b w:val="0"/>
                <w:bCs/>
                <w:color w:val="auto"/>
                <w:kern w:val="0"/>
                <w:sz w:val="24"/>
                <w:szCs w:val="24"/>
                <w:highlight w:val="none"/>
                <w:vertAlign w:val="baseline"/>
                <w:lang w:val="en-US" w:eastAsia="zh-CN"/>
              </w:rPr>
              <w:t>/d</w:t>
            </w:r>
            <w:r>
              <w:rPr>
                <w:rFonts w:hint="eastAsia" w:ascii="Times New Roman" w:hAnsi="Times New Roman" w:eastAsia="宋体" w:cs="Times New Roman"/>
                <w:b w:val="0"/>
                <w:bCs/>
                <w:color w:val="auto"/>
                <w:kern w:val="0"/>
                <w:sz w:val="24"/>
                <w:szCs w:val="24"/>
                <w:highlight w:val="none"/>
                <w:vertAlign w:val="baseline"/>
                <w:lang w:val="en-US" w:eastAsia="zh-CN"/>
              </w:rPr>
              <w:t>，本项目污水处理负荷为</w:t>
            </w:r>
            <w:r>
              <w:rPr>
                <w:rFonts w:hint="eastAsia" w:cs="Times New Roman"/>
                <w:b w:val="0"/>
                <w:bCs/>
                <w:color w:val="auto"/>
                <w:kern w:val="0"/>
                <w:sz w:val="24"/>
                <w:szCs w:val="24"/>
                <w:highlight w:val="none"/>
                <w:vertAlign w:val="baseline"/>
                <w:lang w:val="en-US" w:eastAsia="zh-CN"/>
              </w:rPr>
              <w:t>1.3401</w:t>
            </w:r>
            <w:r>
              <w:rPr>
                <w:rFonts w:hint="default" w:ascii="Times New Roman" w:hAnsi="Times New Roman" w:eastAsia="宋体" w:cs="Times New Roman"/>
                <w:b w:val="0"/>
                <w:bCs/>
                <w:color w:val="auto"/>
                <w:kern w:val="0"/>
                <w:sz w:val="24"/>
                <w:szCs w:val="24"/>
                <w:highlight w:val="none"/>
                <w:vertAlign w:val="baseline"/>
                <w:lang w:val="en-US" w:eastAsia="zh-CN"/>
              </w:rPr>
              <w:t>m</w:t>
            </w:r>
            <w:r>
              <w:rPr>
                <w:rFonts w:hint="default" w:ascii="Times New Roman" w:hAnsi="Times New Roman" w:eastAsia="宋体" w:cs="Times New Roman"/>
                <w:b w:val="0"/>
                <w:bCs/>
                <w:color w:val="auto"/>
                <w:kern w:val="0"/>
                <w:sz w:val="24"/>
                <w:szCs w:val="24"/>
                <w:highlight w:val="none"/>
                <w:vertAlign w:val="superscript"/>
                <w:lang w:val="en-US" w:eastAsia="zh-CN"/>
              </w:rPr>
              <w:t>3</w:t>
            </w:r>
            <w:r>
              <w:rPr>
                <w:rFonts w:hint="default" w:ascii="Times New Roman" w:hAnsi="Times New Roman" w:eastAsia="宋体" w:cs="Times New Roman"/>
                <w:b w:val="0"/>
                <w:bCs/>
                <w:color w:val="auto"/>
                <w:kern w:val="0"/>
                <w:sz w:val="24"/>
                <w:szCs w:val="24"/>
                <w:highlight w:val="none"/>
                <w:vertAlign w:val="baseline"/>
                <w:lang w:val="en-US" w:eastAsia="zh-CN"/>
              </w:rPr>
              <w:t>/d</w:t>
            </w:r>
            <w:r>
              <w:rPr>
                <w:rFonts w:hint="eastAsia" w:ascii="Times New Roman" w:hAnsi="Times New Roman" w:eastAsia="宋体" w:cs="Times New Roman"/>
                <w:b w:val="0"/>
                <w:bCs/>
                <w:color w:val="auto"/>
                <w:kern w:val="0"/>
                <w:sz w:val="24"/>
                <w:szCs w:val="24"/>
                <w:highlight w:val="none"/>
                <w:vertAlign w:val="baseline"/>
                <w:lang w:val="en-US" w:eastAsia="zh-CN"/>
              </w:rPr>
              <w:t>，因此</w:t>
            </w:r>
            <w:r>
              <w:rPr>
                <w:rFonts w:hint="eastAsia" w:cs="Times New Roman"/>
                <w:b w:val="0"/>
                <w:bCs/>
                <w:color w:val="auto"/>
                <w:kern w:val="0"/>
                <w:sz w:val="24"/>
                <w:szCs w:val="24"/>
                <w:highlight w:val="none"/>
                <w:vertAlign w:val="baseline"/>
                <w:lang w:val="en-US" w:eastAsia="zh-CN"/>
              </w:rPr>
              <w:t>彩云湖污水处理厂</w:t>
            </w:r>
            <w:r>
              <w:rPr>
                <w:rFonts w:hint="eastAsia" w:ascii="Times New Roman" w:hAnsi="Times New Roman" w:eastAsia="宋体" w:cs="Times New Roman"/>
                <w:b w:val="0"/>
                <w:bCs/>
                <w:color w:val="auto"/>
                <w:kern w:val="0"/>
                <w:sz w:val="24"/>
                <w:szCs w:val="24"/>
                <w:highlight w:val="none"/>
                <w:vertAlign w:val="baseline"/>
                <w:lang w:val="en-US" w:eastAsia="zh-CN"/>
              </w:rPr>
              <w:t>剩余处理能力满足本项目新增污水处理需求。</w:t>
            </w:r>
          </w:p>
          <w:p w14:paraId="31D7CFE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color w:val="000000" w:themeColor="text1"/>
                <w:kern w:val="0"/>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4"/>
                <w:szCs w:val="24"/>
                <w:highlight w:val="none"/>
                <w:vertAlign w:val="baseline"/>
                <w:lang w:val="en-US" w:eastAsia="zh-CN"/>
                <w14:textFill>
                  <w14:solidFill>
                    <w14:schemeClr w14:val="tx1"/>
                  </w14:solidFill>
                </w14:textFill>
              </w:rPr>
              <w:t>项目属</w:t>
            </w:r>
            <w:r>
              <w:rPr>
                <w:rFonts w:hint="eastAsia" w:cs="Times New Roman"/>
                <w:b w:val="0"/>
                <w:bCs/>
                <w:color w:val="000000" w:themeColor="text1"/>
                <w:kern w:val="0"/>
                <w:sz w:val="24"/>
                <w:szCs w:val="24"/>
                <w:highlight w:val="none"/>
                <w:vertAlign w:val="baseline"/>
                <w:lang w:val="en-US" w:eastAsia="zh-CN"/>
                <w14:textFill>
                  <w14:solidFill>
                    <w14:schemeClr w14:val="tx1"/>
                  </w14:solidFill>
                </w14:textFill>
              </w:rPr>
              <w:t>于彩云湖污水处理厂</w:t>
            </w:r>
            <w:r>
              <w:rPr>
                <w:rFonts w:hint="default" w:ascii="Times New Roman" w:hAnsi="Times New Roman" w:eastAsia="宋体" w:cs="Times New Roman"/>
                <w:b w:val="0"/>
                <w:bCs/>
                <w:color w:val="000000" w:themeColor="text1"/>
                <w:kern w:val="0"/>
                <w:sz w:val="24"/>
                <w:szCs w:val="24"/>
                <w:highlight w:val="none"/>
                <w:vertAlign w:val="baseline"/>
                <w:lang w:val="en-US" w:eastAsia="zh-CN"/>
                <w14:textFill>
                  <w14:solidFill>
                    <w14:schemeClr w14:val="tx1"/>
                  </w14:solidFill>
                </w14:textFill>
              </w:rPr>
              <w:t>纳污范围，污水管网已接通</w:t>
            </w:r>
            <w:r>
              <w:rPr>
                <w:rFonts w:hint="eastAsia" w:cs="Times New Roman"/>
                <w:b w:val="0"/>
                <w:bCs/>
                <w:color w:val="000000" w:themeColor="text1"/>
                <w:kern w:val="0"/>
                <w:sz w:val="24"/>
                <w:szCs w:val="24"/>
                <w:highlight w:val="none"/>
                <w:vertAlign w:val="baseline"/>
                <w:lang w:val="en-US" w:eastAsia="zh-CN"/>
                <w14:textFill>
                  <w14:solidFill>
                    <w14:schemeClr w14:val="tx1"/>
                  </w14:solidFill>
                </w14:textFill>
              </w:rPr>
              <w:t>彩云湖污水处理厂</w:t>
            </w:r>
            <w:r>
              <w:rPr>
                <w:rFonts w:hint="eastAsia" w:ascii="Times New Roman" w:hAnsi="Times New Roman" w:eastAsia="宋体" w:cs="Times New Roman"/>
                <w:b w:val="0"/>
                <w:bCs/>
                <w:color w:val="000000" w:themeColor="text1"/>
                <w:kern w:val="0"/>
                <w:sz w:val="24"/>
                <w:szCs w:val="24"/>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color w:val="000000" w:themeColor="text1"/>
                <w:kern w:val="0"/>
                <w:sz w:val="24"/>
                <w:szCs w:val="24"/>
                <w:highlight w:val="none"/>
                <w:vertAlign w:val="baseline"/>
                <w:lang w:val="en-US" w:eastAsia="zh-CN"/>
                <w14:textFill>
                  <w14:solidFill>
                    <w14:schemeClr w14:val="tx1"/>
                  </w14:solidFill>
                </w14:textFill>
              </w:rPr>
              <w:t>项目废水排放量为</w:t>
            </w:r>
            <w:r>
              <w:rPr>
                <w:rFonts w:hint="eastAsia" w:cs="Times New Roman"/>
                <w:b w:val="0"/>
                <w:bCs/>
                <w:color w:val="auto"/>
                <w:kern w:val="0"/>
                <w:sz w:val="24"/>
                <w:szCs w:val="24"/>
                <w:highlight w:val="none"/>
                <w:vertAlign w:val="baseline"/>
                <w:lang w:val="en-US" w:eastAsia="zh-CN"/>
              </w:rPr>
              <w:t>1.3311</w:t>
            </w:r>
            <w:r>
              <w:rPr>
                <w:rFonts w:hint="default" w:ascii="Times New Roman" w:hAnsi="Times New Roman" w:eastAsia="宋体" w:cs="Times New Roman"/>
                <w:b w:val="0"/>
                <w:bCs/>
                <w:color w:val="000000" w:themeColor="text1"/>
                <w:kern w:val="0"/>
                <w:sz w:val="24"/>
                <w:szCs w:val="24"/>
                <w:highlight w:val="none"/>
                <w:vertAlign w:val="baseline"/>
                <w:lang w:val="en-US" w:eastAsia="zh-CN"/>
                <w14:textFill>
                  <w14:solidFill>
                    <w14:schemeClr w14:val="tx1"/>
                  </w14:solidFill>
                </w14:textFill>
              </w:rPr>
              <w:t>m</w:t>
            </w:r>
            <w:r>
              <w:rPr>
                <w:rFonts w:hint="default" w:ascii="Times New Roman" w:hAnsi="Times New Roman" w:eastAsia="宋体" w:cs="Times New Roman"/>
                <w:b w:val="0"/>
                <w:bCs/>
                <w:color w:val="000000" w:themeColor="text1"/>
                <w:kern w:val="0"/>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color w:val="000000" w:themeColor="text1"/>
                <w:kern w:val="0"/>
                <w:sz w:val="24"/>
                <w:szCs w:val="24"/>
                <w:highlight w:val="none"/>
                <w:vertAlign w:val="baseline"/>
                <w:lang w:val="en-US" w:eastAsia="zh-CN"/>
                <w14:textFill>
                  <w14:solidFill>
                    <w14:schemeClr w14:val="tx1"/>
                  </w14:solidFill>
                </w14:textFill>
              </w:rPr>
              <w:t>/d，占污水厂处理能力比例很小，能够满足处理需要，经处理后对周边地表水环境影响不大。</w:t>
            </w:r>
          </w:p>
          <w:p w14:paraId="1322F0F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color w:val="000000" w:themeColor="text1"/>
                <w:kern w:val="0"/>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4"/>
                <w:szCs w:val="24"/>
                <w:highlight w:val="none"/>
                <w:vertAlign w:val="baseline"/>
                <w:lang w:val="en-US" w:eastAsia="zh-CN"/>
                <w14:textFill>
                  <w14:solidFill>
                    <w14:schemeClr w14:val="tx1"/>
                  </w14:solidFill>
                </w14:textFill>
              </w:rPr>
              <w:t>项目废水在采取上述处理措施后均能确保达标排放，对水环境影响很小。</w:t>
            </w:r>
          </w:p>
          <w:p w14:paraId="2992B4FA">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cs="Times New Roman"/>
                <w:b/>
                <w:bCs w:val="0"/>
                <w:color w:val="auto"/>
                <w:kern w:val="0"/>
                <w:sz w:val="24"/>
                <w:szCs w:val="24"/>
                <w:highlight w:val="none"/>
                <w:vertAlign w:val="baseline"/>
                <w:lang w:eastAsia="zh-CN"/>
              </w:rPr>
            </w:pPr>
            <w:r>
              <w:rPr>
                <w:rFonts w:hint="default" w:ascii="Times New Roman" w:hAnsi="Times New Roman" w:cs="Times New Roman"/>
                <w:b/>
                <w:bCs w:val="0"/>
                <w:color w:val="auto"/>
                <w:kern w:val="0"/>
                <w:sz w:val="24"/>
                <w:szCs w:val="24"/>
                <w:highlight w:val="none"/>
                <w:vertAlign w:val="baseline"/>
                <w:lang w:eastAsia="zh-CN"/>
              </w:rPr>
              <w:t>4.2.3噪声环境影响及保护措施</w:t>
            </w:r>
          </w:p>
          <w:p w14:paraId="47BE3DE7">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cs="Times New Roman"/>
                <w:b/>
                <w:bCs w:val="0"/>
                <w:color w:val="auto"/>
                <w:kern w:val="0"/>
                <w:sz w:val="24"/>
                <w:szCs w:val="24"/>
                <w:highlight w:val="none"/>
                <w:vertAlign w:val="baseline"/>
                <w:lang w:eastAsia="zh-CN"/>
              </w:rPr>
            </w:pPr>
            <w:r>
              <w:rPr>
                <w:rFonts w:hint="default" w:ascii="Times New Roman" w:hAnsi="Times New Roman" w:cs="Times New Roman"/>
                <w:b/>
                <w:bCs w:val="0"/>
                <w:color w:val="auto"/>
                <w:kern w:val="0"/>
                <w:sz w:val="24"/>
                <w:szCs w:val="24"/>
                <w:highlight w:val="none"/>
                <w:vertAlign w:val="baseline"/>
                <w:lang w:eastAsia="zh-CN"/>
              </w:rPr>
              <w:t>4.2.3.1噪声源强及降噪措施</w:t>
            </w:r>
          </w:p>
          <w:p w14:paraId="7AD5A3B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color w:val="auto"/>
                <w:kern w:val="0"/>
                <w:sz w:val="24"/>
                <w:szCs w:val="24"/>
                <w:vertAlign w:val="baseline"/>
                <w:lang w:eastAsia="zh-CN"/>
              </w:rPr>
            </w:pPr>
            <w:r>
              <w:rPr>
                <w:rFonts w:hint="eastAsia" w:ascii="Times New Roman" w:hAnsi="Times New Roman" w:eastAsia="宋体" w:cs="Times New Roman"/>
                <w:b w:val="0"/>
                <w:bCs/>
                <w:color w:val="auto"/>
                <w:kern w:val="0"/>
                <w:sz w:val="24"/>
                <w:szCs w:val="24"/>
                <w:vertAlign w:val="baseline"/>
                <w:lang w:val="en-US" w:eastAsia="zh-CN"/>
              </w:rPr>
              <w:t>本</w:t>
            </w:r>
            <w:r>
              <w:rPr>
                <w:rFonts w:hint="default" w:ascii="Times New Roman" w:hAnsi="Times New Roman" w:eastAsia="宋体" w:cs="Times New Roman"/>
                <w:b w:val="0"/>
                <w:bCs/>
                <w:color w:val="auto"/>
                <w:kern w:val="0"/>
                <w:sz w:val="24"/>
                <w:szCs w:val="24"/>
                <w:vertAlign w:val="baseline"/>
                <w:lang w:eastAsia="zh-CN"/>
              </w:rPr>
              <w:t>项目</w:t>
            </w:r>
            <w:r>
              <w:rPr>
                <w:rFonts w:hint="eastAsia" w:ascii="Times New Roman" w:hAnsi="Times New Roman" w:eastAsia="宋体" w:cs="Times New Roman"/>
                <w:b w:val="0"/>
                <w:bCs/>
                <w:color w:val="auto"/>
                <w:kern w:val="0"/>
                <w:sz w:val="24"/>
                <w:szCs w:val="24"/>
                <w:vertAlign w:val="baseline"/>
                <w:lang w:val="en-US" w:eastAsia="zh-CN"/>
              </w:rPr>
              <w:t>为</w:t>
            </w:r>
            <w:r>
              <w:rPr>
                <w:rFonts w:hint="default" w:ascii="Times New Roman" w:hAnsi="Times New Roman" w:eastAsia="宋体" w:cs="Times New Roman"/>
                <w:b w:val="0"/>
                <w:bCs/>
                <w:color w:val="auto"/>
                <w:kern w:val="0"/>
                <w:sz w:val="24"/>
                <w:szCs w:val="24"/>
                <w:vertAlign w:val="baseline"/>
                <w:lang w:eastAsia="zh-CN"/>
              </w:rPr>
              <w:t>宠物医院，无高噪声设备</w:t>
            </w:r>
            <w:r>
              <w:rPr>
                <w:rFonts w:hint="eastAsia" w:ascii="Times New Roman" w:hAnsi="Times New Roman" w:eastAsia="宋体" w:cs="Times New Roman"/>
                <w:b w:val="0"/>
                <w:bCs/>
                <w:color w:val="auto"/>
                <w:kern w:val="0"/>
                <w:sz w:val="24"/>
                <w:szCs w:val="24"/>
                <w:vertAlign w:val="baseline"/>
                <w:lang w:eastAsia="zh-CN"/>
              </w:rPr>
              <w:t>。</w:t>
            </w:r>
            <w:r>
              <w:rPr>
                <w:rFonts w:hint="default" w:ascii="Times New Roman" w:hAnsi="Times New Roman" w:eastAsia="宋体" w:cs="Times New Roman"/>
                <w:b w:val="0"/>
                <w:bCs/>
                <w:color w:val="auto"/>
                <w:kern w:val="0"/>
                <w:sz w:val="24"/>
                <w:szCs w:val="24"/>
                <w:vertAlign w:val="baseline"/>
                <w:lang w:eastAsia="zh-CN"/>
              </w:rPr>
              <w:t>主要噪声来源于</w:t>
            </w:r>
            <w:r>
              <w:rPr>
                <w:rFonts w:hint="eastAsia" w:ascii="Times New Roman" w:hAnsi="Times New Roman" w:eastAsia="宋体" w:cs="Times New Roman"/>
                <w:b w:val="0"/>
                <w:bCs/>
                <w:color w:val="auto"/>
                <w:kern w:val="0"/>
                <w:sz w:val="24"/>
                <w:szCs w:val="24"/>
                <w:vertAlign w:val="baseline"/>
                <w:lang w:val="en-US" w:eastAsia="zh-CN"/>
              </w:rPr>
              <w:t>宠物</w:t>
            </w:r>
            <w:r>
              <w:rPr>
                <w:rFonts w:hint="default" w:ascii="Times New Roman" w:hAnsi="Times New Roman" w:eastAsia="宋体" w:cs="Times New Roman"/>
                <w:b w:val="0"/>
                <w:bCs/>
                <w:color w:val="auto"/>
                <w:kern w:val="0"/>
                <w:sz w:val="24"/>
                <w:szCs w:val="24"/>
                <w:vertAlign w:val="baseline"/>
                <w:lang w:eastAsia="zh-CN"/>
              </w:rPr>
              <w:t>偶发吼叫噪声，噪声源强约为7</w:t>
            </w:r>
            <w:r>
              <w:rPr>
                <w:rFonts w:hint="eastAsia" w:ascii="Times New Roman" w:hAnsi="Times New Roman" w:eastAsia="宋体" w:cs="Times New Roman"/>
                <w:b w:val="0"/>
                <w:bCs/>
                <w:color w:val="auto"/>
                <w:kern w:val="0"/>
                <w:sz w:val="24"/>
                <w:szCs w:val="24"/>
                <w:vertAlign w:val="baseline"/>
                <w:lang w:val="en-US" w:eastAsia="zh-CN"/>
              </w:rPr>
              <w:t>0</w:t>
            </w:r>
            <w:r>
              <w:rPr>
                <w:rFonts w:hint="default" w:ascii="Times New Roman" w:hAnsi="Times New Roman" w:eastAsia="宋体" w:cs="Times New Roman"/>
                <w:b w:val="0"/>
                <w:bCs/>
                <w:color w:val="auto"/>
                <w:kern w:val="0"/>
                <w:sz w:val="24"/>
                <w:szCs w:val="24"/>
                <w:vertAlign w:val="baseline"/>
                <w:lang w:eastAsia="zh-CN"/>
              </w:rPr>
              <w:t>dB（A）。详见表4.2-</w:t>
            </w:r>
            <w:r>
              <w:rPr>
                <w:rFonts w:hint="eastAsia" w:ascii="Times New Roman" w:hAnsi="Times New Roman" w:eastAsia="宋体" w:cs="Times New Roman"/>
                <w:b w:val="0"/>
                <w:bCs/>
                <w:color w:val="auto"/>
                <w:kern w:val="0"/>
                <w:sz w:val="24"/>
                <w:szCs w:val="24"/>
                <w:vertAlign w:val="baseline"/>
                <w:lang w:val="en-US" w:eastAsia="zh-CN"/>
              </w:rPr>
              <w:t>8</w:t>
            </w:r>
            <w:r>
              <w:rPr>
                <w:rFonts w:hint="default" w:ascii="Times New Roman" w:hAnsi="Times New Roman" w:eastAsia="宋体" w:cs="Times New Roman"/>
                <w:b w:val="0"/>
                <w:bCs/>
                <w:color w:val="auto"/>
                <w:kern w:val="0"/>
                <w:sz w:val="24"/>
                <w:szCs w:val="24"/>
                <w:vertAlign w:val="baseline"/>
                <w:lang w:eastAsia="zh-CN"/>
              </w:rPr>
              <w:t>。</w:t>
            </w:r>
          </w:p>
          <w:p w14:paraId="699E483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val="0"/>
                <w:color w:val="auto"/>
                <w:kern w:val="0"/>
                <w:sz w:val="24"/>
                <w:szCs w:val="24"/>
                <w:highlight w:val="none"/>
                <w:vertAlign w:val="baseline"/>
                <w:lang w:eastAsia="zh-CN"/>
              </w:rPr>
            </w:pPr>
            <w:r>
              <w:rPr>
                <w:rFonts w:hint="default" w:ascii="Times New Roman" w:hAnsi="Times New Roman" w:cs="Times New Roman"/>
                <w:b/>
                <w:bCs w:val="0"/>
                <w:color w:val="auto"/>
                <w:kern w:val="0"/>
                <w:sz w:val="24"/>
                <w:szCs w:val="24"/>
                <w:highlight w:val="none"/>
                <w:vertAlign w:val="baseline"/>
                <w:lang w:eastAsia="zh-CN"/>
              </w:rPr>
              <w:t>表4.2-</w:t>
            </w:r>
            <w:r>
              <w:rPr>
                <w:rFonts w:hint="eastAsia" w:cs="Times New Roman"/>
                <w:b/>
                <w:bCs w:val="0"/>
                <w:color w:val="auto"/>
                <w:kern w:val="0"/>
                <w:sz w:val="24"/>
                <w:szCs w:val="24"/>
                <w:highlight w:val="none"/>
                <w:vertAlign w:val="baseline"/>
                <w:lang w:val="en-US" w:eastAsia="zh-CN"/>
              </w:rPr>
              <w:t>8</w:t>
            </w:r>
            <w:r>
              <w:rPr>
                <w:rFonts w:hint="default" w:ascii="Times New Roman" w:hAnsi="Times New Roman" w:cs="Times New Roman"/>
                <w:b/>
                <w:bCs w:val="0"/>
                <w:color w:val="auto"/>
                <w:kern w:val="0"/>
                <w:sz w:val="24"/>
                <w:szCs w:val="24"/>
                <w:highlight w:val="none"/>
                <w:vertAlign w:val="baseline"/>
                <w:lang w:eastAsia="zh-CN"/>
              </w:rPr>
              <w:t xml:space="preserve"> 项目室内噪声污染源强一览表</w:t>
            </w:r>
          </w:p>
          <w:tbl>
            <w:tblPr>
              <w:tblStyle w:val="20"/>
              <w:tblW w:w="838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22"/>
              <w:gridCol w:w="240"/>
              <w:gridCol w:w="270"/>
              <w:gridCol w:w="529"/>
              <w:gridCol w:w="578"/>
              <w:gridCol w:w="321"/>
              <w:gridCol w:w="222"/>
              <w:gridCol w:w="222"/>
              <w:gridCol w:w="351"/>
              <w:gridCol w:w="352"/>
              <w:gridCol w:w="352"/>
              <w:gridCol w:w="352"/>
              <w:gridCol w:w="352"/>
              <w:gridCol w:w="352"/>
              <w:gridCol w:w="352"/>
              <w:gridCol w:w="352"/>
              <w:gridCol w:w="398"/>
              <w:gridCol w:w="611"/>
              <w:gridCol w:w="352"/>
              <w:gridCol w:w="352"/>
              <w:gridCol w:w="352"/>
              <w:gridCol w:w="356"/>
              <w:gridCol w:w="549"/>
            </w:tblGrid>
            <w:tr w14:paraId="7B22F1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2" w:type="pct"/>
                  <w:vMerge w:val="restart"/>
                  <w:tcBorders>
                    <w:tl2br w:val="nil"/>
                    <w:tr2bl w:val="nil"/>
                  </w:tcBorders>
                  <w:vAlign w:val="center"/>
                </w:tcPr>
                <w:p w14:paraId="7F8B019B">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r>
                    <w:rPr>
                      <w:rFonts w:hint="eastAsia"/>
                      <w:color w:val="auto"/>
                      <w:highlight w:val="none"/>
                      <w:lang w:val="en-US" w:eastAsia="zh-CN"/>
                    </w:rPr>
                    <w:t>序号</w:t>
                  </w:r>
                </w:p>
              </w:tc>
              <w:tc>
                <w:tcPr>
                  <w:tcW w:w="143" w:type="pct"/>
                  <w:vMerge w:val="restart"/>
                  <w:tcBorders>
                    <w:tl2br w:val="nil"/>
                    <w:tr2bl w:val="nil"/>
                  </w:tcBorders>
                  <w:vAlign w:val="center"/>
                </w:tcPr>
                <w:p w14:paraId="65AD6FCB">
                  <w:pPr>
                    <w:pStyle w:val="54"/>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jc w:val="center"/>
                    <w:textAlignment w:val="auto"/>
                    <w:rPr>
                      <w:rFonts w:hint="eastAsia"/>
                      <w:color w:val="auto"/>
                      <w:highlight w:val="none"/>
                      <w:lang w:val="en-US" w:eastAsia="zh-CN"/>
                    </w:rPr>
                  </w:pPr>
                  <w:r>
                    <w:rPr>
                      <w:rFonts w:hint="eastAsia"/>
                      <w:color w:val="auto"/>
                      <w:highlight w:val="none"/>
                      <w:lang w:val="en-US" w:eastAsia="zh-CN"/>
                    </w:rPr>
                    <w:t>建筑物名称</w:t>
                  </w:r>
                </w:p>
              </w:tc>
              <w:tc>
                <w:tcPr>
                  <w:tcW w:w="160" w:type="pct"/>
                  <w:vMerge w:val="restart"/>
                  <w:tcBorders>
                    <w:tl2br w:val="nil"/>
                    <w:tr2bl w:val="nil"/>
                  </w:tcBorders>
                  <w:vAlign w:val="center"/>
                </w:tcPr>
                <w:p w14:paraId="7215E0D5">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r>
                    <w:rPr>
                      <w:rFonts w:hint="eastAsia"/>
                      <w:color w:val="auto"/>
                      <w:highlight w:val="none"/>
                      <w:lang w:val="en-US" w:eastAsia="zh-CN"/>
                    </w:rPr>
                    <w:t>声源</w:t>
                  </w:r>
                </w:p>
                <w:p w14:paraId="711ADCEF">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r>
                    <w:rPr>
                      <w:rFonts w:hint="eastAsia"/>
                      <w:color w:val="auto"/>
                      <w:highlight w:val="none"/>
                      <w:lang w:val="en-US" w:eastAsia="zh-CN"/>
                    </w:rPr>
                    <w:t>名称</w:t>
                  </w:r>
                </w:p>
              </w:tc>
              <w:tc>
                <w:tcPr>
                  <w:tcW w:w="315" w:type="pct"/>
                  <w:vMerge w:val="restart"/>
                  <w:tcBorders>
                    <w:tl2br w:val="nil"/>
                    <w:tr2bl w:val="nil"/>
                  </w:tcBorders>
                  <w:vAlign w:val="center"/>
                </w:tcPr>
                <w:p w14:paraId="55EF93B8">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r>
                    <w:rPr>
                      <w:rFonts w:hint="eastAsia"/>
                      <w:color w:val="auto"/>
                      <w:highlight w:val="none"/>
                      <w:lang w:val="en-US" w:eastAsia="zh-CN"/>
                    </w:rPr>
                    <w:t>声源源强</w:t>
                  </w:r>
                </w:p>
                <w:p w14:paraId="6ED5F418">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r>
                    <w:rPr>
                      <w:rFonts w:hint="eastAsia"/>
                      <w:color w:val="auto"/>
                      <w:highlight w:val="none"/>
                      <w:lang w:val="en-US" w:eastAsia="zh-CN"/>
                    </w:rPr>
                    <w:t>（声压级/距声源距离）/（dB（A）/m）</w:t>
                  </w:r>
                </w:p>
              </w:tc>
              <w:tc>
                <w:tcPr>
                  <w:tcW w:w="344" w:type="pct"/>
                  <w:vMerge w:val="restart"/>
                  <w:tcBorders>
                    <w:tl2br w:val="nil"/>
                    <w:tr2bl w:val="nil"/>
                  </w:tcBorders>
                  <w:vAlign w:val="center"/>
                </w:tcPr>
                <w:p w14:paraId="7B742A9B">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firstLine="0" w:firstLineChars="0"/>
                    <w:jc w:val="center"/>
                    <w:textAlignment w:val="auto"/>
                    <w:rPr>
                      <w:rFonts w:hint="eastAsia"/>
                      <w:color w:val="auto"/>
                      <w:highlight w:val="none"/>
                      <w:lang w:val="en-US" w:eastAsia="zh-CN"/>
                    </w:rPr>
                  </w:pPr>
                  <w:r>
                    <w:rPr>
                      <w:rFonts w:hint="eastAsia"/>
                      <w:color w:val="auto"/>
                      <w:highlight w:val="none"/>
                      <w:lang w:val="en-US" w:eastAsia="zh-CN"/>
                    </w:rPr>
                    <w:t>声源控制措施</w:t>
                  </w:r>
                </w:p>
              </w:tc>
              <w:tc>
                <w:tcPr>
                  <w:tcW w:w="455" w:type="pct"/>
                  <w:gridSpan w:val="3"/>
                  <w:tcBorders>
                    <w:tl2br w:val="nil"/>
                    <w:tr2bl w:val="nil"/>
                  </w:tcBorders>
                  <w:vAlign w:val="center"/>
                </w:tcPr>
                <w:p w14:paraId="01C670CB">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r>
                    <w:rPr>
                      <w:rFonts w:hint="eastAsia"/>
                      <w:color w:val="auto"/>
                      <w:highlight w:val="none"/>
                      <w:lang w:val="en-US" w:eastAsia="zh-CN"/>
                    </w:rPr>
                    <w:t>空间相对位置/m</w:t>
                  </w:r>
                </w:p>
              </w:tc>
              <w:tc>
                <w:tcPr>
                  <w:tcW w:w="838" w:type="pct"/>
                  <w:gridSpan w:val="4"/>
                  <w:tcBorders>
                    <w:tl2br w:val="nil"/>
                    <w:tr2bl w:val="nil"/>
                  </w:tcBorders>
                  <w:vAlign w:val="center"/>
                </w:tcPr>
                <w:p w14:paraId="29CDAAA7">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r>
                    <w:rPr>
                      <w:rFonts w:hint="eastAsia"/>
                      <w:color w:val="auto"/>
                      <w:highlight w:val="none"/>
                      <w:lang w:val="en-US" w:eastAsia="zh-CN"/>
                    </w:rPr>
                    <w:t>距室内边界距离/m</w:t>
                  </w:r>
                </w:p>
              </w:tc>
              <w:tc>
                <w:tcPr>
                  <w:tcW w:w="839" w:type="pct"/>
                  <w:gridSpan w:val="4"/>
                  <w:tcBorders>
                    <w:tl2br w:val="nil"/>
                    <w:tr2bl w:val="nil"/>
                  </w:tcBorders>
                  <w:vAlign w:val="center"/>
                </w:tcPr>
                <w:p w14:paraId="67D2A160">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r>
                    <w:rPr>
                      <w:rFonts w:hint="eastAsia"/>
                      <w:color w:val="auto"/>
                      <w:highlight w:val="none"/>
                      <w:lang w:val="en-US" w:eastAsia="zh-CN"/>
                    </w:rPr>
                    <w:t>室内边界声级/dB（A）</w:t>
                  </w:r>
                </w:p>
              </w:tc>
              <w:tc>
                <w:tcPr>
                  <w:tcW w:w="237" w:type="pct"/>
                  <w:vMerge w:val="restart"/>
                  <w:tcBorders>
                    <w:tl2br w:val="nil"/>
                    <w:tr2bl w:val="nil"/>
                  </w:tcBorders>
                  <w:vAlign w:val="center"/>
                </w:tcPr>
                <w:p w14:paraId="5926CC59">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r>
                    <w:rPr>
                      <w:rFonts w:hint="eastAsia"/>
                      <w:color w:val="auto"/>
                      <w:highlight w:val="none"/>
                      <w:lang w:val="en-US" w:eastAsia="zh-CN"/>
                    </w:rPr>
                    <w:t>运行</w:t>
                  </w:r>
                </w:p>
                <w:p w14:paraId="00FD0930">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firstLine="0" w:firstLineChars="0"/>
                    <w:jc w:val="center"/>
                    <w:textAlignment w:val="auto"/>
                    <w:rPr>
                      <w:rFonts w:hint="eastAsia"/>
                      <w:color w:val="auto"/>
                      <w:highlight w:val="none"/>
                      <w:lang w:val="en-US" w:eastAsia="zh-CN"/>
                    </w:rPr>
                  </w:pPr>
                  <w:r>
                    <w:rPr>
                      <w:rFonts w:hint="eastAsia"/>
                      <w:color w:val="auto"/>
                      <w:highlight w:val="none"/>
                      <w:lang w:val="en-US" w:eastAsia="zh-CN"/>
                    </w:rPr>
                    <w:t>时段</w:t>
                  </w:r>
                </w:p>
              </w:tc>
              <w:tc>
                <w:tcPr>
                  <w:tcW w:w="364" w:type="pct"/>
                  <w:vMerge w:val="restart"/>
                  <w:tcBorders>
                    <w:tl2br w:val="nil"/>
                    <w:tr2bl w:val="nil"/>
                  </w:tcBorders>
                  <w:vAlign w:val="center"/>
                </w:tcPr>
                <w:p w14:paraId="404E6116">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r>
                    <w:rPr>
                      <w:rFonts w:hint="eastAsia"/>
                      <w:color w:val="auto"/>
                      <w:highlight w:val="none"/>
                      <w:lang w:val="en-US" w:eastAsia="zh-CN"/>
                    </w:rPr>
                    <w:t>建筑物</w:t>
                  </w:r>
                </w:p>
                <w:p w14:paraId="34698971">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r>
                    <w:rPr>
                      <w:rFonts w:hint="eastAsia"/>
                      <w:color w:val="auto"/>
                      <w:highlight w:val="none"/>
                      <w:lang w:val="en-US" w:eastAsia="zh-CN"/>
                    </w:rPr>
                    <w:t>插入损失（dB）</w:t>
                  </w:r>
                </w:p>
              </w:tc>
              <w:tc>
                <w:tcPr>
                  <w:tcW w:w="1168" w:type="pct"/>
                  <w:gridSpan w:val="5"/>
                  <w:tcBorders>
                    <w:tl2br w:val="nil"/>
                    <w:tr2bl w:val="nil"/>
                  </w:tcBorders>
                  <w:vAlign w:val="center"/>
                </w:tcPr>
                <w:p w14:paraId="73C80318">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r>
                    <w:rPr>
                      <w:rFonts w:hint="eastAsia"/>
                      <w:color w:val="auto"/>
                      <w:highlight w:val="none"/>
                      <w:lang w:val="en-US" w:eastAsia="zh-CN"/>
                    </w:rPr>
                    <w:t>建筑物外噪声</w:t>
                  </w:r>
                </w:p>
              </w:tc>
            </w:tr>
            <w:tr w14:paraId="51439B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2" w:type="pct"/>
                  <w:vMerge w:val="continue"/>
                  <w:tcBorders>
                    <w:tl2br w:val="nil"/>
                    <w:tr2bl w:val="nil"/>
                  </w:tcBorders>
                  <w:vAlign w:val="center"/>
                </w:tcPr>
                <w:p w14:paraId="12D3688A">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p>
              </w:tc>
              <w:tc>
                <w:tcPr>
                  <w:tcW w:w="143" w:type="pct"/>
                  <w:vMerge w:val="continue"/>
                  <w:tcBorders>
                    <w:tl2br w:val="nil"/>
                    <w:tr2bl w:val="nil"/>
                  </w:tcBorders>
                  <w:vAlign w:val="center"/>
                </w:tcPr>
                <w:p w14:paraId="3D2E10F3">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p>
              </w:tc>
              <w:tc>
                <w:tcPr>
                  <w:tcW w:w="160" w:type="pct"/>
                  <w:vMerge w:val="continue"/>
                  <w:tcBorders>
                    <w:tl2br w:val="nil"/>
                    <w:tr2bl w:val="nil"/>
                  </w:tcBorders>
                  <w:vAlign w:val="center"/>
                </w:tcPr>
                <w:p w14:paraId="670FBDD7">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p>
              </w:tc>
              <w:tc>
                <w:tcPr>
                  <w:tcW w:w="315" w:type="pct"/>
                  <w:vMerge w:val="continue"/>
                  <w:tcBorders>
                    <w:tl2br w:val="nil"/>
                    <w:tr2bl w:val="nil"/>
                  </w:tcBorders>
                  <w:vAlign w:val="center"/>
                </w:tcPr>
                <w:p w14:paraId="1B658AE3">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p>
              </w:tc>
              <w:tc>
                <w:tcPr>
                  <w:tcW w:w="344" w:type="pct"/>
                  <w:vMerge w:val="continue"/>
                  <w:tcBorders>
                    <w:tl2br w:val="nil"/>
                    <w:tr2bl w:val="nil"/>
                  </w:tcBorders>
                  <w:vAlign w:val="center"/>
                </w:tcPr>
                <w:p w14:paraId="5EBE85BE">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p>
              </w:tc>
              <w:tc>
                <w:tcPr>
                  <w:tcW w:w="191" w:type="pct"/>
                  <w:vMerge w:val="restart"/>
                  <w:tcBorders>
                    <w:tl2br w:val="nil"/>
                    <w:tr2bl w:val="nil"/>
                  </w:tcBorders>
                  <w:vAlign w:val="center"/>
                </w:tcPr>
                <w:p w14:paraId="2C1FBAFD">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r>
                    <w:rPr>
                      <w:rFonts w:hint="eastAsia"/>
                      <w:color w:val="auto"/>
                      <w:highlight w:val="none"/>
                      <w:lang w:val="en-US" w:eastAsia="zh-CN"/>
                    </w:rPr>
                    <w:t>X</w:t>
                  </w:r>
                </w:p>
              </w:tc>
              <w:tc>
                <w:tcPr>
                  <w:tcW w:w="132" w:type="pct"/>
                  <w:vMerge w:val="restart"/>
                  <w:tcBorders>
                    <w:tl2br w:val="nil"/>
                    <w:tr2bl w:val="nil"/>
                  </w:tcBorders>
                  <w:vAlign w:val="center"/>
                </w:tcPr>
                <w:p w14:paraId="64A1858D">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r>
                    <w:rPr>
                      <w:rFonts w:hint="eastAsia"/>
                      <w:color w:val="auto"/>
                      <w:highlight w:val="none"/>
                      <w:lang w:val="en-US" w:eastAsia="zh-CN"/>
                    </w:rPr>
                    <w:t>Y</w:t>
                  </w:r>
                </w:p>
              </w:tc>
              <w:tc>
                <w:tcPr>
                  <w:tcW w:w="132" w:type="pct"/>
                  <w:vMerge w:val="restart"/>
                  <w:tcBorders>
                    <w:tl2br w:val="nil"/>
                    <w:tr2bl w:val="nil"/>
                  </w:tcBorders>
                  <w:vAlign w:val="center"/>
                </w:tcPr>
                <w:p w14:paraId="68489C01">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r>
                    <w:rPr>
                      <w:rFonts w:hint="eastAsia"/>
                      <w:color w:val="auto"/>
                      <w:highlight w:val="none"/>
                      <w:lang w:val="en-US" w:eastAsia="zh-CN"/>
                    </w:rPr>
                    <w:t>Z</w:t>
                  </w:r>
                </w:p>
              </w:tc>
              <w:tc>
                <w:tcPr>
                  <w:tcW w:w="209" w:type="pct"/>
                  <w:vMerge w:val="restart"/>
                  <w:tcBorders>
                    <w:tl2br w:val="nil"/>
                    <w:tr2bl w:val="nil"/>
                  </w:tcBorders>
                  <w:vAlign w:val="center"/>
                </w:tcPr>
                <w:p w14:paraId="6F4613A4">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r>
                    <w:rPr>
                      <w:rFonts w:hint="eastAsia"/>
                      <w:color w:val="auto"/>
                      <w:highlight w:val="none"/>
                      <w:lang w:val="en-US" w:eastAsia="zh-CN"/>
                    </w:rPr>
                    <w:t>东侧</w:t>
                  </w:r>
                </w:p>
              </w:tc>
              <w:tc>
                <w:tcPr>
                  <w:tcW w:w="209" w:type="pct"/>
                  <w:vMerge w:val="restart"/>
                  <w:tcBorders>
                    <w:tl2br w:val="nil"/>
                    <w:tr2bl w:val="nil"/>
                  </w:tcBorders>
                  <w:vAlign w:val="center"/>
                </w:tcPr>
                <w:p w14:paraId="5CDA6D11">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r>
                    <w:rPr>
                      <w:rFonts w:hint="eastAsia"/>
                      <w:color w:val="auto"/>
                      <w:highlight w:val="none"/>
                      <w:lang w:val="en-US" w:eastAsia="zh-CN"/>
                    </w:rPr>
                    <w:t>南侧</w:t>
                  </w:r>
                </w:p>
              </w:tc>
              <w:tc>
                <w:tcPr>
                  <w:tcW w:w="209" w:type="pct"/>
                  <w:vMerge w:val="restart"/>
                  <w:tcBorders>
                    <w:tl2br w:val="nil"/>
                    <w:tr2bl w:val="nil"/>
                  </w:tcBorders>
                  <w:vAlign w:val="center"/>
                </w:tcPr>
                <w:p w14:paraId="4EE322EC">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r>
                    <w:rPr>
                      <w:rFonts w:hint="eastAsia"/>
                      <w:color w:val="auto"/>
                      <w:highlight w:val="none"/>
                      <w:lang w:val="en-US" w:eastAsia="zh-CN"/>
                    </w:rPr>
                    <w:t>西侧</w:t>
                  </w:r>
                </w:p>
              </w:tc>
              <w:tc>
                <w:tcPr>
                  <w:tcW w:w="209" w:type="pct"/>
                  <w:vMerge w:val="restart"/>
                  <w:tcBorders>
                    <w:tl2br w:val="nil"/>
                    <w:tr2bl w:val="nil"/>
                  </w:tcBorders>
                  <w:vAlign w:val="center"/>
                </w:tcPr>
                <w:p w14:paraId="3D2D830B">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r>
                    <w:rPr>
                      <w:rFonts w:hint="eastAsia"/>
                      <w:color w:val="auto"/>
                      <w:highlight w:val="none"/>
                      <w:lang w:val="en-US" w:eastAsia="zh-CN"/>
                    </w:rPr>
                    <w:t>北侧</w:t>
                  </w:r>
                </w:p>
              </w:tc>
              <w:tc>
                <w:tcPr>
                  <w:tcW w:w="209" w:type="pct"/>
                  <w:vMerge w:val="restart"/>
                  <w:tcBorders>
                    <w:tl2br w:val="nil"/>
                    <w:tr2bl w:val="nil"/>
                  </w:tcBorders>
                  <w:vAlign w:val="center"/>
                </w:tcPr>
                <w:p w14:paraId="58AC09A2">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r>
                    <w:rPr>
                      <w:rFonts w:hint="eastAsia"/>
                      <w:color w:val="auto"/>
                      <w:highlight w:val="none"/>
                      <w:lang w:val="en-US" w:eastAsia="zh-CN"/>
                    </w:rPr>
                    <w:t>东侧</w:t>
                  </w:r>
                </w:p>
              </w:tc>
              <w:tc>
                <w:tcPr>
                  <w:tcW w:w="209" w:type="pct"/>
                  <w:vMerge w:val="restart"/>
                  <w:tcBorders>
                    <w:tl2br w:val="nil"/>
                    <w:tr2bl w:val="nil"/>
                  </w:tcBorders>
                  <w:vAlign w:val="center"/>
                </w:tcPr>
                <w:p w14:paraId="79A7C419">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r>
                    <w:rPr>
                      <w:rFonts w:hint="eastAsia"/>
                      <w:color w:val="auto"/>
                      <w:highlight w:val="none"/>
                      <w:lang w:val="en-US" w:eastAsia="zh-CN"/>
                    </w:rPr>
                    <w:t>南侧</w:t>
                  </w:r>
                </w:p>
              </w:tc>
              <w:tc>
                <w:tcPr>
                  <w:tcW w:w="209" w:type="pct"/>
                  <w:vMerge w:val="restart"/>
                  <w:tcBorders>
                    <w:tl2br w:val="nil"/>
                    <w:tr2bl w:val="nil"/>
                  </w:tcBorders>
                  <w:vAlign w:val="center"/>
                </w:tcPr>
                <w:p w14:paraId="562F67CB">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r>
                    <w:rPr>
                      <w:rFonts w:hint="eastAsia"/>
                      <w:color w:val="auto"/>
                      <w:highlight w:val="none"/>
                      <w:lang w:val="en-US" w:eastAsia="zh-CN"/>
                    </w:rPr>
                    <w:t>西侧</w:t>
                  </w:r>
                </w:p>
              </w:tc>
              <w:tc>
                <w:tcPr>
                  <w:tcW w:w="209" w:type="pct"/>
                  <w:vMerge w:val="restart"/>
                  <w:tcBorders>
                    <w:tl2br w:val="nil"/>
                    <w:tr2bl w:val="nil"/>
                  </w:tcBorders>
                  <w:vAlign w:val="center"/>
                </w:tcPr>
                <w:p w14:paraId="4CB8D909">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r>
                    <w:rPr>
                      <w:rFonts w:hint="eastAsia"/>
                      <w:color w:val="auto"/>
                      <w:highlight w:val="none"/>
                      <w:lang w:val="en-US" w:eastAsia="zh-CN"/>
                    </w:rPr>
                    <w:t>北侧</w:t>
                  </w:r>
                </w:p>
              </w:tc>
              <w:tc>
                <w:tcPr>
                  <w:tcW w:w="237" w:type="pct"/>
                  <w:vMerge w:val="continue"/>
                  <w:tcBorders>
                    <w:tl2br w:val="nil"/>
                    <w:tr2bl w:val="nil"/>
                  </w:tcBorders>
                  <w:vAlign w:val="center"/>
                </w:tcPr>
                <w:p w14:paraId="3960B8D2">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p>
              </w:tc>
              <w:tc>
                <w:tcPr>
                  <w:tcW w:w="364" w:type="pct"/>
                  <w:vMerge w:val="continue"/>
                  <w:tcBorders>
                    <w:tl2br w:val="nil"/>
                    <w:tr2bl w:val="nil"/>
                  </w:tcBorders>
                  <w:vAlign w:val="center"/>
                </w:tcPr>
                <w:p w14:paraId="4B78AA53">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p>
              </w:tc>
              <w:tc>
                <w:tcPr>
                  <w:tcW w:w="841" w:type="pct"/>
                  <w:gridSpan w:val="4"/>
                  <w:tcBorders>
                    <w:tl2br w:val="nil"/>
                    <w:tr2bl w:val="nil"/>
                  </w:tcBorders>
                  <w:vAlign w:val="center"/>
                </w:tcPr>
                <w:p w14:paraId="1D741DB9">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r>
                    <w:rPr>
                      <w:rFonts w:hint="eastAsia"/>
                      <w:color w:val="auto"/>
                      <w:highlight w:val="none"/>
                      <w:lang w:val="en-US" w:eastAsia="zh-CN"/>
                    </w:rPr>
                    <w:t>声压级</w:t>
                  </w:r>
                </w:p>
              </w:tc>
              <w:tc>
                <w:tcPr>
                  <w:tcW w:w="327" w:type="pct"/>
                  <w:vMerge w:val="restart"/>
                  <w:tcBorders>
                    <w:tl2br w:val="nil"/>
                    <w:tr2bl w:val="nil"/>
                  </w:tcBorders>
                  <w:vAlign w:val="center"/>
                </w:tcPr>
                <w:p w14:paraId="60B01176">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r>
                    <w:rPr>
                      <w:rFonts w:hint="eastAsia"/>
                      <w:color w:val="auto"/>
                      <w:highlight w:val="none"/>
                      <w:lang w:val="en-US" w:eastAsia="zh-CN"/>
                    </w:rPr>
                    <w:t>建筑物外距离（m）</w:t>
                  </w:r>
                </w:p>
              </w:tc>
            </w:tr>
            <w:tr w14:paraId="5D6DB8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2" w:type="pct"/>
                  <w:vMerge w:val="continue"/>
                  <w:tcBorders>
                    <w:tl2br w:val="nil"/>
                    <w:tr2bl w:val="nil"/>
                  </w:tcBorders>
                  <w:vAlign w:val="center"/>
                </w:tcPr>
                <w:p w14:paraId="596E977C">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p>
              </w:tc>
              <w:tc>
                <w:tcPr>
                  <w:tcW w:w="143" w:type="pct"/>
                  <w:vMerge w:val="continue"/>
                  <w:tcBorders>
                    <w:tl2br w:val="nil"/>
                    <w:tr2bl w:val="nil"/>
                  </w:tcBorders>
                  <w:vAlign w:val="center"/>
                </w:tcPr>
                <w:p w14:paraId="028A3013">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p>
              </w:tc>
              <w:tc>
                <w:tcPr>
                  <w:tcW w:w="160" w:type="pct"/>
                  <w:vMerge w:val="continue"/>
                  <w:tcBorders>
                    <w:tl2br w:val="nil"/>
                    <w:tr2bl w:val="nil"/>
                  </w:tcBorders>
                  <w:vAlign w:val="center"/>
                </w:tcPr>
                <w:p w14:paraId="74D6AAD7">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p>
              </w:tc>
              <w:tc>
                <w:tcPr>
                  <w:tcW w:w="315" w:type="pct"/>
                  <w:vMerge w:val="continue"/>
                  <w:tcBorders>
                    <w:tl2br w:val="nil"/>
                    <w:tr2bl w:val="nil"/>
                  </w:tcBorders>
                  <w:vAlign w:val="center"/>
                </w:tcPr>
                <w:p w14:paraId="0B849017">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p>
              </w:tc>
              <w:tc>
                <w:tcPr>
                  <w:tcW w:w="344" w:type="pct"/>
                  <w:vMerge w:val="continue"/>
                  <w:tcBorders>
                    <w:tl2br w:val="nil"/>
                    <w:tr2bl w:val="nil"/>
                  </w:tcBorders>
                  <w:vAlign w:val="center"/>
                </w:tcPr>
                <w:p w14:paraId="52567D05">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p>
              </w:tc>
              <w:tc>
                <w:tcPr>
                  <w:tcW w:w="191" w:type="pct"/>
                  <w:vMerge w:val="continue"/>
                  <w:tcBorders>
                    <w:tl2br w:val="nil"/>
                    <w:tr2bl w:val="nil"/>
                  </w:tcBorders>
                  <w:vAlign w:val="center"/>
                </w:tcPr>
                <w:p w14:paraId="3936BCDF">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p>
              </w:tc>
              <w:tc>
                <w:tcPr>
                  <w:tcW w:w="132" w:type="pct"/>
                  <w:vMerge w:val="continue"/>
                  <w:tcBorders>
                    <w:tl2br w:val="nil"/>
                    <w:tr2bl w:val="nil"/>
                  </w:tcBorders>
                  <w:vAlign w:val="center"/>
                </w:tcPr>
                <w:p w14:paraId="3FD87FD1">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p>
              </w:tc>
              <w:tc>
                <w:tcPr>
                  <w:tcW w:w="132" w:type="pct"/>
                  <w:vMerge w:val="continue"/>
                  <w:tcBorders>
                    <w:tl2br w:val="nil"/>
                    <w:tr2bl w:val="nil"/>
                  </w:tcBorders>
                  <w:vAlign w:val="center"/>
                </w:tcPr>
                <w:p w14:paraId="074950C3">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p>
              </w:tc>
              <w:tc>
                <w:tcPr>
                  <w:tcW w:w="209" w:type="pct"/>
                  <w:vMerge w:val="continue"/>
                  <w:tcBorders>
                    <w:tl2br w:val="nil"/>
                    <w:tr2bl w:val="nil"/>
                  </w:tcBorders>
                  <w:vAlign w:val="center"/>
                </w:tcPr>
                <w:p w14:paraId="31BB5CB7">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p>
              </w:tc>
              <w:tc>
                <w:tcPr>
                  <w:tcW w:w="209" w:type="pct"/>
                  <w:vMerge w:val="continue"/>
                  <w:tcBorders>
                    <w:tl2br w:val="nil"/>
                    <w:tr2bl w:val="nil"/>
                  </w:tcBorders>
                  <w:vAlign w:val="center"/>
                </w:tcPr>
                <w:p w14:paraId="39D87B8C">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p>
              </w:tc>
              <w:tc>
                <w:tcPr>
                  <w:tcW w:w="209" w:type="pct"/>
                  <w:vMerge w:val="continue"/>
                  <w:tcBorders>
                    <w:tl2br w:val="nil"/>
                    <w:tr2bl w:val="nil"/>
                  </w:tcBorders>
                  <w:vAlign w:val="center"/>
                </w:tcPr>
                <w:p w14:paraId="5AF629CD">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p>
              </w:tc>
              <w:tc>
                <w:tcPr>
                  <w:tcW w:w="209" w:type="pct"/>
                  <w:vMerge w:val="continue"/>
                  <w:tcBorders>
                    <w:tl2br w:val="nil"/>
                    <w:tr2bl w:val="nil"/>
                  </w:tcBorders>
                  <w:vAlign w:val="center"/>
                </w:tcPr>
                <w:p w14:paraId="5ABD0C5B">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p>
              </w:tc>
              <w:tc>
                <w:tcPr>
                  <w:tcW w:w="209" w:type="pct"/>
                  <w:vMerge w:val="continue"/>
                  <w:tcBorders>
                    <w:tl2br w:val="nil"/>
                    <w:tr2bl w:val="nil"/>
                  </w:tcBorders>
                  <w:vAlign w:val="center"/>
                </w:tcPr>
                <w:p w14:paraId="42D35547">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p>
              </w:tc>
              <w:tc>
                <w:tcPr>
                  <w:tcW w:w="209" w:type="pct"/>
                  <w:vMerge w:val="continue"/>
                  <w:tcBorders>
                    <w:tl2br w:val="nil"/>
                    <w:tr2bl w:val="nil"/>
                  </w:tcBorders>
                  <w:vAlign w:val="center"/>
                </w:tcPr>
                <w:p w14:paraId="4F7029DB">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p>
              </w:tc>
              <w:tc>
                <w:tcPr>
                  <w:tcW w:w="209" w:type="pct"/>
                  <w:vMerge w:val="continue"/>
                  <w:tcBorders>
                    <w:tl2br w:val="nil"/>
                    <w:tr2bl w:val="nil"/>
                  </w:tcBorders>
                  <w:vAlign w:val="center"/>
                </w:tcPr>
                <w:p w14:paraId="4599EB50">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p>
              </w:tc>
              <w:tc>
                <w:tcPr>
                  <w:tcW w:w="209" w:type="pct"/>
                  <w:vMerge w:val="continue"/>
                  <w:tcBorders>
                    <w:tl2br w:val="nil"/>
                    <w:tr2bl w:val="nil"/>
                  </w:tcBorders>
                  <w:vAlign w:val="center"/>
                </w:tcPr>
                <w:p w14:paraId="0C7A6432">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p>
              </w:tc>
              <w:tc>
                <w:tcPr>
                  <w:tcW w:w="237" w:type="pct"/>
                  <w:vMerge w:val="continue"/>
                  <w:tcBorders>
                    <w:tl2br w:val="nil"/>
                    <w:tr2bl w:val="nil"/>
                  </w:tcBorders>
                  <w:vAlign w:val="center"/>
                </w:tcPr>
                <w:p w14:paraId="465F7710">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p>
              </w:tc>
              <w:tc>
                <w:tcPr>
                  <w:tcW w:w="364" w:type="pct"/>
                  <w:vMerge w:val="continue"/>
                  <w:tcBorders>
                    <w:tl2br w:val="nil"/>
                    <w:tr2bl w:val="nil"/>
                  </w:tcBorders>
                  <w:vAlign w:val="center"/>
                </w:tcPr>
                <w:p w14:paraId="2515B4AE">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p>
              </w:tc>
              <w:tc>
                <w:tcPr>
                  <w:tcW w:w="209" w:type="pct"/>
                  <w:tcBorders>
                    <w:tl2br w:val="nil"/>
                    <w:tr2bl w:val="nil"/>
                  </w:tcBorders>
                  <w:vAlign w:val="center"/>
                </w:tcPr>
                <w:p w14:paraId="6D8D9339">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r>
                    <w:rPr>
                      <w:rFonts w:hint="eastAsia"/>
                      <w:color w:val="auto"/>
                      <w:highlight w:val="none"/>
                      <w:lang w:val="en-US" w:eastAsia="zh-CN"/>
                    </w:rPr>
                    <w:t>东侧</w:t>
                  </w:r>
                </w:p>
              </w:tc>
              <w:tc>
                <w:tcPr>
                  <w:tcW w:w="209" w:type="pct"/>
                  <w:tcBorders>
                    <w:tl2br w:val="nil"/>
                    <w:tr2bl w:val="nil"/>
                  </w:tcBorders>
                  <w:vAlign w:val="center"/>
                </w:tcPr>
                <w:p w14:paraId="22FD8A69">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r>
                    <w:rPr>
                      <w:rFonts w:hint="eastAsia"/>
                      <w:color w:val="auto"/>
                      <w:highlight w:val="none"/>
                      <w:lang w:val="en-US" w:eastAsia="zh-CN"/>
                    </w:rPr>
                    <w:t>南侧</w:t>
                  </w:r>
                </w:p>
              </w:tc>
              <w:tc>
                <w:tcPr>
                  <w:tcW w:w="209" w:type="pct"/>
                  <w:tcBorders>
                    <w:tl2br w:val="nil"/>
                    <w:tr2bl w:val="nil"/>
                  </w:tcBorders>
                  <w:vAlign w:val="center"/>
                </w:tcPr>
                <w:p w14:paraId="07C7FFF2">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r>
                    <w:rPr>
                      <w:rFonts w:hint="eastAsia"/>
                      <w:color w:val="auto"/>
                      <w:highlight w:val="none"/>
                      <w:lang w:val="en-US" w:eastAsia="zh-CN"/>
                    </w:rPr>
                    <w:t>西侧</w:t>
                  </w:r>
                </w:p>
              </w:tc>
              <w:tc>
                <w:tcPr>
                  <w:tcW w:w="212" w:type="pct"/>
                  <w:tcBorders>
                    <w:tl2br w:val="nil"/>
                    <w:tr2bl w:val="nil"/>
                  </w:tcBorders>
                  <w:vAlign w:val="center"/>
                </w:tcPr>
                <w:p w14:paraId="45E54CC1">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r>
                    <w:rPr>
                      <w:rFonts w:hint="eastAsia"/>
                      <w:color w:val="auto"/>
                      <w:highlight w:val="none"/>
                      <w:lang w:val="en-US" w:eastAsia="zh-CN"/>
                    </w:rPr>
                    <w:t>北侧</w:t>
                  </w:r>
                </w:p>
              </w:tc>
              <w:tc>
                <w:tcPr>
                  <w:tcW w:w="327" w:type="pct"/>
                  <w:vMerge w:val="continue"/>
                  <w:tcBorders>
                    <w:tl2br w:val="nil"/>
                    <w:tr2bl w:val="nil"/>
                  </w:tcBorders>
                  <w:vAlign w:val="center"/>
                </w:tcPr>
                <w:p w14:paraId="23C4C3D0">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p>
              </w:tc>
            </w:tr>
            <w:tr w14:paraId="6838A0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2" w:type="pct"/>
                  <w:tcBorders>
                    <w:tl2br w:val="nil"/>
                    <w:tr2bl w:val="nil"/>
                  </w:tcBorders>
                  <w:vAlign w:val="center"/>
                </w:tcPr>
                <w:p w14:paraId="5DCEF138">
                  <w:pPr>
                    <w:keepNext w:val="0"/>
                    <w:keepLines w:val="0"/>
                    <w:pageBreakBefore w:val="0"/>
                    <w:widowControl w:val="0"/>
                    <w:kinsoku/>
                    <w:wordWrap/>
                    <w:overflowPunct/>
                    <w:topLinePunct w:val="0"/>
                    <w:autoSpaceDE/>
                    <w:autoSpaceDN/>
                    <w:bidi w:val="0"/>
                    <w:adjustRightInd/>
                    <w:snapToGrid/>
                    <w:spacing w:line="240" w:lineRule="auto"/>
                    <w:ind w:left="-63" w:leftChars="-30" w:right="-63" w:rightChars="-30"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1</w:t>
                  </w:r>
                </w:p>
              </w:tc>
              <w:tc>
                <w:tcPr>
                  <w:tcW w:w="143" w:type="pct"/>
                  <w:tcBorders>
                    <w:tl2br w:val="nil"/>
                    <w:tr2bl w:val="nil"/>
                  </w:tcBorders>
                  <w:vAlign w:val="center"/>
                </w:tcPr>
                <w:p w14:paraId="6B0DF484">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default"/>
                      <w:color w:val="auto"/>
                      <w:highlight w:val="none"/>
                      <w:lang w:val="en-US" w:eastAsia="zh-CN"/>
                    </w:rPr>
                  </w:pPr>
                  <w:r>
                    <w:rPr>
                      <w:rFonts w:hint="eastAsia"/>
                      <w:color w:val="auto"/>
                      <w:highlight w:val="none"/>
                      <w:lang w:val="en-US" w:eastAsia="zh-CN"/>
                    </w:rPr>
                    <w:t>犬住院室</w:t>
                  </w:r>
                </w:p>
              </w:tc>
              <w:tc>
                <w:tcPr>
                  <w:tcW w:w="160" w:type="pct"/>
                  <w:vMerge w:val="restart"/>
                  <w:tcBorders>
                    <w:tl2br w:val="nil"/>
                    <w:tr2bl w:val="nil"/>
                  </w:tcBorders>
                  <w:shd w:val="clear" w:color="auto" w:fill="auto"/>
                  <w:vAlign w:val="center"/>
                </w:tcPr>
                <w:p w14:paraId="3B7D0940">
                  <w:pPr>
                    <w:pStyle w:val="51"/>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宠物</w:t>
                  </w:r>
                </w:p>
                <w:p w14:paraId="40279F9D">
                  <w:pPr>
                    <w:pStyle w:val="51"/>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吼叫</w:t>
                  </w:r>
                </w:p>
              </w:tc>
              <w:tc>
                <w:tcPr>
                  <w:tcW w:w="315" w:type="pct"/>
                  <w:tcBorders>
                    <w:tl2br w:val="nil"/>
                    <w:tr2bl w:val="nil"/>
                  </w:tcBorders>
                  <w:vAlign w:val="center"/>
                </w:tcPr>
                <w:p w14:paraId="62065EA6">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firstLine="0" w:firstLineChars="0"/>
                    <w:jc w:val="center"/>
                    <w:textAlignment w:val="auto"/>
                    <w:rPr>
                      <w:rFonts w:hint="default" w:eastAsia="宋体"/>
                      <w:color w:val="auto"/>
                      <w:highlight w:val="none"/>
                      <w:lang w:val="en-US" w:eastAsia="zh-CN"/>
                    </w:rPr>
                  </w:pPr>
                  <w:r>
                    <w:rPr>
                      <w:rFonts w:hint="eastAsia"/>
                      <w:color w:val="auto"/>
                      <w:highlight w:val="none"/>
                      <w:lang w:val="en-US" w:eastAsia="zh-CN"/>
                    </w:rPr>
                    <w:t>70</w:t>
                  </w:r>
                  <w:r>
                    <w:rPr>
                      <w:rFonts w:hint="eastAsia" w:eastAsia="宋体"/>
                      <w:color w:val="auto"/>
                      <w:highlight w:val="none"/>
                      <w:lang w:val="en-US" w:eastAsia="zh-CN"/>
                    </w:rPr>
                    <w:t>/1</w:t>
                  </w:r>
                </w:p>
              </w:tc>
              <w:tc>
                <w:tcPr>
                  <w:tcW w:w="344" w:type="pct"/>
                  <w:vMerge w:val="restart"/>
                  <w:tcBorders>
                    <w:tl2br w:val="nil"/>
                    <w:tr2bl w:val="nil"/>
                  </w:tcBorders>
                  <w:vAlign w:val="center"/>
                </w:tcPr>
                <w:p w14:paraId="79C127CE">
                  <w:pPr>
                    <w:pStyle w:val="54"/>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rPr>
                      <w:rFonts w:hint="default"/>
                      <w:color w:val="auto"/>
                      <w:highlight w:val="none"/>
                      <w:lang w:val="en-US" w:eastAsia="zh-CN"/>
                    </w:rPr>
                  </w:pPr>
                  <w:r>
                    <w:rPr>
                      <w:rFonts w:hint="eastAsia"/>
                      <w:color w:val="auto"/>
                      <w:highlight w:val="none"/>
                      <w:lang w:val="en-US" w:eastAsia="zh-CN"/>
                    </w:rPr>
                    <w:t>建筑隔声、加强管理</w:t>
                  </w:r>
                </w:p>
              </w:tc>
              <w:tc>
                <w:tcPr>
                  <w:tcW w:w="191" w:type="pct"/>
                  <w:tcBorders>
                    <w:tl2br w:val="nil"/>
                    <w:tr2bl w:val="nil"/>
                  </w:tcBorders>
                  <w:vAlign w:val="center"/>
                </w:tcPr>
                <w:p w14:paraId="6B0B1451">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-3</w:t>
                  </w:r>
                </w:p>
              </w:tc>
              <w:tc>
                <w:tcPr>
                  <w:tcW w:w="132" w:type="pct"/>
                  <w:tcBorders>
                    <w:tl2br w:val="nil"/>
                    <w:tr2bl w:val="nil"/>
                  </w:tcBorders>
                  <w:vAlign w:val="center"/>
                </w:tcPr>
                <w:p w14:paraId="498470CD">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-3</w:t>
                  </w:r>
                </w:p>
              </w:tc>
              <w:tc>
                <w:tcPr>
                  <w:tcW w:w="132" w:type="pct"/>
                  <w:tcBorders>
                    <w:tl2br w:val="nil"/>
                    <w:tr2bl w:val="nil"/>
                  </w:tcBorders>
                  <w:vAlign w:val="center"/>
                </w:tcPr>
                <w:p w14:paraId="508762DE">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0.2</w:t>
                  </w:r>
                </w:p>
              </w:tc>
              <w:tc>
                <w:tcPr>
                  <w:tcW w:w="209" w:type="pct"/>
                  <w:tcBorders>
                    <w:tl2br w:val="nil"/>
                    <w:tr2bl w:val="nil"/>
                  </w:tcBorders>
                  <w:vAlign w:val="center"/>
                </w:tcPr>
                <w:p w14:paraId="3CBFF354">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5</w:t>
                  </w:r>
                </w:p>
              </w:tc>
              <w:tc>
                <w:tcPr>
                  <w:tcW w:w="209" w:type="pct"/>
                  <w:tcBorders>
                    <w:tl2br w:val="nil"/>
                    <w:tr2bl w:val="nil"/>
                  </w:tcBorders>
                  <w:vAlign w:val="center"/>
                </w:tcPr>
                <w:p w14:paraId="18F35B71">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2</w:t>
                  </w:r>
                </w:p>
              </w:tc>
              <w:tc>
                <w:tcPr>
                  <w:tcW w:w="209" w:type="pct"/>
                  <w:tcBorders>
                    <w:tl2br w:val="nil"/>
                    <w:tr2bl w:val="nil"/>
                  </w:tcBorders>
                  <w:vAlign w:val="center"/>
                </w:tcPr>
                <w:p w14:paraId="22F3D0F0">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1</w:t>
                  </w:r>
                </w:p>
              </w:tc>
              <w:tc>
                <w:tcPr>
                  <w:tcW w:w="209" w:type="pct"/>
                  <w:tcBorders>
                    <w:tl2br w:val="nil"/>
                    <w:tr2bl w:val="nil"/>
                  </w:tcBorders>
                  <w:vAlign w:val="center"/>
                </w:tcPr>
                <w:p w14:paraId="110BCFF8">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default"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9</w:t>
                  </w:r>
                </w:p>
              </w:tc>
              <w:tc>
                <w:tcPr>
                  <w:tcW w:w="209" w:type="pct"/>
                  <w:tcBorders>
                    <w:tl2br w:val="nil"/>
                    <w:tr2bl w:val="nil"/>
                  </w:tcBorders>
                  <w:shd w:val="clear" w:color="auto" w:fill="auto"/>
                  <w:vAlign w:val="bottom"/>
                </w:tcPr>
                <w:p w14:paraId="3EEF029A">
                  <w:pPr>
                    <w:bidi w:val="0"/>
                    <w:rPr>
                      <w:rFonts w:hint="default"/>
                      <w:color w:val="auto"/>
                      <w:lang w:val="en-US" w:eastAsia="zh-CN"/>
                    </w:rPr>
                  </w:pPr>
                  <w:r>
                    <w:rPr>
                      <w:rFonts w:hint="eastAsia"/>
                      <w:color w:val="auto"/>
                      <w:lang w:val="en-US" w:eastAsia="zh-CN"/>
                    </w:rPr>
                    <w:t xml:space="preserve">56.0 </w:t>
                  </w:r>
                </w:p>
              </w:tc>
              <w:tc>
                <w:tcPr>
                  <w:tcW w:w="209" w:type="pct"/>
                  <w:tcBorders>
                    <w:tl2br w:val="nil"/>
                    <w:tr2bl w:val="nil"/>
                  </w:tcBorders>
                  <w:shd w:val="clear" w:color="auto" w:fill="auto"/>
                  <w:vAlign w:val="bottom"/>
                </w:tcPr>
                <w:p w14:paraId="47C36FD8">
                  <w:pPr>
                    <w:bidi w:val="0"/>
                    <w:rPr>
                      <w:rFonts w:hint="default"/>
                      <w:color w:val="auto"/>
                      <w:lang w:val="en-US" w:eastAsia="zh-CN"/>
                    </w:rPr>
                  </w:pPr>
                  <w:r>
                    <w:rPr>
                      <w:rFonts w:hint="eastAsia"/>
                      <w:color w:val="auto"/>
                      <w:lang w:val="en-US" w:eastAsia="zh-CN"/>
                    </w:rPr>
                    <w:t xml:space="preserve">64.0 </w:t>
                  </w:r>
                </w:p>
              </w:tc>
              <w:tc>
                <w:tcPr>
                  <w:tcW w:w="209" w:type="pct"/>
                  <w:tcBorders>
                    <w:tl2br w:val="nil"/>
                    <w:tr2bl w:val="nil"/>
                  </w:tcBorders>
                  <w:shd w:val="clear" w:color="auto" w:fill="auto"/>
                  <w:vAlign w:val="bottom"/>
                </w:tcPr>
                <w:p w14:paraId="2327EDDB">
                  <w:pPr>
                    <w:bidi w:val="0"/>
                    <w:rPr>
                      <w:rFonts w:hint="default"/>
                      <w:color w:val="auto"/>
                      <w:lang w:val="en-US" w:eastAsia="zh-CN"/>
                    </w:rPr>
                  </w:pPr>
                  <w:r>
                    <w:rPr>
                      <w:rFonts w:hint="eastAsia"/>
                      <w:color w:val="auto"/>
                      <w:lang w:val="en-US" w:eastAsia="zh-CN"/>
                    </w:rPr>
                    <w:t xml:space="preserve">70.0 </w:t>
                  </w:r>
                </w:p>
              </w:tc>
              <w:tc>
                <w:tcPr>
                  <w:tcW w:w="209" w:type="pct"/>
                  <w:tcBorders>
                    <w:tl2br w:val="nil"/>
                    <w:tr2bl w:val="nil"/>
                  </w:tcBorders>
                  <w:shd w:val="clear" w:color="auto" w:fill="auto"/>
                  <w:vAlign w:val="bottom"/>
                </w:tcPr>
                <w:p w14:paraId="34161CE4">
                  <w:pPr>
                    <w:bidi w:val="0"/>
                    <w:rPr>
                      <w:rFonts w:hint="default"/>
                      <w:color w:val="auto"/>
                      <w:lang w:val="en-US" w:eastAsia="zh-CN"/>
                    </w:rPr>
                  </w:pPr>
                  <w:r>
                    <w:rPr>
                      <w:rFonts w:hint="eastAsia"/>
                      <w:color w:val="auto"/>
                      <w:lang w:val="en-US" w:eastAsia="zh-CN"/>
                    </w:rPr>
                    <w:t xml:space="preserve">50.9 </w:t>
                  </w:r>
                </w:p>
              </w:tc>
              <w:tc>
                <w:tcPr>
                  <w:tcW w:w="237" w:type="pct"/>
                  <w:vMerge w:val="restart"/>
                  <w:tcBorders>
                    <w:tl2br w:val="nil"/>
                    <w:tr2bl w:val="nil"/>
                  </w:tcBorders>
                  <w:vAlign w:val="center"/>
                </w:tcPr>
                <w:p w14:paraId="38EB66BA">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firstLine="0" w:firstLineChars="0"/>
                    <w:jc w:val="center"/>
                    <w:textAlignment w:val="auto"/>
                    <w:rPr>
                      <w:rFonts w:hint="eastAsia"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昼、</w:t>
                  </w:r>
                </w:p>
                <w:p w14:paraId="1BF4D151">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firstLine="0" w:firstLineChars="0"/>
                    <w:jc w:val="center"/>
                    <w:textAlignment w:val="auto"/>
                    <w:rPr>
                      <w:rFonts w:hint="eastAsia"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夜间</w:t>
                  </w:r>
                </w:p>
              </w:tc>
              <w:tc>
                <w:tcPr>
                  <w:tcW w:w="364" w:type="pct"/>
                  <w:tcBorders>
                    <w:tl2br w:val="nil"/>
                    <w:tr2bl w:val="nil"/>
                  </w:tcBorders>
                  <w:vAlign w:val="center"/>
                </w:tcPr>
                <w:p w14:paraId="66BA2E5E">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firstLine="0" w:firstLineChars="0"/>
                    <w:jc w:val="center"/>
                    <w:textAlignment w:val="auto"/>
                    <w:rPr>
                      <w:rFonts w:hint="default"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15</w:t>
                  </w:r>
                </w:p>
              </w:tc>
              <w:tc>
                <w:tcPr>
                  <w:tcW w:w="209" w:type="pct"/>
                  <w:tcBorders>
                    <w:tl2br w:val="nil"/>
                    <w:tr2bl w:val="nil"/>
                  </w:tcBorders>
                  <w:shd w:val="clear" w:color="auto" w:fill="auto"/>
                  <w:vAlign w:val="bottom"/>
                </w:tcPr>
                <w:p w14:paraId="188BCDB5">
                  <w:pPr>
                    <w:bidi w:val="0"/>
                    <w:jc w:val="center"/>
                    <w:rPr>
                      <w:rFonts w:hint="default"/>
                      <w:color w:val="auto"/>
                      <w:lang w:val="en-US" w:eastAsia="zh-CN"/>
                    </w:rPr>
                  </w:pPr>
                  <w:r>
                    <w:rPr>
                      <w:rFonts w:hint="eastAsia"/>
                      <w:color w:val="auto"/>
                      <w:lang w:val="en-US" w:eastAsia="zh-CN"/>
                    </w:rPr>
                    <w:t>35.0</w:t>
                  </w:r>
                </w:p>
              </w:tc>
              <w:tc>
                <w:tcPr>
                  <w:tcW w:w="209" w:type="pct"/>
                  <w:tcBorders>
                    <w:tl2br w:val="nil"/>
                    <w:tr2bl w:val="nil"/>
                  </w:tcBorders>
                  <w:shd w:val="clear" w:color="auto" w:fill="auto"/>
                  <w:vAlign w:val="bottom"/>
                </w:tcPr>
                <w:p w14:paraId="72C5CCC3">
                  <w:pPr>
                    <w:bidi w:val="0"/>
                    <w:jc w:val="center"/>
                    <w:rPr>
                      <w:rFonts w:hint="default"/>
                      <w:color w:val="auto"/>
                      <w:lang w:val="en-US" w:eastAsia="zh-CN"/>
                    </w:rPr>
                  </w:pPr>
                  <w:r>
                    <w:rPr>
                      <w:rFonts w:hint="eastAsia"/>
                      <w:color w:val="auto"/>
                      <w:lang w:val="en-US" w:eastAsia="zh-CN"/>
                    </w:rPr>
                    <w:t>43.0</w:t>
                  </w:r>
                </w:p>
              </w:tc>
              <w:tc>
                <w:tcPr>
                  <w:tcW w:w="209" w:type="pct"/>
                  <w:tcBorders>
                    <w:tl2br w:val="nil"/>
                    <w:tr2bl w:val="nil"/>
                  </w:tcBorders>
                  <w:shd w:val="clear" w:color="auto" w:fill="auto"/>
                  <w:vAlign w:val="bottom"/>
                </w:tcPr>
                <w:p w14:paraId="0EBF0530">
                  <w:pPr>
                    <w:bidi w:val="0"/>
                    <w:jc w:val="center"/>
                    <w:rPr>
                      <w:rFonts w:hint="default"/>
                      <w:color w:val="auto"/>
                      <w:lang w:val="en-US" w:eastAsia="zh-CN"/>
                    </w:rPr>
                  </w:pPr>
                  <w:r>
                    <w:rPr>
                      <w:rFonts w:hint="eastAsia"/>
                      <w:color w:val="auto"/>
                      <w:lang w:val="en-US" w:eastAsia="zh-CN"/>
                    </w:rPr>
                    <w:t>49.0</w:t>
                  </w:r>
                </w:p>
              </w:tc>
              <w:tc>
                <w:tcPr>
                  <w:tcW w:w="212" w:type="pct"/>
                  <w:tcBorders>
                    <w:tl2br w:val="nil"/>
                    <w:tr2bl w:val="nil"/>
                  </w:tcBorders>
                  <w:shd w:val="clear" w:color="auto" w:fill="auto"/>
                  <w:vAlign w:val="bottom"/>
                </w:tcPr>
                <w:p w14:paraId="22F0391A">
                  <w:pPr>
                    <w:bidi w:val="0"/>
                    <w:jc w:val="center"/>
                    <w:rPr>
                      <w:rFonts w:hint="default"/>
                      <w:color w:val="auto"/>
                      <w:lang w:val="en-US" w:eastAsia="zh-CN"/>
                    </w:rPr>
                  </w:pPr>
                  <w:r>
                    <w:rPr>
                      <w:rFonts w:hint="eastAsia"/>
                      <w:color w:val="auto"/>
                      <w:lang w:val="en-US" w:eastAsia="zh-CN"/>
                    </w:rPr>
                    <w:t>29.9</w:t>
                  </w:r>
                </w:p>
              </w:tc>
              <w:tc>
                <w:tcPr>
                  <w:tcW w:w="327" w:type="pct"/>
                  <w:tcBorders>
                    <w:tl2br w:val="nil"/>
                    <w:tr2bl w:val="nil"/>
                  </w:tcBorders>
                  <w:vAlign w:val="center"/>
                </w:tcPr>
                <w:p w14:paraId="24293C0C">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1</w:t>
                  </w:r>
                </w:p>
              </w:tc>
            </w:tr>
            <w:tr w14:paraId="62DD4C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2" w:type="pct"/>
                  <w:tcBorders>
                    <w:tl2br w:val="nil"/>
                    <w:tr2bl w:val="nil"/>
                  </w:tcBorders>
                  <w:vAlign w:val="center"/>
                </w:tcPr>
                <w:p w14:paraId="60DDEB5F">
                  <w:pPr>
                    <w:keepNext w:val="0"/>
                    <w:keepLines w:val="0"/>
                    <w:pageBreakBefore w:val="0"/>
                    <w:widowControl w:val="0"/>
                    <w:kinsoku/>
                    <w:wordWrap/>
                    <w:overflowPunct/>
                    <w:topLinePunct w:val="0"/>
                    <w:autoSpaceDE/>
                    <w:autoSpaceDN/>
                    <w:bidi w:val="0"/>
                    <w:adjustRightInd/>
                    <w:snapToGrid/>
                    <w:spacing w:line="240" w:lineRule="auto"/>
                    <w:ind w:left="-63" w:leftChars="-30" w:right="-63" w:rightChars="-3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2</w:t>
                  </w:r>
                </w:p>
              </w:tc>
              <w:tc>
                <w:tcPr>
                  <w:tcW w:w="143" w:type="pct"/>
                  <w:tcBorders>
                    <w:tl2br w:val="nil"/>
                    <w:tr2bl w:val="nil"/>
                  </w:tcBorders>
                  <w:vAlign w:val="center"/>
                </w:tcPr>
                <w:p w14:paraId="5B02EE6B">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default"/>
                      <w:color w:val="auto"/>
                      <w:highlight w:val="none"/>
                      <w:lang w:val="en-US" w:eastAsia="zh-CN"/>
                    </w:rPr>
                  </w:pPr>
                  <w:r>
                    <w:rPr>
                      <w:rFonts w:hint="eastAsia"/>
                      <w:color w:val="auto"/>
                      <w:highlight w:val="none"/>
                      <w:lang w:val="en-US" w:eastAsia="zh-CN"/>
                    </w:rPr>
                    <w:t>猫住院室</w:t>
                  </w:r>
                </w:p>
              </w:tc>
              <w:tc>
                <w:tcPr>
                  <w:tcW w:w="160" w:type="pct"/>
                  <w:vMerge w:val="continue"/>
                  <w:tcBorders>
                    <w:tl2br w:val="nil"/>
                    <w:tr2bl w:val="nil"/>
                  </w:tcBorders>
                  <w:shd w:val="clear" w:color="auto" w:fill="auto"/>
                  <w:vAlign w:val="center"/>
                </w:tcPr>
                <w:p w14:paraId="025ED5D0">
                  <w:pPr>
                    <w:pStyle w:val="51"/>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eastAsia" w:cs="Times New Roman"/>
                      <w:b w:val="0"/>
                      <w:bCs w:val="0"/>
                      <w:color w:val="auto"/>
                      <w:sz w:val="21"/>
                      <w:szCs w:val="21"/>
                      <w:highlight w:val="none"/>
                      <w:lang w:val="en-US" w:eastAsia="zh-CN"/>
                    </w:rPr>
                  </w:pPr>
                </w:p>
              </w:tc>
              <w:tc>
                <w:tcPr>
                  <w:tcW w:w="315" w:type="pct"/>
                  <w:tcBorders>
                    <w:tl2br w:val="nil"/>
                    <w:tr2bl w:val="nil"/>
                  </w:tcBorders>
                  <w:vAlign w:val="center"/>
                </w:tcPr>
                <w:p w14:paraId="4D96739E">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firstLine="0" w:firstLineChars="0"/>
                    <w:jc w:val="center"/>
                    <w:textAlignment w:val="auto"/>
                    <w:rPr>
                      <w:rFonts w:hint="eastAsia"/>
                      <w:color w:val="auto"/>
                      <w:highlight w:val="none"/>
                      <w:lang w:val="en-US" w:eastAsia="zh-CN"/>
                    </w:rPr>
                  </w:pPr>
                  <w:r>
                    <w:rPr>
                      <w:rFonts w:hint="eastAsia"/>
                      <w:color w:val="auto"/>
                      <w:highlight w:val="none"/>
                      <w:lang w:val="en-US" w:eastAsia="zh-CN"/>
                    </w:rPr>
                    <w:t>70</w:t>
                  </w:r>
                  <w:r>
                    <w:rPr>
                      <w:rFonts w:hint="eastAsia" w:eastAsia="宋体"/>
                      <w:color w:val="auto"/>
                      <w:highlight w:val="none"/>
                      <w:lang w:val="en-US" w:eastAsia="zh-CN"/>
                    </w:rPr>
                    <w:t>/1</w:t>
                  </w:r>
                </w:p>
              </w:tc>
              <w:tc>
                <w:tcPr>
                  <w:tcW w:w="344" w:type="pct"/>
                  <w:vMerge w:val="continue"/>
                  <w:tcBorders>
                    <w:tl2br w:val="nil"/>
                    <w:tr2bl w:val="nil"/>
                  </w:tcBorders>
                  <w:vAlign w:val="center"/>
                </w:tcPr>
                <w:p w14:paraId="07046693">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p>
              </w:tc>
              <w:tc>
                <w:tcPr>
                  <w:tcW w:w="191" w:type="pct"/>
                  <w:tcBorders>
                    <w:tl2br w:val="nil"/>
                    <w:tr2bl w:val="nil"/>
                  </w:tcBorders>
                  <w:vAlign w:val="center"/>
                </w:tcPr>
                <w:p w14:paraId="53D9FF1A">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2</w:t>
                  </w:r>
                </w:p>
              </w:tc>
              <w:tc>
                <w:tcPr>
                  <w:tcW w:w="132" w:type="pct"/>
                  <w:tcBorders>
                    <w:tl2br w:val="nil"/>
                    <w:tr2bl w:val="nil"/>
                  </w:tcBorders>
                  <w:vAlign w:val="center"/>
                </w:tcPr>
                <w:p w14:paraId="26ED8449">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1</w:t>
                  </w:r>
                </w:p>
              </w:tc>
              <w:tc>
                <w:tcPr>
                  <w:tcW w:w="132" w:type="pct"/>
                  <w:tcBorders>
                    <w:tl2br w:val="nil"/>
                    <w:tr2bl w:val="nil"/>
                  </w:tcBorders>
                  <w:vAlign w:val="center"/>
                </w:tcPr>
                <w:p w14:paraId="3B64FBE0">
                  <w:pPr>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0.2</w:t>
                  </w:r>
                </w:p>
              </w:tc>
              <w:tc>
                <w:tcPr>
                  <w:tcW w:w="209" w:type="pct"/>
                  <w:tcBorders>
                    <w:tl2br w:val="nil"/>
                    <w:tr2bl w:val="nil"/>
                  </w:tcBorders>
                  <w:vAlign w:val="center"/>
                </w:tcPr>
                <w:p w14:paraId="215FEA87">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1</w:t>
                  </w:r>
                </w:p>
              </w:tc>
              <w:tc>
                <w:tcPr>
                  <w:tcW w:w="209" w:type="pct"/>
                  <w:tcBorders>
                    <w:tl2br w:val="nil"/>
                    <w:tr2bl w:val="nil"/>
                  </w:tcBorders>
                  <w:vAlign w:val="center"/>
                </w:tcPr>
                <w:p w14:paraId="030161E9">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5</w:t>
                  </w:r>
                </w:p>
              </w:tc>
              <w:tc>
                <w:tcPr>
                  <w:tcW w:w="209" w:type="pct"/>
                  <w:tcBorders>
                    <w:tl2br w:val="nil"/>
                    <w:tr2bl w:val="nil"/>
                  </w:tcBorders>
                  <w:vAlign w:val="center"/>
                </w:tcPr>
                <w:p w14:paraId="1E8FB2F7">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6</w:t>
                  </w:r>
                </w:p>
              </w:tc>
              <w:tc>
                <w:tcPr>
                  <w:tcW w:w="209" w:type="pct"/>
                  <w:tcBorders>
                    <w:tl2br w:val="nil"/>
                    <w:tr2bl w:val="nil"/>
                  </w:tcBorders>
                  <w:vAlign w:val="center"/>
                </w:tcPr>
                <w:p w14:paraId="7A96A5CE">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default"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7</w:t>
                  </w:r>
                </w:p>
              </w:tc>
              <w:tc>
                <w:tcPr>
                  <w:tcW w:w="209" w:type="pct"/>
                  <w:tcBorders>
                    <w:tl2br w:val="nil"/>
                    <w:tr2bl w:val="nil"/>
                  </w:tcBorders>
                  <w:shd w:val="clear" w:color="auto" w:fill="auto"/>
                  <w:vAlign w:val="bottom"/>
                </w:tcPr>
                <w:p w14:paraId="04105B0A">
                  <w:pPr>
                    <w:bidi w:val="0"/>
                    <w:rPr>
                      <w:rFonts w:hint="default"/>
                      <w:color w:val="auto"/>
                      <w:lang w:val="en-US" w:eastAsia="zh-CN"/>
                    </w:rPr>
                  </w:pPr>
                  <w:r>
                    <w:rPr>
                      <w:rFonts w:hint="eastAsia"/>
                      <w:color w:val="auto"/>
                      <w:lang w:val="en-US" w:eastAsia="zh-CN"/>
                    </w:rPr>
                    <w:t xml:space="preserve">70.0 </w:t>
                  </w:r>
                </w:p>
              </w:tc>
              <w:tc>
                <w:tcPr>
                  <w:tcW w:w="209" w:type="pct"/>
                  <w:tcBorders>
                    <w:tl2br w:val="nil"/>
                    <w:tr2bl w:val="nil"/>
                  </w:tcBorders>
                  <w:shd w:val="clear" w:color="auto" w:fill="auto"/>
                  <w:vAlign w:val="bottom"/>
                </w:tcPr>
                <w:p w14:paraId="01AA35A4">
                  <w:pPr>
                    <w:bidi w:val="0"/>
                    <w:rPr>
                      <w:rFonts w:hint="default"/>
                      <w:color w:val="auto"/>
                      <w:lang w:val="en-US" w:eastAsia="zh-CN"/>
                    </w:rPr>
                  </w:pPr>
                  <w:r>
                    <w:rPr>
                      <w:rFonts w:hint="eastAsia"/>
                      <w:color w:val="auto"/>
                      <w:lang w:val="en-US" w:eastAsia="zh-CN"/>
                    </w:rPr>
                    <w:t xml:space="preserve">56.0 </w:t>
                  </w:r>
                </w:p>
              </w:tc>
              <w:tc>
                <w:tcPr>
                  <w:tcW w:w="209" w:type="pct"/>
                  <w:tcBorders>
                    <w:tl2br w:val="nil"/>
                    <w:tr2bl w:val="nil"/>
                  </w:tcBorders>
                  <w:shd w:val="clear" w:color="auto" w:fill="auto"/>
                  <w:vAlign w:val="bottom"/>
                </w:tcPr>
                <w:p w14:paraId="7E83ECB1">
                  <w:pPr>
                    <w:bidi w:val="0"/>
                    <w:rPr>
                      <w:rFonts w:hint="default"/>
                      <w:color w:val="auto"/>
                      <w:lang w:val="en-US" w:eastAsia="zh-CN"/>
                    </w:rPr>
                  </w:pPr>
                  <w:r>
                    <w:rPr>
                      <w:rFonts w:hint="eastAsia"/>
                      <w:color w:val="auto"/>
                      <w:lang w:val="en-US" w:eastAsia="zh-CN"/>
                    </w:rPr>
                    <w:t xml:space="preserve">54.4 </w:t>
                  </w:r>
                </w:p>
              </w:tc>
              <w:tc>
                <w:tcPr>
                  <w:tcW w:w="209" w:type="pct"/>
                  <w:tcBorders>
                    <w:tl2br w:val="nil"/>
                    <w:tr2bl w:val="nil"/>
                  </w:tcBorders>
                  <w:shd w:val="clear" w:color="auto" w:fill="auto"/>
                  <w:vAlign w:val="bottom"/>
                </w:tcPr>
                <w:p w14:paraId="2D6F68BC">
                  <w:pPr>
                    <w:bidi w:val="0"/>
                    <w:rPr>
                      <w:rFonts w:hint="default"/>
                      <w:color w:val="auto"/>
                      <w:lang w:val="en-US" w:eastAsia="zh-CN"/>
                    </w:rPr>
                  </w:pPr>
                  <w:r>
                    <w:rPr>
                      <w:rFonts w:hint="eastAsia"/>
                      <w:color w:val="auto"/>
                      <w:lang w:val="en-US" w:eastAsia="zh-CN"/>
                    </w:rPr>
                    <w:t xml:space="preserve">53.1 </w:t>
                  </w:r>
                </w:p>
              </w:tc>
              <w:tc>
                <w:tcPr>
                  <w:tcW w:w="237" w:type="pct"/>
                  <w:vMerge w:val="continue"/>
                  <w:tcBorders>
                    <w:tl2br w:val="nil"/>
                    <w:tr2bl w:val="nil"/>
                  </w:tcBorders>
                  <w:vAlign w:val="center"/>
                </w:tcPr>
                <w:p w14:paraId="7453FB6B">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firstLine="0" w:firstLineChars="0"/>
                    <w:jc w:val="center"/>
                    <w:textAlignment w:val="auto"/>
                    <w:rPr>
                      <w:rFonts w:hint="eastAsia" w:cs="Times New Roman"/>
                      <w:snapToGrid w:val="0"/>
                      <w:color w:val="auto"/>
                      <w:kern w:val="2"/>
                      <w:sz w:val="21"/>
                      <w:szCs w:val="21"/>
                      <w:highlight w:val="none"/>
                      <w:lang w:val="en-US" w:eastAsia="zh-CN" w:bidi="ar-SA"/>
                    </w:rPr>
                  </w:pPr>
                </w:p>
              </w:tc>
              <w:tc>
                <w:tcPr>
                  <w:tcW w:w="364" w:type="pct"/>
                  <w:tcBorders>
                    <w:tl2br w:val="nil"/>
                    <w:tr2bl w:val="nil"/>
                  </w:tcBorders>
                  <w:vAlign w:val="center"/>
                </w:tcPr>
                <w:p w14:paraId="28FEE63A">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firstLine="0" w:firstLineChars="0"/>
                    <w:jc w:val="center"/>
                    <w:textAlignment w:val="auto"/>
                    <w:rPr>
                      <w:rFonts w:hint="default"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15</w:t>
                  </w:r>
                </w:p>
              </w:tc>
              <w:tc>
                <w:tcPr>
                  <w:tcW w:w="209" w:type="pct"/>
                  <w:tcBorders>
                    <w:tl2br w:val="nil"/>
                    <w:tr2bl w:val="nil"/>
                  </w:tcBorders>
                  <w:shd w:val="clear" w:color="auto" w:fill="auto"/>
                  <w:vAlign w:val="bottom"/>
                </w:tcPr>
                <w:p w14:paraId="5847FA58">
                  <w:pPr>
                    <w:bidi w:val="0"/>
                    <w:jc w:val="center"/>
                    <w:rPr>
                      <w:rFonts w:hint="default"/>
                      <w:color w:val="auto"/>
                      <w:lang w:val="en-US" w:eastAsia="zh-CN"/>
                    </w:rPr>
                  </w:pPr>
                  <w:r>
                    <w:rPr>
                      <w:rFonts w:hint="eastAsia"/>
                      <w:color w:val="auto"/>
                      <w:lang w:val="en-US" w:eastAsia="zh-CN"/>
                    </w:rPr>
                    <w:t>49.0</w:t>
                  </w:r>
                </w:p>
              </w:tc>
              <w:tc>
                <w:tcPr>
                  <w:tcW w:w="209" w:type="pct"/>
                  <w:tcBorders>
                    <w:tl2br w:val="nil"/>
                    <w:tr2bl w:val="nil"/>
                  </w:tcBorders>
                  <w:shd w:val="clear" w:color="auto" w:fill="auto"/>
                  <w:vAlign w:val="bottom"/>
                </w:tcPr>
                <w:p w14:paraId="72015163">
                  <w:pPr>
                    <w:bidi w:val="0"/>
                    <w:jc w:val="center"/>
                    <w:rPr>
                      <w:rFonts w:hint="default"/>
                      <w:color w:val="auto"/>
                      <w:lang w:val="en-US" w:eastAsia="zh-CN"/>
                    </w:rPr>
                  </w:pPr>
                  <w:r>
                    <w:rPr>
                      <w:rFonts w:hint="eastAsia"/>
                      <w:color w:val="auto"/>
                      <w:lang w:val="en-US" w:eastAsia="zh-CN"/>
                    </w:rPr>
                    <w:t>35.0</w:t>
                  </w:r>
                </w:p>
              </w:tc>
              <w:tc>
                <w:tcPr>
                  <w:tcW w:w="209" w:type="pct"/>
                  <w:tcBorders>
                    <w:tl2br w:val="nil"/>
                    <w:tr2bl w:val="nil"/>
                  </w:tcBorders>
                  <w:shd w:val="clear" w:color="auto" w:fill="auto"/>
                  <w:vAlign w:val="bottom"/>
                </w:tcPr>
                <w:p w14:paraId="603349D7">
                  <w:pPr>
                    <w:bidi w:val="0"/>
                    <w:jc w:val="center"/>
                    <w:rPr>
                      <w:rFonts w:hint="default"/>
                      <w:color w:val="auto"/>
                      <w:lang w:val="en-US" w:eastAsia="zh-CN"/>
                    </w:rPr>
                  </w:pPr>
                  <w:r>
                    <w:rPr>
                      <w:rFonts w:hint="eastAsia"/>
                      <w:color w:val="auto"/>
                      <w:lang w:val="en-US" w:eastAsia="zh-CN"/>
                    </w:rPr>
                    <w:t>33.4</w:t>
                  </w:r>
                </w:p>
              </w:tc>
              <w:tc>
                <w:tcPr>
                  <w:tcW w:w="212" w:type="pct"/>
                  <w:tcBorders>
                    <w:tl2br w:val="nil"/>
                    <w:tr2bl w:val="nil"/>
                  </w:tcBorders>
                  <w:shd w:val="clear" w:color="auto" w:fill="auto"/>
                  <w:vAlign w:val="bottom"/>
                </w:tcPr>
                <w:p w14:paraId="7D735946">
                  <w:pPr>
                    <w:bidi w:val="0"/>
                    <w:jc w:val="center"/>
                    <w:rPr>
                      <w:rFonts w:hint="default"/>
                      <w:color w:val="auto"/>
                      <w:lang w:val="en-US" w:eastAsia="zh-CN"/>
                    </w:rPr>
                  </w:pPr>
                  <w:r>
                    <w:rPr>
                      <w:rFonts w:hint="eastAsia"/>
                      <w:color w:val="auto"/>
                      <w:lang w:val="en-US" w:eastAsia="zh-CN"/>
                    </w:rPr>
                    <w:t>32.1</w:t>
                  </w:r>
                </w:p>
              </w:tc>
              <w:tc>
                <w:tcPr>
                  <w:tcW w:w="327" w:type="pct"/>
                  <w:tcBorders>
                    <w:tl2br w:val="nil"/>
                    <w:tr2bl w:val="nil"/>
                  </w:tcBorders>
                  <w:vAlign w:val="center"/>
                </w:tcPr>
                <w:p w14:paraId="3A6ADA46">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default"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1</w:t>
                  </w:r>
                </w:p>
              </w:tc>
            </w:tr>
            <w:tr w14:paraId="76ACF3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2" w:type="pct"/>
                  <w:tcBorders>
                    <w:tl2br w:val="nil"/>
                    <w:tr2bl w:val="nil"/>
                  </w:tcBorders>
                  <w:vAlign w:val="center"/>
                </w:tcPr>
                <w:p w14:paraId="14965422">
                  <w:pPr>
                    <w:keepNext w:val="0"/>
                    <w:keepLines w:val="0"/>
                    <w:pageBreakBefore w:val="0"/>
                    <w:widowControl w:val="0"/>
                    <w:kinsoku/>
                    <w:wordWrap/>
                    <w:overflowPunct/>
                    <w:topLinePunct w:val="0"/>
                    <w:autoSpaceDE/>
                    <w:autoSpaceDN/>
                    <w:bidi w:val="0"/>
                    <w:adjustRightInd/>
                    <w:snapToGrid/>
                    <w:spacing w:line="240" w:lineRule="auto"/>
                    <w:ind w:left="-63" w:leftChars="-30" w:right="-63" w:rightChars="-3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3</w:t>
                  </w:r>
                </w:p>
              </w:tc>
              <w:tc>
                <w:tcPr>
                  <w:tcW w:w="143" w:type="pct"/>
                  <w:tcBorders>
                    <w:tl2br w:val="nil"/>
                    <w:tr2bl w:val="nil"/>
                  </w:tcBorders>
                  <w:vAlign w:val="center"/>
                </w:tcPr>
                <w:p w14:paraId="2F50DCE0">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default"/>
                      <w:color w:val="auto"/>
                      <w:highlight w:val="none"/>
                      <w:lang w:val="en-US" w:eastAsia="zh-CN"/>
                    </w:rPr>
                  </w:pPr>
                  <w:r>
                    <w:rPr>
                      <w:rFonts w:hint="eastAsia"/>
                      <w:color w:val="auto"/>
                      <w:highlight w:val="none"/>
                      <w:lang w:val="en-US" w:eastAsia="zh-CN"/>
                    </w:rPr>
                    <w:t>寄养室</w:t>
                  </w:r>
                </w:p>
              </w:tc>
              <w:tc>
                <w:tcPr>
                  <w:tcW w:w="160" w:type="pct"/>
                  <w:vMerge w:val="continue"/>
                  <w:tcBorders>
                    <w:tl2br w:val="nil"/>
                    <w:tr2bl w:val="nil"/>
                  </w:tcBorders>
                  <w:shd w:val="clear" w:color="auto" w:fill="auto"/>
                  <w:vAlign w:val="center"/>
                </w:tcPr>
                <w:p w14:paraId="7283F387">
                  <w:pPr>
                    <w:pStyle w:val="51"/>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eastAsia" w:cs="Times New Roman"/>
                      <w:b w:val="0"/>
                      <w:bCs w:val="0"/>
                      <w:color w:val="auto"/>
                      <w:sz w:val="21"/>
                      <w:szCs w:val="21"/>
                      <w:highlight w:val="none"/>
                      <w:lang w:val="en-US" w:eastAsia="zh-CN"/>
                    </w:rPr>
                  </w:pPr>
                </w:p>
              </w:tc>
              <w:tc>
                <w:tcPr>
                  <w:tcW w:w="315" w:type="pct"/>
                  <w:tcBorders>
                    <w:tl2br w:val="nil"/>
                    <w:tr2bl w:val="nil"/>
                  </w:tcBorders>
                  <w:vAlign w:val="center"/>
                </w:tcPr>
                <w:p w14:paraId="37B980DE">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firstLine="0" w:firstLineChars="0"/>
                    <w:jc w:val="center"/>
                    <w:textAlignment w:val="auto"/>
                    <w:rPr>
                      <w:rFonts w:hint="eastAsia"/>
                      <w:color w:val="auto"/>
                      <w:highlight w:val="none"/>
                      <w:lang w:val="en-US" w:eastAsia="zh-CN"/>
                    </w:rPr>
                  </w:pPr>
                  <w:r>
                    <w:rPr>
                      <w:rFonts w:hint="eastAsia"/>
                      <w:color w:val="auto"/>
                      <w:highlight w:val="none"/>
                      <w:lang w:val="en-US" w:eastAsia="zh-CN"/>
                    </w:rPr>
                    <w:t>70</w:t>
                  </w:r>
                  <w:r>
                    <w:rPr>
                      <w:rFonts w:hint="eastAsia" w:eastAsia="宋体"/>
                      <w:color w:val="auto"/>
                      <w:highlight w:val="none"/>
                      <w:lang w:val="en-US" w:eastAsia="zh-CN"/>
                    </w:rPr>
                    <w:t>/1</w:t>
                  </w:r>
                </w:p>
              </w:tc>
              <w:tc>
                <w:tcPr>
                  <w:tcW w:w="344" w:type="pct"/>
                  <w:vMerge w:val="continue"/>
                  <w:tcBorders>
                    <w:tl2br w:val="nil"/>
                    <w:tr2bl w:val="nil"/>
                  </w:tcBorders>
                  <w:vAlign w:val="center"/>
                </w:tcPr>
                <w:p w14:paraId="1EA92188">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p>
              </w:tc>
              <w:tc>
                <w:tcPr>
                  <w:tcW w:w="191" w:type="pct"/>
                  <w:tcBorders>
                    <w:tl2br w:val="nil"/>
                    <w:tr2bl w:val="nil"/>
                  </w:tcBorders>
                  <w:vAlign w:val="center"/>
                </w:tcPr>
                <w:p w14:paraId="610374E7">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firstLine="0" w:firstLineChars="0"/>
                    <w:jc w:val="center"/>
                    <w:textAlignment w:val="auto"/>
                    <w:rPr>
                      <w:rFonts w:hint="eastAsia"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-3</w:t>
                  </w:r>
                </w:p>
              </w:tc>
              <w:tc>
                <w:tcPr>
                  <w:tcW w:w="132" w:type="pct"/>
                  <w:tcBorders>
                    <w:tl2br w:val="nil"/>
                    <w:tr2bl w:val="nil"/>
                  </w:tcBorders>
                  <w:vAlign w:val="center"/>
                </w:tcPr>
                <w:p w14:paraId="01AA1F18">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firstLine="0" w:firstLineChars="0"/>
                    <w:jc w:val="center"/>
                    <w:textAlignment w:val="auto"/>
                    <w:rPr>
                      <w:rFonts w:hint="eastAsia"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0</w:t>
                  </w:r>
                </w:p>
              </w:tc>
              <w:tc>
                <w:tcPr>
                  <w:tcW w:w="132" w:type="pct"/>
                  <w:tcBorders>
                    <w:tl2br w:val="nil"/>
                    <w:tr2bl w:val="nil"/>
                  </w:tcBorders>
                  <w:vAlign w:val="center"/>
                </w:tcPr>
                <w:p w14:paraId="20A78919">
                  <w:pPr>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0.2</w:t>
                  </w:r>
                </w:p>
              </w:tc>
              <w:tc>
                <w:tcPr>
                  <w:tcW w:w="209" w:type="pct"/>
                  <w:tcBorders>
                    <w:tl2br w:val="nil"/>
                    <w:tr2bl w:val="nil"/>
                  </w:tcBorders>
                  <w:vAlign w:val="center"/>
                </w:tcPr>
                <w:p w14:paraId="111C8E31">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5</w:t>
                  </w:r>
                </w:p>
              </w:tc>
              <w:tc>
                <w:tcPr>
                  <w:tcW w:w="209" w:type="pct"/>
                  <w:tcBorders>
                    <w:tl2br w:val="nil"/>
                    <w:tr2bl w:val="nil"/>
                  </w:tcBorders>
                  <w:vAlign w:val="center"/>
                </w:tcPr>
                <w:p w14:paraId="375C53A6">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4</w:t>
                  </w:r>
                </w:p>
              </w:tc>
              <w:tc>
                <w:tcPr>
                  <w:tcW w:w="209" w:type="pct"/>
                  <w:tcBorders>
                    <w:tl2br w:val="nil"/>
                    <w:tr2bl w:val="nil"/>
                  </w:tcBorders>
                  <w:vAlign w:val="center"/>
                </w:tcPr>
                <w:p w14:paraId="19305E1C">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1</w:t>
                  </w:r>
                </w:p>
              </w:tc>
              <w:tc>
                <w:tcPr>
                  <w:tcW w:w="209" w:type="pct"/>
                  <w:tcBorders>
                    <w:tl2br w:val="nil"/>
                    <w:tr2bl w:val="nil"/>
                  </w:tcBorders>
                  <w:vAlign w:val="center"/>
                </w:tcPr>
                <w:p w14:paraId="4ED3692D">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default"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7</w:t>
                  </w:r>
                </w:p>
              </w:tc>
              <w:tc>
                <w:tcPr>
                  <w:tcW w:w="209" w:type="pct"/>
                  <w:tcBorders>
                    <w:tl2br w:val="nil"/>
                    <w:tr2bl w:val="nil"/>
                  </w:tcBorders>
                  <w:shd w:val="clear" w:color="auto" w:fill="auto"/>
                  <w:vAlign w:val="bottom"/>
                </w:tcPr>
                <w:p w14:paraId="017B8884">
                  <w:pPr>
                    <w:bidi w:val="0"/>
                    <w:rPr>
                      <w:rFonts w:hint="eastAsia"/>
                      <w:color w:val="auto"/>
                      <w:lang w:val="en-US" w:eastAsia="zh-CN"/>
                    </w:rPr>
                  </w:pPr>
                  <w:r>
                    <w:rPr>
                      <w:rFonts w:hint="eastAsia"/>
                      <w:color w:val="auto"/>
                      <w:lang w:val="en-US" w:eastAsia="zh-CN"/>
                    </w:rPr>
                    <w:t xml:space="preserve">56.0 </w:t>
                  </w:r>
                </w:p>
              </w:tc>
              <w:tc>
                <w:tcPr>
                  <w:tcW w:w="209" w:type="pct"/>
                  <w:tcBorders>
                    <w:tl2br w:val="nil"/>
                    <w:tr2bl w:val="nil"/>
                  </w:tcBorders>
                  <w:shd w:val="clear" w:color="auto" w:fill="auto"/>
                  <w:vAlign w:val="bottom"/>
                </w:tcPr>
                <w:p w14:paraId="499E6C8D">
                  <w:pPr>
                    <w:bidi w:val="0"/>
                    <w:rPr>
                      <w:rFonts w:hint="eastAsia"/>
                      <w:color w:val="auto"/>
                      <w:lang w:val="en-US" w:eastAsia="zh-CN"/>
                    </w:rPr>
                  </w:pPr>
                  <w:r>
                    <w:rPr>
                      <w:rFonts w:hint="eastAsia"/>
                      <w:color w:val="auto"/>
                      <w:lang w:val="en-US" w:eastAsia="zh-CN"/>
                    </w:rPr>
                    <w:t xml:space="preserve">58.0 </w:t>
                  </w:r>
                </w:p>
              </w:tc>
              <w:tc>
                <w:tcPr>
                  <w:tcW w:w="209" w:type="pct"/>
                  <w:tcBorders>
                    <w:tl2br w:val="nil"/>
                    <w:tr2bl w:val="nil"/>
                  </w:tcBorders>
                  <w:shd w:val="clear" w:color="auto" w:fill="auto"/>
                  <w:vAlign w:val="bottom"/>
                </w:tcPr>
                <w:p w14:paraId="2128CA66">
                  <w:pPr>
                    <w:bidi w:val="0"/>
                    <w:rPr>
                      <w:rFonts w:hint="eastAsia"/>
                      <w:color w:val="auto"/>
                      <w:lang w:val="en-US" w:eastAsia="zh-CN"/>
                    </w:rPr>
                  </w:pPr>
                  <w:r>
                    <w:rPr>
                      <w:rFonts w:hint="eastAsia"/>
                      <w:color w:val="auto"/>
                      <w:lang w:val="en-US" w:eastAsia="zh-CN"/>
                    </w:rPr>
                    <w:t xml:space="preserve">70.0 </w:t>
                  </w:r>
                </w:p>
              </w:tc>
              <w:tc>
                <w:tcPr>
                  <w:tcW w:w="209" w:type="pct"/>
                  <w:tcBorders>
                    <w:tl2br w:val="nil"/>
                    <w:tr2bl w:val="nil"/>
                  </w:tcBorders>
                  <w:shd w:val="clear" w:color="auto" w:fill="auto"/>
                  <w:vAlign w:val="bottom"/>
                </w:tcPr>
                <w:p w14:paraId="04B37450">
                  <w:pPr>
                    <w:bidi w:val="0"/>
                    <w:rPr>
                      <w:rFonts w:hint="eastAsia"/>
                      <w:color w:val="auto"/>
                      <w:lang w:val="en-US" w:eastAsia="zh-CN"/>
                    </w:rPr>
                  </w:pPr>
                  <w:r>
                    <w:rPr>
                      <w:rFonts w:hint="eastAsia"/>
                      <w:color w:val="auto"/>
                      <w:lang w:val="en-US" w:eastAsia="zh-CN"/>
                    </w:rPr>
                    <w:t xml:space="preserve">53.1 </w:t>
                  </w:r>
                </w:p>
              </w:tc>
              <w:tc>
                <w:tcPr>
                  <w:tcW w:w="237" w:type="pct"/>
                  <w:vMerge w:val="continue"/>
                  <w:tcBorders>
                    <w:tl2br w:val="nil"/>
                    <w:tr2bl w:val="nil"/>
                  </w:tcBorders>
                  <w:vAlign w:val="center"/>
                </w:tcPr>
                <w:p w14:paraId="02D5AD49">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firstLine="0" w:firstLineChars="0"/>
                    <w:jc w:val="center"/>
                    <w:textAlignment w:val="auto"/>
                    <w:rPr>
                      <w:rFonts w:hint="eastAsia" w:cs="Times New Roman"/>
                      <w:snapToGrid w:val="0"/>
                      <w:color w:val="auto"/>
                      <w:kern w:val="2"/>
                      <w:sz w:val="21"/>
                      <w:szCs w:val="21"/>
                      <w:highlight w:val="none"/>
                      <w:lang w:val="en-US" w:eastAsia="zh-CN" w:bidi="ar-SA"/>
                    </w:rPr>
                  </w:pPr>
                </w:p>
              </w:tc>
              <w:tc>
                <w:tcPr>
                  <w:tcW w:w="364" w:type="pct"/>
                  <w:tcBorders>
                    <w:tl2br w:val="nil"/>
                    <w:tr2bl w:val="nil"/>
                  </w:tcBorders>
                  <w:vAlign w:val="center"/>
                </w:tcPr>
                <w:p w14:paraId="6BD0BB34">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firstLine="0" w:firstLineChars="0"/>
                    <w:jc w:val="center"/>
                    <w:textAlignment w:val="auto"/>
                    <w:rPr>
                      <w:rFonts w:hint="eastAsia"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15</w:t>
                  </w:r>
                </w:p>
              </w:tc>
              <w:tc>
                <w:tcPr>
                  <w:tcW w:w="209" w:type="pct"/>
                  <w:tcBorders>
                    <w:tl2br w:val="nil"/>
                    <w:tr2bl w:val="nil"/>
                  </w:tcBorders>
                  <w:shd w:val="clear" w:color="auto" w:fill="auto"/>
                  <w:vAlign w:val="bottom"/>
                </w:tcPr>
                <w:p w14:paraId="339781B4">
                  <w:pPr>
                    <w:bidi w:val="0"/>
                    <w:jc w:val="center"/>
                    <w:rPr>
                      <w:rFonts w:hint="eastAsia"/>
                      <w:color w:val="auto"/>
                      <w:lang w:val="en-US" w:eastAsia="zh-CN"/>
                    </w:rPr>
                  </w:pPr>
                  <w:r>
                    <w:rPr>
                      <w:rFonts w:hint="eastAsia"/>
                      <w:color w:val="auto"/>
                      <w:lang w:val="en-US" w:eastAsia="zh-CN"/>
                    </w:rPr>
                    <w:t>35.0</w:t>
                  </w:r>
                </w:p>
              </w:tc>
              <w:tc>
                <w:tcPr>
                  <w:tcW w:w="209" w:type="pct"/>
                  <w:tcBorders>
                    <w:tl2br w:val="nil"/>
                    <w:tr2bl w:val="nil"/>
                  </w:tcBorders>
                  <w:shd w:val="clear" w:color="auto" w:fill="auto"/>
                  <w:vAlign w:val="bottom"/>
                </w:tcPr>
                <w:p w14:paraId="561FBDF8">
                  <w:pPr>
                    <w:bidi w:val="0"/>
                    <w:jc w:val="center"/>
                    <w:rPr>
                      <w:rFonts w:hint="eastAsia"/>
                      <w:color w:val="auto"/>
                      <w:lang w:val="en-US" w:eastAsia="zh-CN"/>
                    </w:rPr>
                  </w:pPr>
                  <w:r>
                    <w:rPr>
                      <w:rFonts w:hint="eastAsia"/>
                      <w:color w:val="auto"/>
                      <w:lang w:val="en-US" w:eastAsia="zh-CN"/>
                    </w:rPr>
                    <w:t>37.0</w:t>
                  </w:r>
                </w:p>
              </w:tc>
              <w:tc>
                <w:tcPr>
                  <w:tcW w:w="209" w:type="pct"/>
                  <w:tcBorders>
                    <w:tl2br w:val="nil"/>
                    <w:tr2bl w:val="nil"/>
                  </w:tcBorders>
                  <w:shd w:val="clear" w:color="auto" w:fill="auto"/>
                  <w:vAlign w:val="bottom"/>
                </w:tcPr>
                <w:p w14:paraId="6D843F22">
                  <w:pPr>
                    <w:bidi w:val="0"/>
                    <w:jc w:val="center"/>
                    <w:rPr>
                      <w:rFonts w:hint="eastAsia"/>
                      <w:color w:val="auto"/>
                      <w:lang w:val="en-US" w:eastAsia="zh-CN"/>
                    </w:rPr>
                  </w:pPr>
                  <w:r>
                    <w:rPr>
                      <w:rFonts w:hint="eastAsia"/>
                      <w:color w:val="auto"/>
                      <w:lang w:val="en-US" w:eastAsia="zh-CN"/>
                    </w:rPr>
                    <w:t>49.0</w:t>
                  </w:r>
                </w:p>
              </w:tc>
              <w:tc>
                <w:tcPr>
                  <w:tcW w:w="212" w:type="pct"/>
                  <w:tcBorders>
                    <w:tl2br w:val="nil"/>
                    <w:tr2bl w:val="nil"/>
                  </w:tcBorders>
                  <w:shd w:val="clear" w:color="auto" w:fill="auto"/>
                  <w:vAlign w:val="bottom"/>
                </w:tcPr>
                <w:p w14:paraId="6934C3D1">
                  <w:pPr>
                    <w:bidi w:val="0"/>
                    <w:jc w:val="center"/>
                    <w:rPr>
                      <w:rFonts w:hint="eastAsia"/>
                      <w:color w:val="auto"/>
                      <w:lang w:val="en-US" w:eastAsia="zh-CN"/>
                    </w:rPr>
                  </w:pPr>
                  <w:r>
                    <w:rPr>
                      <w:rFonts w:hint="eastAsia"/>
                      <w:color w:val="auto"/>
                      <w:lang w:val="en-US" w:eastAsia="zh-CN"/>
                    </w:rPr>
                    <w:t>32.1</w:t>
                  </w:r>
                </w:p>
              </w:tc>
              <w:tc>
                <w:tcPr>
                  <w:tcW w:w="327" w:type="pct"/>
                  <w:tcBorders>
                    <w:tl2br w:val="nil"/>
                    <w:tr2bl w:val="nil"/>
                  </w:tcBorders>
                  <w:vAlign w:val="center"/>
                </w:tcPr>
                <w:p w14:paraId="69509384">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1</w:t>
                  </w:r>
                </w:p>
              </w:tc>
            </w:tr>
            <w:tr w14:paraId="2A128E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23"/>
                  <w:tcBorders>
                    <w:tl2br w:val="nil"/>
                    <w:tr2bl w:val="nil"/>
                  </w:tcBorders>
                  <w:vAlign w:val="center"/>
                </w:tcPr>
                <w:p w14:paraId="3CAEA6BF">
                  <w:pPr>
                    <w:pStyle w:val="54"/>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both"/>
                    <w:textAlignment w:val="auto"/>
                    <w:rPr>
                      <w:rFonts w:hint="default"/>
                      <w:color w:val="auto"/>
                      <w:highlight w:val="none"/>
                      <w:lang w:val="en-US" w:eastAsia="zh-CN"/>
                    </w:rPr>
                  </w:pPr>
                  <w:r>
                    <w:rPr>
                      <w:rFonts w:hint="default" w:ascii="Times New Roman" w:hAnsi="Times New Roman" w:cs="Times New Roman"/>
                      <w:b w:val="0"/>
                      <w:bCs/>
                      <w:color w:val="auto"/>
                      <w:kern w:val="0"/>
                      <w:sz w:val="21"/>
                      <w:szCs w:val="21"/>
                      <w:highlight w:val="none"/>
                      <w:vertAlign w:val="baseline"/>
                      <w:lang w:eastAsia="zh-CN"/>
                    </w:rPr>
                    <w:t>注：（</w:t>
                  </w:r>
                  <w:r>
                    <w:rPr>
                      <w:rFonts w:hint="default" w:ascii="Times New Roman" w:hAnsi="Times New Roman" w:cs="Times New Roman"/>
                      <w:b w:val="0"/>
                      <w:bCs/>
                      <w:color w:val="auto"/>
                      <w:kern w:val="0"/>
                      <w:sz w:val="21"/>
                      <w:szCs w:val="21"/>
                      <w:highlight w:val="none"/>
                      <w:vertAlign w:val="baseline"/>
                      <w:lang w:val="en-US" w:eastAsia="zh-CN"/>
                    </w:rPr>
                    <w:t>0，0，0</w:t>
                  </w:r>
                  <w:r>
                    <w:rPr>
                      <w:rFonts w:hint="default" w:ascii="Times New Roman" w:hAnsi="Times New Roman" w:cs="Times New Roman"/>
                      <w:b w:val="0"/>
                      <w:bCs/>
                      <w:color w:val="auto"/>
                      <w:kern w:val="0"/>
                      <w:sz w:val="21"/>
                      <w:szCs w:val="21"/>
                      <w:highlight w:val="none"/>
                      <w:vertAlign w:val="baseline"/>
                      <w:lang w:eastAsia="zh-CN"/>
                    </w:rPr>
                    <w:t>）点为项目</w:t>
                  </w:r>
                  <w:r>
                    <w:rPr>
                      <w:rFonts w:hint="eastAsia" w:cs="Times New Roman"/>
                      <w:b w:val="0"/>
                      <w:bCs/>
                      <w:color w:val="auto"/>
                      <w:kern w:val="0"/>
                      <w:sz w:val="21"/>
                      <w:szCs w:val="21"/>
                      <w:highlight w:val="none"/>
                      <w:vertAlign w:val="baseline"/>
                      <w:lang w:val="en-US" w:eastAsia="zh-CN"/>
                    </w:rPr>
                    <w:t>中心</w:t>
                  </w:r>
                  <w:r>
                    <w:rPr>
                      <w:rFonts w:hint="eastAsia" w:cs="Times New Roman"/>
                      <w:b w:val="0"/>
                      <w:bCs/>
                      <w:color w:val="auto"/>
                      <w:kern w:val="0"/>
                      <w:sz w:val="21"/>
                      <w:szCs w:val="21"/>
                      <w:highlight w:val="none"/>
                      <w:vertAlign w:val="baseline"/>
                      <w:lang w:eastAsia="zh-CN"/>
                    </w:rPr>
                    <w:t>；</w:t>
                  </w:r>
                  <w:r>
                    <w:rPr>
                      <w:rFonts w:hint="default" w:ascii="Times New Roman" w:hAnsi="Times New Roman" w:cs="Times New Roman"/>
                      <w:b w:val="0"/>
                      <w:bCs/>
                      <w:color w:val="auto"/>
                      <w:kern w:val="0"/>
                      <w:sz w:val="21"/>
                      <w:szCs w:val="21"/>
                      <w:highlight w:val="none"/>
                      <w:vertAlign w:val="baseline"/>
                      <w:lang w:eastAsia="zh-CN"/>
                    </w:rPr>
                    <w:t>东西方向为X轴，南北方向为Y轴。项目</w:t>
                  </w:r>
                  <w:r>
                    <w:rPr>
                      <w:rFonts w:hint="eastAsia" w:cs="Times New Roman"/>
                      <w:b w:val="0"/>
                      <w:bCs/>
                      <w:color w:val="auto"/>
                      <w:kern w:val="0"/>
                      <w:sz w:val="21"/>
                      <w:szCs w:val="21"/>
                      <w:highlight w:val="none"/>
                      <w:vertAlign w:val="baseline"/>
                      <w:lang w:val="en-US" w:eastAsia="zh-CN"/>
                    </w:rPr>
                    <w:t>南侧、东侧、西侧</w:t>
                  </w:r>
                  <w:r>
                    <w:rPr>
                      <w:rFonts w:hint="eastAsia" w:cs="Times New Roman"/>
                      <w:b w:val="0"/>
                      <w:bCs/>
                      <w:color w:val="auto"/>
                      <w:kern w:val="0"/>
                      <w:sz w:val="21"/>
                      <w:szCs w:val="21"/>
                      <w:highlight w:val="none"/>
                      <w:vertAlign w:val="baseline"/>
                      <w:lang w:eastAsia="zh-CN"/>
                    </w:rPr>
                    <w:t>场界</w:t>
                  </w:r>
                  <w:r>
                    <w:rPr>
                      <w:rFonts w:hint="default" w:ascii="Times New Roman" w:hAnsi="Times New Roman" w:cs="Times New Roman"/>
                      <w:b w:val="0"/>
                      <w:bCs/>
                      <w:color w:val="auto"/>
                      <w:kern w:val="0"/>
                      <w:sz w:val="21"/>
                      <w:szCs w:val="21"/>
                      <w:highlight w:val="none"/>
                      <w:vertAlign w:val="baseline"/>
                      <w:lang w:eastAsia="zh-CN"/>
                    </w:rPr>
                    <w:t>与隔壁商户共用</w:t>
                  </w:r>
                  <w:r>
                    <w:rPr>
                      <w:rFonts w:hint="eastAsia" w:cs="Times New Roman"/>
                      <w:b w:val="0"/>
                      <w:bCs/>
                      <w:color w:val="auto"/>
                      <w:kern w:val="0"/>
                      <w:sz w:val="21"/>
                      <w:szCs w:val="21"/>
                      <w:highlight w:val="none"/>
                      <w:vertAlign w:val="baseline"/>
                      <w:lang w:val="en-US" w:eastAsia="zh-CN"/>
                    </w:rPr>
                    <w:t>隔墙</w:t>
                  </w:r>
                  <w:r>
                    <w:rPr>
                      <w:rFonts w:hint="default" w:ascii="Times New Roman" w:hAnsi="Times New Roman" w:cs="Times New Roman"/>
                      <w:b w:val="0"/>
                      <w:bCs/>
                      <w:color w:val="auto"/>
                      <w:kern w:val="0"/>
                      <w:sz w:val="21"/>
                      <w:szCs w:val="21"/>
                      <w:highlight w:val="none"/>
                      <w:vertAlign w:val="baseline"/>
                      <w:lang w:eastAsia="zh-CN"/>
                    </w:rPr>
                    <w:t>，因此本评价不对项目</w:t>
                  </w:r>
                  <w:r>
                    <w:rPr>
                      <w:rFonts w:hint="eastAsia" w:cs="Times New Roman"/>
                      <w:b w:val="0"/>
                      <w:bCs/>
                      <w:color w:val="auto"/>
                      <w:kern w:val="0"/>
                      <w:sz w:val="21"/>
                      <w:szCs w:val="21"/>
                      <w:highlight w:val="none"/>
                      <w:vertAlign w:val="baseline"/>
                      <w:lang w:val="en-US" w:eastAsia="zh-CN"/>
                    </w:rPr>
                    <w:t>南侧、西</w:t>
                  </w:r>
                  <w:r>
                    <w:rPr>
                      <w:rFonts w:hint="default" w:ascii="Times New Roman" w:hAnsi="Times New Roman" w:cs="Times New Roman"/>
                      <w:b w:val="0"/>
                      <w:bCs/>
                      <w:color w:val="auto"/>
                      <w:kern w:val="0"/>
                      <w:sz w:val="21"/>
                      <w:szCs w:val="21"/>
                      <w:highlight w:val="none"/>
                      <w:vertAlign w:val="baseline"/>
                      <w:lang w:eastAsia="zh-CN"/>
                    </w:rPr>
                    <w:t>侧</w:t>
                  </w:r>
                  <w:r>
                    <w:rPr>
                      <w:rFonts w:hint="eastAsia" w:cs="Times New Roman"/>
                      <w:b w:val="0"/>
                      <w:bCs/>
                      <w:color w:val="auto"/>
                      <w:kern w:val="0"/>
                      <w:sz w:val="21"/>
                      <w:szCs w:val="21"/>
                      <w:highlight w:val="none"/>
                      <w:vertAlign w:val="baseline"/>
                      <w:lang w:eastAsia="zh-CN"/>
                    </w:rPr>
                    <w:t>、</w:t>
                  </w:r>
                  <w:r>
                    <w:rPr>
                      <w:rFonts w:hint="eastAsia" w:cs="Times New Roman"/>
                      <w:b w:val="0"/>
                      <w:bCs/>
                      <w:color w:val="auto"/>
                      <w:kern w:val="0"/>
                      <w:sz w:val="21"/>
                      <w:szCs w:val="21"/>
                      <w:highlight w:val="none"/>
                      <w:vertAlign w:val="baseline"/>
                      <w:lang w:val="en-US" w:eastAsia="zh-CN"/>
                    </w:rPr>
                    <w:t>东侧</w:t>
                  </w:r>
                  <w:r>
                    <w:rPr>
                      <w:rFonts w:hint="eastAsia" w:cs="Times New Roman"/>
                      <w:b w:val="0"/>
                      <w:bCs/>
                      <w:color w:val="auto"/>
                      <w:kern w:val="0"/>
                      <w:sz w:val="21"/>
                      <w:szCs w:val="21"/>
                      <w:highlight w:val="none"/>
                      <w:vertAlign w:val="baseline"/>
                      <w:lang w:eastAsia="zh-CN"/>
                    </w:rPr>
                    <w:t>场界</w:t>
                  </w:r>
                  <w:r>
                    <w:rPr>
                      <w:rFonts w:hint="default" w:ascii="Times New Roman" w:hAnsi="Times New Roman" w:cs="Times New Roman"/>
                      <w:b w:val="0"/>
                      <w:bCs/>
                      <w:color w:val="auto"/>
                      <w:kern w:val="0"/>
                      <w:sz w:val="21"/>
                      <w:szCs w:val="21"/>
                      <w:highlight w:val="none"/>
                      <w:vertAlign w:val="baseline"/>
                      <w:lang w:eastAsia="zh-CN"/>
                    </w:rPr>
                    <w:t>进行预测。</w:t>
                  </w:r>
                </w:p>
              </w:tc>
            </w:tr>
          </w:tbl>
          <w:p w14:paraId="3FC7373D">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cs="Times New Roman"/>
                <w:b/>
                <w:bCs w:val="0"/>
                <w:color w:val="auto"/>
                <w:kern w:val="0"/>
                <w:sz w:val="24"/>
                <w:szCs w:val="24"/>
                <w:highlight w:val="none"/>
                <w:vertAlign w:val="baseline"/>
                <w:lang w:eastAsia="zh-CN"/>
              </w:rPr>
            </w:pPr>
            <w:r>
              <w:rPr>
                <w:rFonts w:hint="default" w:ascii="Times New Roman" w:hAnsi="Times New Roman" w:cs="Times New Roman"/>
                <w:b/>
                <w:bCs w:val="0"/>
                <w:color w:val="auto"/>
                <w:kern w:val="0"/>
                <w:sz w:val="24"/>
                <w:szCs w:val="24"/>
                <w:highlight w:val="none"/>
                <w:vertAlign w:val="baseline"/>
                <w:lang w:eastAsia="zh-CN"/>
              </w:rPr>
              <w:t>4.2.3.2 噪声预测</w:t>
            </w:r>
          </w:p>
          <w:p w14:paraId="1CDE790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预测方法和模式</w:t>
            </w:r>
            <w:r>
              <w:rPr>
                <w:rFonts w:hint="default" w:ascii="Times New Roman" w:hAnsi="Times New Roman" w:cs="Times New Roman"/>
                <w:b w:val="0"/>
                <w:bCs/>
                <w:color w:val="auto"/>
                <w:sz w:val="24"/>
                <w:szCs w:val="24"/>
                <w:highlight w:val="none"/>
                <w:lang w:val="en-US" w:eastAsia="zh-CN"/>
              </w:rPr>
              <w:t>：</w:t>
            </w:r>
          </w:p>
          <w:p w14:paraId="2D4178DC">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w:t>
            </w:r>
            <w:r>
              <w:rPr>
                <w:rStyle w:val="23"/>
                <w:rFonts w:hint="default" w:ascii="Times New Roman" w:hAnsi="Times New Roman" w:cs="Times New Roman"/>
                <w:b w:val="0"/>
                <w:color w:val="auto"/>
                <w:sz w:val="24"/>
                <w:highlight w:val="none"/>
              </w:rPr>
              <w:t>《环境影响评价技术导则—声环境》HJ2.4-2021，本项目采用预测模式如下：</w:t>
            </w:r>
          </w:p>
          <w:p w14:paraId="6EDDF367">
            <w:pPr>
              <w:spacing w:line="360" w:lineRule="auto"/>
              <w:ind w:firstLine="480" w:firstLineChars="200"/>
              <w:rPr>
                <w:rFonts w:hint="default" w:ascii="Times New Roman" w:hAnsi="Times New Roman" w:cs="Times New Roman"/>
                <w:color w:val="auto"/>
                <w:sz w:val="24"/>
                <w:highlight w:val="none"/>
              </w:rPr>
            </w:pPr>
            <w:r>
              <w:rPr>
                <w:rFonts w:hint="eastAsia" w:cs="Times New Roman"/>
                <w:color w:val="auto"/>
                <w:sz w:val="24"/>
                <w:highlight w:val="none"/>
                <w:lang w:val="en-US" w:eastAsia="zh-CN"/>
              </w:rPr>
              <w:t>①</w:t>
            </w:r>
            <w:r>
              <w:rPr>
                <w:rFonts w:hint="default" w:ascii="Times New Roman" w:hAnsi="Times New Roman" w:cs="Times New Roman"/>
                <w:color w:val="auto"/>
                <w:sz w:val="24"/>
                <w:highlight w:val="none"/>
              </w:rPr>
              <w:t>室内声源</w:t>
            </w:r>
          </w:p>
          <w:p w14:paraId="4C586F27">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若声源位于室内，室内声源可采用等效室外声源声功率级法进行计算。具体方法如下：</w:t>
            </w:r>
          </w:p>
          <w:p w14:paraId="47F9FFBD">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利用室外声源计算方法的点声源的几何发散衰减公式计算设备声源到靠近开口处（或窗户）室内某倍频带的声压级。对于工业企业稳态机械设备，当声源处于自由空间且仅考虑声源的几何发散衰减，则距离点声源r处的声压级为：</w:t>
            </w:r>
          </w:p>
          <w:p w14:paraId="37E9CC7F">
            <w:pPr>
              <w:pStyle w:val="5"/>
              <w:jc w:val="center"/>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position w:val="-30"/>
                <w:highlight w:val="none"/>
              </w:rPr>
              <w:object>
                <v:shape id="_x0000_i1025" o:spt="75" type="#_x0000_t75" style="height:34pt;width:121pt;" o:ole="t" filled="f" o:preferrelative="t" stroked="f" coordsize="21600,21600">
                  <v:path/>
                  <v:fill on="f" focussize="0,0"/>
                  <v:stroke on="f"/>
                  <v:imagedata r:id="rId20" o:title=""/>
                  <o:lock v:ext="edit" aspectratio="t"/>
                  <w10:wrap type="none"/>
                  <w10:anchorlock/>
                </v:shape>
                <o:OLEObject Type="Embed" ProgID="Equation.KSEE3" ShapeID="_x0000_i1025" DrawAspect="Content" ObjectID="_1468075725" r:id="rId19">
                  <o:LockedField>false</o:LockedField>
                </o:OLEObject>
              </w:object>
            </w:r>
          </w:p>
          <w:p w14:paraId="00770C58">
            <w:pPr>
              <w:spacing w:line="360" w:lineRule="auto"/>
              <w:ind w:firstLine="480" w:firstLineChars="200"/>
              <w:rPr>
                <w:rFonts w:hint="eastAsia"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式中：L</w:t>
            </w:r>
            <w:r>
              <w:rPr>
                <w:rFonts w:hint="default" w:ascii="Times New Roman" w:hAnsi="Times New Roman" w:cs="Times New Roman"/>
                <w:color w:val="auto"/>
                <w:sz w:val="24"/>
                <w:highlight w:val="none"/>
                <w:vertAlign w:val="subscript"/>
              </w:rPr>
              <w:t>p1</w:t>
            </w:r>
            <w:r>
              <w:rPr>
                <w:rFonts w:hint="default" w:ascii="Times New Roman" w:hAnsi="Times New Roman" w:cs="Times New Roman"/>
                <w:color w:val="auto"/>
                <w:sz w:val="24"/>
                <w:highlight w:val="none"/>
              </w:rPr>
              <w:t>（r）——距离声源r处的A声级，dB(A)</w:t>
            </w:r>
            <w:r>
              <w:rPr>
                <w:rFonts w:hint="eastAsia" w:cs="Times New Roman"/>
                <w:color w:val="auto"/>
                <w:sz w:val="24"/>
                <w:highlight w:val="none"/>
                <w:lang w:eastAsia="zh-CN"/>
              </w:rPr>
              <w:t>；</w:t>
            </w:r>
          </w:p>
          <w:p w14:paraId="20730406">
            <w:pPr>
              <w:spacing w:line="360" w:lineRule="auto"/>
              <w:ind w:firstLine="1200" w:firstLineChars="500"/>
              <w:jc w:val="left"/>
              <w:rPr>
                <w:rFonts w:hint="eastAsia"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L</w:t>
            </w:r>
            <w:r>
              <w:rPr>
                <w:rFonts w:hint="default" w:ascii="Times New Roman" w:hAnsi="Times New Roman" w:cs="Times New Roman"/>
                <w:color w:val="auto"/>
                <w:sz w:val="24"/>
                <w:highlight w:val="none"/>
                <w:vertAlign w:val="subscript"/>
              </w:rPr>
              <w:t>p1</w:t>
            </w:r>
            <w:r>
              <w:rPr>
                <w:rFonts w:hint="default" w:ascii="Times New Roman" w:hAnsi="Times New Roman" w:cs="Times New Roman"/>
                <w:color w:val="auto"/>
                <w:sz w:val="24"/>
                <w:highlight w:val="none"/>
              </w:rPr>
              <w:t>（r</w:t>
            </w:r>
            <w:r>
              <w:rPr>
                <w:rFonts w:hint="default" w:ascii="Times New Roman" w:hAnsi="Times New Roman" w:cs="Times New Roman"/>
                <w:color w:val="auto"/>
                <w:sz w:val="24"/>
                <w:highlight w:val="none"/>
                <w:vertAlign w:val="subscript"/>
              </w:rPr>
              <w:t>o</w:t>
            </w:r>
            <w:r>
              <w:rPr>
                <w:rFonts w:hint="default" w:ascii="Times New Roman" w:hAnsi="Times New Roman" w:cs="Times New Roman"/>
                <w:color w:val="auto"/>
                <w:sz w:val="24"/>
                <w:highlight w:val="none"/>
              </w:rPr>
              <w:t>）——距声源r</w:t>
            </w:r>
            <w:r>
              <w:rPr>
                <w:rFonts w:hint="default" w:ascii="Times New Roman" w:hAnsi="Times New Roman" w:cs="Times New Roman"/>
                <w:color w:val="auto"/>
                <w:sz w:val="24"/>
                <w:highlight w:val="none"/>
                <w:vertAlign w:val="subscript"/>
              </w:rPr>
              <w:t>o</w:t>
            </w:r>
            <w:r>
              <w:rPr>
                <w:rFonts w:hint="default" w:ascii="Times New Roman" w:hAnsi="Times New Roman" w:cs="Times New Roman"/>
                <w:color w:val="auto"/>
                <w:sz w:val="24"/>
                <w:highlight w:val="none"/>
              </w:rPr>
              <w:t>处的A声级，dB(A)</w:t>
            </w:r>
            <w:r>
              <w:rPr>
                <w:rFonts w:hint="eastAsia" w:cs="Times New Roman"/>
                <w:color w:val="auto"/>
                <w:sz w:val="24"/>
                <w:highlight w:val="none"/>
                <w:lang w:eastAsia="zh-CN"/>
              </w:rPr>
              <w:t>；</w:t>
            </w:r>
          </w:p>
          <w:p w14:paraId="3C068F04">
            <w:pPr>
              <w:spacing w:line="360" w:lineRule="auto"/>
              <w:ind w:firstLine="1200" w:firstLineChars="500"/>
              <w:jc w:val="left"/>
              <w:rPr>
                <w:rFonts w:hint="eastAsia"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r</w:t>
            </w:r>
            <w:r>
              <w:rPr>
                <w:rFonts w:hint="default" w:ascii="Times New Roman" w:hAnsi="Times New Roman" w:cs="Times New Roman"/>
                <w:color w:val="auto"/>
                <w:sz w:val="24"/>
                <w:highlight w:val="none"/>
                <w:vertAlign w:val="subscript"/>
              </w:rPr>
              <w:t>o</w:t>
            </w:r>
            <w:r>
              <w:rPr>
                <w:rFonts w:hint="default" w:ascii="Times New Roman" w:hAnsi="Times New Roman" w:cs="Times New Roman"/>
                <w:color w:val="auto"/>
                <w:sz w:val="24"/>
                <w:highlight w:val="none"/>
              </w:rPr>
              <w:t>、r——距声源的距离，m</w:t>
            </w:r>
            <w:r>
              <w:rPr>
                <w:rFonts w:hint="eastAsia" w:cs="Times New Roman"/>
                <w:color w:val="auto"/>
                <w:sz w:val="24"/>
                <w:highlight w:val="none"/>
                <w:lang w:eastAsia="zh-CN"/>
              </w:rPr>
              <w:t>；</w:t>
            </w:r>
          </w:p>
          <w:p w14:paraId="0200D711">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按下式计算</w:t>
            </w:r>
            <w:r>
              <w:rPr>
                <w:rFonts w:hint="eastAsia" w:cs="Times New Roman"/>
                <w:color w:val="auto"/>
                <w:sz w:val="24"/>
                <w:highlight w:val="none"/>
                <w:lang w:eastAsia="zh-CN"/>
              </w:rPr>
              <w:t>出</w:t>
            </w:r>
            <w:r>
              <w:rPr>
                <w:rFonts w:hint="default" w:ascii="Times New Roman" w:hAnsi="Times New Roman" w:cs="Times New Roman"/>
                <w:color w:val="auto"/>
                <w:sz w:val="24"/>
                <w:highlight w:val="none"/>
              </w:rPr>
              <w:t xml:space="preserve">所有室内声源在围护结构处产生的 i 倍频带叠加A声级： </w:t>
            </w:r>
          </w:p>
          <w:p w14:paraId="0E11BF00">
            <w:pPr>
              <w:spacing w:line="360" w:lineRule="auto"/>
              <w:ind w:firstLine="480" w:firstLineChars="20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drawing>
                <wp:inline distT="0" distB="0" distL="114300" distR="114300">
                  <wp:extent cx="1967230" cy="499745"/>
                  <wp:effectExtent l="0" t="0" r="13970" b="14605"/>
                  <wp:docPr id="8" name="图片 7" descr="6313307991439279977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6313307991439279977312"/>
                          <pic:cNvPicPr>
                            <a:picLocks noChangeAspect="1"/>
                          </pic:cNvPicPr>
                        </pic:nvPicPr>
                        <pic:blipFill>
                          <a:blip r:embed="rId21"/>
                          <a:stretch>
                            <a:fillRect/>
                          </a:stretch>
                        </pic:blipFill>
                        <pic:spPr>
                          <a:xfrm>
                            <a:off x="0" y="0"/>
                            <a:ext cx="1967230" cy="499745"/>
                          </a:xfrm>
                          <a:prstGeom prst="rect">
                            <a:avLst/>
                          </a:prstGeom>
                          <a:noFill/>
                          <a:ln>
                            <a:noFill/>
                          </a:ln>
                        </pic:spPr>
                      </pic:pic>
                    </a:graphicData>
                  </a:graphic>
                </wp:inline>
              </w:drawing>
            </w:r>
          </w:p>
          <w:p w14:paraId="40994D81">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式中：</w:t>
            </w:r>
          </w:p>
          <w:p w14:paraId="16A2E5E3">
            <w:pPr>
              <w:spacing w:line="360" w:lineRule="auto"/>
              <w:ind w:firstLine="480" w:firstLineChars="200"/>
              <w:rPr>
                <w:rFonts w:hint="eastAsia"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drawing>
                <wp:inline distT="0" distB="0" distL="114300" distR="114300">
                  <wp:extent cx="510540" cy="233680"/>
                  <wp:effectExtent l="0" t="0" r="3810" b="13970"/>
                  <wp:docPr id="9" name="图片 8" descr="9929923441439279977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9929923441439279977312"/>
                          <pic:cNvPicPr>
                            <a:picLocks noChangeAspect="1"/>
                          </pic:cNvPicPr>
                        </pic:nvPicPr>
                        <pic:blipFill>
                          <a:blip r:embed="rId22"/>
                          <a:stretch>
                            <a:fillRect/>
                          </a:stretch>
                        </pic:blipFill>
                        <pic:spPr>
                          <a:xfrm>
                            <a:off x="0" y="0"/>
                            <a:ext cx="510540" cy="233680"/>
                          </a:xfrm>
                          <a:prstGeom prst="rect">
                            <a:avLst/>
                          </a:prstGeom>
                          <a:noFill/>
                          <a:ln>
                            <a:noFill/>
                          </a:ln>
                        </pic:spPr>
                      </pic:pic>
                    </a:graphicData>
                  </a:graphic>
                </wp:inline>
              </w:drawing>
            </w:r>
            <w:r>
              <w:rPr>
                <w:rFonts w:hint="default" w:ascii="Times New Roman" w:hAnsi="Times New Roman" w:cs="Times New Roman"/>
                <w:color w:val="auto"/>
                <w:sz w:val="24"/>
                <w:highlight w:val="none"/>
              </w:rPr>
              <w:t>—靠近围护结构处室内N个声源i倍频带的叠加A声级，dB（A）</w:t>
            </w:r>
            <w:r>
              <w:rPr>
                <w:rFonts w:hint="eastAsia" w:cs="Times New Roman"/>
                <w:color w:val="auto"/>
                <w:sz w:val="24"/>
                <w:highlight w:val="none"/>
                <w:lang w:eastAsia="zh-CN"/>
              </w:rPr>
              <w:t>；</w:t>
            </w:r>
          </w:p>
          <w:p w14:paraId="73E84575">
            <w:pPr>
              <w:spacing w:line="360" w:lineRule="auto"/>
              <w:ind w:firstLine="480" w:firstLineChars="200"/>
              <w:rPr>
                <w:rFonts w:hint="eastAsia"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drawing>
                <wp:inline distT="0" distB="0" distL="114300" distR="114300">
                  <wp:extent cx="276225" cy="233680"/>
                  <wp:effectExtent l="0" t="0" r="9525" b="13970"/>
                  <wp:docPr id="10" name="图片 9" descr="2165193811439279977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2165193811439279977328"/>
                          <pic:cNvPicPr>
                            <a:picLocks noChangeAspect="1"/>
                          </pic:cNvPicPr>
                        </pic:nvPicPr>
                        <pic:blipFill>
                          <a:blip r:embed="rId23"/>
                          <a:stretch>
                            <a:fillRect/>
                          </a:stretch>
                        </pic:blipFill>
                        <pic:spPr>
                          <a:xfrm>
                            <a:off x="0" y="0"/>
                            <a:ext cx="276225" cy="233680"/>
                          </a:xfrm>
                          <a:prstGeom prst="rect">
                            <a:avLst/>
                          </a:prstGeom>
                          <a:noFill/>
                          <a:ln>
                            <a:noFill/>
                          </a:ln>
                        </pic:spPr>
                      </pic:pic>
                    </a:graphicData>
                  </a:graphic>
                </wp:inline>
              </w:drawing>
            </w:r>
            <w:r>
              <w:rPr>
                <w:rFonts w:hint="default" w:ascii="Times New Roman" w:hAnsi="Times New Roman" w:cs="Times New Roman"/>
                <w:color w:val="auto"/>
                <w:sz w:val="24"/>
                <w:highlight w:val="none"/>
              </w:rPr>
              <w:t>—室内</w:t>
            </w:r>
            <w:r>
              <w:rPr>
                <w:rFonts w:hint="default" w:ascii="Times New Roman" w:hAnsi="Times New Roman" w:cs="Times New Roman"/>
                <w:color w:val="auto"/>
                <w:sz w:val="24"/>
                <w:highlight w:val="none"/>
              </w:rPr>
              <w:drawing>
                <wp:inline distT="0" distB="0" distL="114300" distR="114300">
                  <wp:extent cx="42545" cy="191135"/>
                  <wp:effectExtent l="0" t="0" r="14605" b="18415"/>
                  <wp:docPr id="11" name="图片 10" descr="7666981991439279977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7666981991439279977328"/>
                          <pic:cNvPicPr>
                            <a:picLocks noChangeAspect="1"/>
                          </pic:cNvPicPr>
                        </pic:nvPicPr>
                        <pic:blipFill>
                          <a:blip r:embed="rId24"/>
                          <a:stretch>
                            <a:fillRect/>
                          </a:stretch>
                        </pic:blipFill>
                        <pic:spPr>
                          <a:xfrm>
                            <a:off x="0" y="0"/>
                            <a:ext cx="42545" cy="191135"/>
                          </a:xfrm>
                          <a:prstGeom prst="rect">
                            <a:avLst/>
                          </a:prstGeom>
                          <a:noFill/>
                          <a:ln>
                            <a:noFill/>
                          </a:ln>
                        </pic:spPr>
                      </pic:pic>
                    </a:graphicData>
                  </a:graphic>
                </wp:inline>
              </w:drawing>
            </w:r>
            <w:r>
              <w:rPr>
                <w:rFonts w:hint="default" w:ascii="Times New Roman" w:hAnsi="Times New Roman" w:cs="Times New Roman"/>
                <w:color w:val="auto"/>
                <w:sz w:val="24"/>
                <w:highlight w:val="none"/>
              </w:rPr>
              <w:t>声源</w:t>
            </w:r>
            <w:r>
              <w:rPr>
                <w:rFonts w:hint="default" w:ascii="Times New Roman" w:hAnsi="Times New Roman" w:cs="Times New Roman"/>
                <w:color w:val="auto"/>
                <w:sz w:val="24"/>
                <w:highlight w:val="none"/>
              </w:rPr>
              <w:drawing>
                <wp:inline distT="0" distB="0" distL="114300" distR="114300">
                  <wp:extent cx="42545" cy="191135"/>
                  <wp:effectExtent l="0" t="0" r="14605" b="18415"/>
                  <wp:docPr id="12" name="图片 11" descr="1576824811439279977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1576824811439279977328"/>
                          <pic:cNvPicPr>
                            <a:picLocks noChangeAspect="1"/>
                          </pic:cNvPicPr>
                        </pic:nvPicPr>
                        <pic:blipFill>
                          <a:blip r:embed="rId25"/>
                          <a:stretch>
                            <a:fillRect/>
                          </a:stretch>
                        </pic:blipFill>
                        <pic:spPr>
                          <a:xfrm>
                            <a:off x="0" y="0"/>
                            <a:ext cx="42545" cy="191135"/>
                          </a:xfrm>
                          <a:prstGeom prst="rect">
                            <a:avLst/>
                          </a:prstGeom>
                          <a:noFill/>
                          <a:ln>
                            <a:noFill/>
                          </a:ln>
                        </pic:spPr>
                      </pic:pic>
                    </a:graphicData>
                  </a:graphic>
                </wp:inline>
              </w:drawing>
            </w:r>
            <w:r>
              <w:rPr>
                <w:rFonts w:hint="default" w:ascii="Times New Roman" w:hAnsi="Times New Roman" w:cs="Times New Roman"/>
                <w:color w:val="auto"/>
                <w:sz w:val="24"/>
                <w:highlight w:val="none"/>
              </w:rPr>
              <w:t>倍频带的A声级，dB（A）</w:t>
            </w:r>
            <w:r>
              <w:rPr>
                <w:rFonts w:hint="eastAsia" w:cs="Times New Roman"/>
                <w:color w:val="auto"/>
                <w:sz w:val="24"/>
                <w:highlight w:val="none"/>
                <w:lang w:eastAsia="zh-CN"/>
              </w:rPr>
              <w:t>；</w:t>
            </w:r>
          </w:p>
          <w:p w14:paraId="1EABAD99">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N—室内声源总数。</w:t>
            </w:r>
          </w:p>
          <w:p w14:paraId="3C39D1C4">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在室内近似为扩散声场时，按公式计算出靠近室外围护结构处的A声级：</w:t>
            </w:r>
          </w:p>
          <w:p w14:paraId="171224F5">
            <w:pPr>
              <w:spacing w:line="360" w:lineRule="auto"/>
              <w:ind w:firstLine="480" w:firstLineChars="20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drawing>
                <wp:inline distT="0" distB="0" distL="114300" distR="114300">
                  <wp:extent cx="1797050" cy="223520"/>
                  <wp:effectExtent l="0" t="0" r="12700" b="5080"/>
                  <wp:docPr id="13" name="图片 12" descr="6245065941439279977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6245065941439279977328"/>
                          <pic:cNvPicPr>
                            <a:picLocks noChangeAspect="1"/>
                          </pic:cNvPicPr>
                        </pic:nvPicPr>
                        <pic:blipFill>
                          <a:blip r:embed="rId26"/>
                          <a:stretch>
                            <a:fillRect/>
                          </a:stretch>
                        </pic:blipFill>
                        <pic:spPr>
                          <a:xfrm>
                            <a:off x="0" y="0"/>
                            <a:ext cx="1797050" cy="223520"/>
                          </a:xfrm>
                          <a:prstGeom prst="rect">
                            <a:avLst/>
                          </a:prstGeom>
                          <a:noFill/>
                          <a:ln>
                            <a:noFill/>
                          </a:ln>
                        </pic:spPr>
                      </pic:pic>
                    </a:graphicData>
                  </a:graphic>
                </wp:inline>
              </w:drawing>
            </w:r>
          </w:p>
          <w:p w14:paraId="02D64AC0">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式中：</w:t>
            </w:r>
          </w:p>
          <w:p w14:paraId="4F831E66">
            <w:pPr>
              <w:spacing w:line="360" w:lineRule="auto"/>
              <w:ind w:firstLine="480" w:firstLineChars="200"/>
              <w:rPr>
                <w:rFonts w:hint="eastAsia"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drawing>
                <wp:inline distT="0" distB="0" distL="114300" distR="114300">
                  <wp:extent cx="563245" cy="233680"/>
                  <wp:effectExtent l="0" t="0" r="8255" b="13970"/>
                  <wp:docPr id="14" name="图片 13" descr="1312418891439279977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1312418891439279977328"/>
                          <pic:cNvPicPr>
                            <a:picLocks noChangeAspect="1"/>
                          </pic:cNvPicPr>
                        </pic:nvPicPr>
                        <pic:blipFill>
                          <a:blip r:embed="rId27"/>
                          <a:stretch>
                            <a:fillRect/>
                          </a:stretch>
                        </pic:blipFill>
                        <pic:spPr>
                          <a:xfrm>
                            <a:off x="0" y="0"/>
                            <a:ext cx="563245" cy="233680"/>
                          </a:xfrm>
                          <a:prstGeom prst="rect">
                            <a:avLst/>
                          </a:prstGeom>
                          <a:noFill/>
                          <a:ln>
                            <a:noFill/>
                          </a:ln>
                        </pic:spPr>
                      </pic:pic>
                    </a:graphicData>
                  </a:graphic>
                </wp:inline>
              </w:drawing>
            </w:r>
            <w:r>
              <w:rPr>
                <w:rFonts w:hint="default" w:ascii="Times New Roman" w:hAnsi="Times New Roman" w:cs="Times New Roman"/>
                <w:color w:val="auto"/>
                <w:sz w:val="24"/>
                <w:highlight w:val="none"/>
              </w:rPr>
              <w:t>靠近围护结构处室外N个声源i倍频带的叠加声压级，dB（A）</w:t>
            </w:r>
            <w:r>
              <w:rPr>
                <w:rFonts w:hint="eastAsia" w:cs="Times New Roman"/>
                <w:color w:val="auto"/>
                <w:sz w:val="24"/>
                <w:highlight w:val="none"/>
                <w:lang w:eastAsia="zh-CN"/>
              </w:rPr>
              <w:t>；</w:t>
            </w:r>
          </w:p>
          <w:p w14:paraId="2D4CB573">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drawing>
                <wp:inline distT="0" distB="0" distL="114300" distR="114300">
                  <wp:extent cx="191135" cy="223520"/>
                  <wp:effectExtent l="0" t="0" r="18415" b="5080"/>
                  <wp:docPr id="15" name="图片 14" descr="490717261439279977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490717261439279977328"/>
                          <pic:cNvPicPr>
                            <a:picLocks noChangeAspect="1"/>
                          </pic:cNvPicPr>
                        </pic:nvPicPr>
                        <pic:blipFill>
                          <a:blip r:embed="rId28"/>
                          <a:stretch>
                            <a:fillRect/>
                          </a:stretch>
                        </pic:blipFill>
                        <pic:spPr>
                          <a:xfrm>
                            <a:off x="0" y="0"/>
                            <a:ext cx="191135" cy="223520"/>
                          </a:xfrm>
                          <a:prstGeom prst="rect">
                            <a:avLst/>
                          </a:prstGeom>
                          <a:noFill/>
                          <a:ln>
                            <a:noFill/>
                          </a:ln>
                        </pic:spPr>
                      </pic:pic>
                    </a:graphicData>
                  </a:graphic>
                </wp:inline>
              </w:drawing>
            </w:r>
            <w:r>
              <w:rPr>
                <w:rFonts w:hint="default" w:ascii="Times New Roman" w:hAnsi="Times New Roman" w:cs="Times New Roman"/>
                <w:color w:val="auto"/>
                <w:sz w:val="24"/>
                <w:highlight w:val="none"/>
              </w:rPr>
              <w:t>—围护结构i倍频带的隔声量，dB（A）。</w:t>
            </w:r>
          </w:p>
          <w:p w14:paraId="368CFDB3">
            <w:pPr>
              <w:spacing w:line="360" w:lineRule="auto"/>
              <w:ind w:firstLine="480" w:firstLineChars="20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由于噪声声源数据来自于《污染源源强核算技术指南 平板玻璃制造》HJ 980-2018附录C平板玻璃制造噪声源强及控制措施的降噪效果，附录中提供的噪声声压级数据为A声级数据，故无需再按导则公式计算倍频带声功率级，再按室外声源预测方法计算预测点的A声级。</w:t>
            </w:r>
          </w:p>
          <w:p w14:paraId="576CBBA3">
            <w:pPr>
              <w:spacing w:line="360" w:lineRule="auto"/>
              <w:ind w:firstLine="480" w:firstLineChars="200"/>
              <w:jc w:val="left"/>
              <w:rPr>
                <w:rFonts w:hint="default" w:ascii="Times New Roman" w:hAnsi="Times New Roman" w:cs="Times New Roman"/>
                <w:color w:val="auto"/>
                <w:sz w:val="24"/>
                <w:highlight w:val="none"/>
              </w:rPr>
            </w:pPr>
            <w:r>
              <w:rPr>
                <w:rFonts w:hint="eastAsia" w:cs="Times New Roman"/>
                <w:color w:val="auto"/>
                <w:sz w:val="24"/>
                <w:highlight w:val="none"/>
                <w:lang w:val="en-US" w:eastAsia="zh-CN"/>
              </w:rPr>
              <w:t>②</w:t>
            </w:r>
            <w:r>
              <w:rPr>
                <w:rFonts w:hint="default" w:ascii="Times New Roman" w:hAnsi="Times New Roman" w:cs="Times New Roman"/>
                <w:color w:val="auto"/>
                <w:sz w:val="24"/>
                <w:highlight w:val="none"/>
              </w:rPr>
              <w:t>厂界预测点贡献值计算：</w:t>
            </w:r>
          </w:p>
          <w:p w14:paraId="43FA0F21">
            <w:pPr>
              <w:spacing w:line="360" w:lineRule="auto"/>
              <w:jc w:val="center"/>
              <w:rPr>
                <w:rFonts w:hint="default" w:ascii="Times New Roman" w:hAnsi="Times New Roman" w:cs="Times New Roman"/>
                <w:color w:val="auto"/>
                <w:sz w:val="24"/>
                <w:szCs w:val="22"/>
                <w:highlight w:val="none"/>
              </w:rPr>
            </w:pPr>
            <w:r>
              <w:rPr>
                <w:rFonts w:hint="default" w:ascii="Times New Roman" w:hAnsi="Times New Roman" w:cs="Times New Roman"/>
                <w:color w:val="auto"/>
                <w:position w:val="-34"/>
                <w:sz w:val="24"/>
                <w:highlight w:val="none"/>
              </w:rPr>
              <w:object>
                <v:shape id="_x0000_i1026" o:spt="75" type="#_x0000_t75" style="height:43.25pt;width:205.1pt;" o:ole="t" filled="f" o:preferrelative="t" stroked="f" coordsize="21600,21600">
                  <v:path/>
                  <v:fill on="f" focussize="0,0"/>
                  <v:stroke on="f"/>
                  <v:imagedata r:id="rId30" o:title=""/>
                  <o:lock v:ext="edit" aspectratio="t"/>
                  <w10:wrap type="none"/>
                  <w10:anchorlock/>
                </v:shape>
                <o:OLEObject Type="Embed" ProgID="Equation.3" ShapeID="_x0000_i1026" DrawAspect="Content" ObjectID="_1468075726" r:id="rId29">
                  <o:LockedField>false</o:LockedField>
                </o:OLEObject>
              </w:object>
            </w:r>
          </w:p>
          <w:p w14:paraId="54FA2CCE">
            <w:pPr>
              <w:spacing w:line="360" w:lineRule="auto"/>
              <w:ind w:firstLine="480" w:firstLineChars="200"/>
              <w:jc w:val="left"/>
              <w:rPr>
                <w:rFonts w:hint="eastAsia"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式中：L</w:t>
            </w:r>
            <w:r>
              <w:rPr>
                <w:rFonts w:hint="default" w:ascii="Times New Roman" w:hAnsi="Times New Roman" w:cs="Times New Roman"/>
                <w:color w:val="auto"/>
                <w:sz w:val="24"/>
                <w:highlight w:val="none"/>
                <w:vertAlign w:val="subscript"/>
              </w:rPr>
              <w:t>eqg</w:t>
            </w:r>
            <w:r>
              <w:rPr>
                <w:rFonts w:hint="default" w:ascii="Times New Roman" w:hAnsi="Times New Roman" w:cs="Times New Roman"/>
                <w:color w:val="auto"/>
                <w:sz w:val="24"/>
                <w:highlight w:val="none"/>
              </w:rPr>
              <w:t>——建设项目声源在预测点产生的噪声贡献值，dB（A）</w:t>
            </w:r>
            <w:r>
              <w:rPr>
                <w:rFonts w:hint="eastAsia" w:cs="Times New Roman"/>
                <w:color w:val="auto"/>
                <w:sz w:val="24"/>
                <w:highlight w:val="none"/>
                <w:lang w:eastAsia="zh-CN"/>
              </w:rPr>
              <w:t>；</w:t>
            </w:r>
          </w:p>
          <w:p w14:paraId="14502331">
            <w:pPr>
              <w:spacing w:line="360" w:lineRule="auto"/>
              <w:ind w:firstLine="1200" w:firstLineChars="500"/>
              <w:jc w:val="left"/>
              <w:rPr>
                <w:rFonts w:hint="eastAsia"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T——用于计算等效声级的时间，s</w:t>
            </w:r>
            <w:r>
              <w:rPr>
                <w:rFonts w:hint="eastAsia" w:cs="Times New Roman"/>
                <w:color w:val="auto"/>
                <w:sz w:val="24"/>
                <w:highlight w:val="none"/>
                <w:lang w:eastAsia="zh-CN"/>
              </w:rPr>
              <w:t>；</w:t>
            </w:r>
          </w:p>
          <w:p w14:paraId="5080303C">
            <w:pPr>
              <w:spacing w:line="360" w:lineRule="auto"/>
              <w:ind w:firstLine="1200" w:firstLineChars="500"/>
              <w:rPr>
                <w:rFonts w:hint="eastAsia"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N——室外声源个数</w:t>
            </w:r>
            <w:r>
              <w:rPr>
                <w:rFonts w:hint="eastAsia" w:cs="Times New Roman"/>
                <w:color w:val="auto"/>
                <w:sz w:val="24"/>
                <w:highlight w:val="none"/>
                <w:lang w:eastAsia="zh-CN"/>
              </w:rPr>
              <w:t>；</w:t>
            </w:r>
          </w:p>
          <w:p w14:paraId="6DE9825B">
            <w:pPr>
              <w:spacing w:line="360" w:lineRule="auto"/>
              <w:ind w:firstLine="1200" w:firstLineChars="500"/>
              <w:rPr>
                <w:rFonts w:hint="eastAsia"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t</w:t>
            </w:r>
            <w:r>
              <w:rPr>
                <w:rFonts w:hint="default" w:ascii="Times New Roman" w:hAnsi="Times New Roman" w:cs="Times New Roman"/>
                <w:color w:val="auto"/>
                <w:sz w:val="24"/>
                <w:highlight w:val="none"/>
                <w:vertAlign w:val="subscript"/>
              </w:rPr>
              <w:t>i</w:t>
            </w:r>
            <w:r>
              <w:rPr>
                <w:rFonts w:hint="default" w:ascii="Times New Roman" w:hAnsi="Times New Roman" w:cs="Times New Roman"/>
                <w:color w:val="auto"/>
                <w:sz w:val="24"/>
                <w:highlight w:val="none"/>
              </w:rPr>
              <w:t>——在T时间内i声源工作时间，s</w:t>
            </w:r>
            <w:r>
              <w:rPr>
                <w:rFonts w:hint="eastAsia" w:cs="Times New Roman"/>
                <w:color w:val="auto"/>
                <w:sz w:val="24"/>
                <w:highlight w:val="none"/>
                <w:lang w:eastAsia="zh-CN"/>
              </w:rPr>
              <w:t>；</w:t>
            </w:r>
          </w:p>
          <w:p w14:paraId="0A25F2B0">
            <w:pPr>
              <w:spacing w:line="360" w:lineRule="auto"/>
              <w:ind w:firstLine="1200" w:firstLineChars="500"/>
              <w:rPr>
                <w:rFonts w:hint="eastAsia"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M——等效室外声源个数</w:t>
            </w:r>
            <w:r>
              <w:rPr>
                <w:rFonts w:hint="eastAsia" w:cs="Times New Roman"/>
                <w:color w:val="auto"/>
                <w:sz w:val="24"/>
                <w:highlight w:val="none"/>
                <w:lang w:eastAsia="zh-CN"/>
              </w:rPr>
              <w:t>；</w:t>
            </w:r>
          </w:p>
          <w:p w14:paraId="5084D0C1">
            <w:pPr>
              <w:spacing w:line="360" w:lineRule="auto"/>
              <w:ind w:firstLine="1200" w:firstLineChars="500"/>
              <w:rPr>
                <w:rFonts w:hint="default" w:ascii="Times New Roman" w:hAnsi="Times New Roman" w:cs="Times New Roman"/>
                <w:color w:val="auto"/>
                <w:kern w:val="0"/>
                <w:sz w:val="24"/>
                <w:highlight w:val="none"/>
              </w:rPr>
            </w:pPr>
            <w:r>
              <w:rPr>
                <w:rFonts w:hint="default" w:ascii="Times New Roman" w:hAnsi="Times New Roman" w:cs="Times New Roman"/>
                <w:color w:val="auto"/>
                <w:sz w:val="24"/>
                <w:highlight w:val="none"/>
              </w:rPr>
              <w:t>t</w:t>
            </w:r>
            <w:r>
              <w:rPr>
                <w:rFonts w:hint="default" w:ascii="Times New Roman" w:hAnsi="Times New Roman" w:cs="Times New Roman"/>
                <w:color w:val="auto"/>
                <w:sz w:val="24"/>
                <w:highlight w:val="none"/>
                <w:vertAlign w:val="subscript"/>
              </w:rPr>
              <w:t>j</w:t>
            </w:r>
            <w:r>
              <w:rPr>
                <w:rFonts w:hint="default" w:ascii="Times New Roman" w:hAnsi="Times New Roman" w:cs="Times New Roman"/>
                <w:color w:val="auto"/>
                <w:sz w:val="24"/>
                <w:highlight w:val="none"/>
              </w:rPr>
              <w:t>——在T时间内j声源工作时间，s。</w:t>
            </w:r>
          </w:p>
          <w:p w14:paraId="30A6C097">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cs="Times New Roman"/>
                <w:b/>
                <w:bCs w:val="0"/>
                <w:color w:val="auto"/>
                <w:kern w:val="0"/>
                <w:sz w:val="24"/>
                <w:szCs w:val="24"/>
                <w:highlight w:val="none"/>
                <w:vertAlign w:val="baseline"/>
                <w:lang w:eastAsia="zh-CN"/>
              </w:rPr>
            </w:pPr>
            <w:r>
              <w:rPr>
                <w:rFonts w:hint="default" w:ascii="Times New Roman" w:hAnsi="Times New Roman" w:cs="Times New Roman"/>
                <w:b/>
                <w:bCs w:val="0"/>
                <w:color w:val="auto"/>
                <w:kern w:val="0"/>
                <w:sz w:val="24"/>
                <w:szCs w:val="24"/>
                <w:highlight w:val="none"/>
                <w:vertAlign w:val="baseline"/>
                <w:lang w:eastAsia="zh-CN"/>
              </w:rPr>
              <w:t>4.2.3.3噪声影响预测结果</w:t>
            </w:r>
          </w:p>
          <w:p w14:paraId="03380D4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sz w:val="24"/>
                <w:highlight w:val="none"/>
                <w:lang w:eastAsia="zh-CN"/>
              </w:rPr>
            </w:pPr>
            <w:r>
              <w:rPr>
                <w:rFonts w:hint="default" w:ascii="Times New Roman" w:hAnsi="Times New Roman" w:eastAsia="宋体" w:cs="Times New Roman"/>
                <w:color w:val="auto"/>
                <w:sz w:val="24"/>
                <w:highlight w:val="none"/>
                <w:lang w:eastAsia="zh-CN"/>
              </w:rPr>
              <w:t>项目</w:t>
            </w:r>
            <w:r>
              <w:rPr>
                <w:rFonts w:hint="eastAsia" w:cs="Times New Roman"/>
                <w:color w:val="auto"/>
                <w:sz w:val="24"/>
                <w:highlight w:val="none"/>
                <w:lang w:val="en-US" w:eastAsia="zh-CN"/>
              </w:rPr>
              <w:t>西侧、东侧</w:t>
            </w:r>
            <w:r>
              <w:rPr>
                <w:rFonts w:hint="eastAsia" w:ascii="Times New Roman" w:hAnsi="Times New Roman" w:eastAsia="宋体" w:cs="Times New Roman"/>
                <w:color w:val="auto"/>
                <w:sz w:val="24"/>
                <w:highlight w:val="none"/>
                <w:lang w:eastAsia="zh-CN"/>
              </w:rPr>
              <w:t>场界</w:t>
            </w:r>
            <w:r>
              <w:rPr>
                <w:rFonts w:hint="default" w:ascii="Times New Roman" w:hAnsi="Times New Roman" w:eastAsia="宋体" w:cs="Times New Roman"/>
                <w:color w:val="auto"/>
                <w:sz w:val="24"/>
                <w:highlight w:val="none"/>
                <w:lang w:eastAsia="zh-CN"/>
              </w:rPr>
              <w:t>与隔壁商户共用</w:t>
            </w:r>
            <w:r>
              <w:rPr>
                <w:rFonts w:hint="eastAsia" w:ascii="Times New Roman" w:hAnsi="Times New Roman" w:eastAsia="宋体" w:cs="Times New Roman"/>
                <w:color w:val="auto"/>
                <w:sz w:val="24"/>
                <w:highlight w:val="none"/>
                <w:lang w:val="en-US" w:eastAsia="zh-CN"/>
              </w:rPr>
              <w:t>隔墙</w:t>
            </w:r>
            <w:r>
              <w:rPr>
                <w:rFonts w:hint="default" w:ascii="Times New Roman" w:hAnsi="Times New Roman" w:eastAsia="宋体" w:cs="Times New Roman"/>
                <w:color w:val="auto"/>
                <w:sz w:val="24"/>
                <w:highlight w:val="none"/>
                <w:lang w:eastAsia="zh-CN"/>
              </w:rPr>
              <w:t>，因此本评价不对项目</w:t>
            </w:r>
            <w:r>
              <w:rPr>
                <w:rFonts w:hint="eastAsia" w:cs="Times New Roman"/>
                <w:color w:val="auto"/>
                <w:sz w:val="24"/>
                <w:highlight w:val="none"/>
                <w:lang w:val="en-US" w:eastAsia="zh-CN"/>
              </w:rPr>
              <w:t>西</w:t>
            </w:r>
            <w:r>
              <w:rPr>
                <w:rFonts w:hint="default" w:ascii="Times New Roman" w:hAnsi="Times New Roman" w:eastAsia="宋体" w:cs="Times New Roman"/>
                <w:color w:val="auto"/>
                <w:sz w:val="24"/>
                <w:highlight w:val="none"/>
                <w:lang w:eastAsia="zh-CN"/>
              </w:rPr>
              <w:t>侧</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东侧</w:t>
            </w:r>
            <w:r>
              <w:rPr>
                <w:rFonts w:hint="eastAsia" w:ascii="Times New Roman" w:hAnsi="Times New Roman" w:eastAsia="宋体" w:cs="Times New Roman"/>
                <w:color w:val="auto"/>
                <w:sz w:val="24"/>
                <w:highlight w:val="none"/>
                <w:lang w:eastAsia="zh-CN"/>
              </w:rPr>
              <w:t>场界</w:t>
            </w:r>
            <w:r>
              <w:rPr>
                <w:rFonts w:hint="default" w:ascii="Times New Roman" w:hAnsi="Times New Roman" w:eastAsia="宋体" w:cs="Times New Roman"/>
                <w:color w:val="auto"/>
                <w:sz w:val="24"/>
                <w:highlight w:val="none"/>
                <w:lang w:eastAsia="zh-CN"/>
              </w:rPr>
              <w:t>进行预测。</w:t>
            </w:r>
            <w:r>
              <w:rPr>
                <w:rFonts w:hint="default" w:ascii="Times New Roman" w:hAnsi="Times New Roman" w:cs="Times New Roman"/>
                <w:color w:val="auto"/>
                <w:sz w:val="24"/>
                <w:highlight w:val="none"/>
                <w:lang w:eastAsia="zh-CN"/>
              </w:rPr>
              <w:t>项目</w:t>
            </w:r>
            <w:r>
              <w:rPr>
                <w:rFonts w:hint="eastAsia" w:cs="Times New Roman"/>
                <w:color w:val="auto"/>
                <w:sz w:val="24"/>
                <w:highlight w:val="none"/>
                <w:lang w:eastAsia="zh-CN"/>
              </w:rPr>
              <w:t>厂界</w:t>
            </w:r>
            <w:r>
              <w:rPr>
                <w:rFonts w:hint="default" w:ascii="Times New Roman" w:hAnsi="Times New Roman" w:cs="Times New Roman"/>
                <w:color w:val="auto"/>
                <w:sz w:val="24"/>
                <w:highlight w:val="none"/>
                <w:lang w:eastAsia="zh-CN"/>
              </w:rPr>
              <w:t>噪声结果预测结果见下表。</w:t>
            </w:r>
          </w:p>
          <w:p w14:paraId="0A38BE1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4"/>
                <w:highlight w:val="none"/>
                <w:vertAlign w:val="baseline"/>
                <w:lang w:eastAsia="zh-CN"/>
              </w:rPr>
            </w:pPr>
            <w:r>
              <w:rPr>
                <w:rFonts w:hint="default" w:ascii="Times New Roman" w:hAnsi="Times New Roman" w:cs="Times New Roman"/>
                <w:b/>
                <w:bCs/>
                <w:color w:val="auto"/>
                <w:sz w:val="24"/>
                <w:highlight w:val="none"/>
                <w:lang w:eastAsia="zh-CN"/>
              </w:rPr>
              <w:t>表4.2-</w:t>
            </w:r>
            <w:r>
              <w:rPr>
                <w:rFonts w:hint="eastAsia" w:cs="Times New Roman"/>
                <w:b/>
                <w:bCs/>
                <w:color w:val="auto"/>
                <w:sz w:val="24"/>
                <w:highlight w:val="none"/>
                <w:lang w:val="en-US" w:eastAsia="zh-CN"/>
              </w:rPr>
              <w:t>9</w:t>
            </w:r>
            <w:r>
              <w:rPr>
                <w:rFonts w:hint="default" w:ascii="Times New Roman" w:hAnsi="Times New Roman" w:cs="Times New Roman"/>
                <w:b/>
                <w:bCs/>
                <w:color w:val="auto"/>
                <w:sz w:val="24"/>
                <w:highlight w:val="none"/>
                <w:lang w:eastAsia="zh-CN"/>
              </w:rPr>
              <w:t>项目</w:t>
            </w:r>
            <w:r>
              <w:rPr>
                <w:rFonts w:hint="eastAsia" w:cs="Times New Roman"/>
                <w:b/>
                <w:bCs/>
                <w:color w:val="auto"/>
                <w:sz w:val="24"/>
                <w:highlight w:val="none"/>
                <w:lang w:eastAsia="zh-CN"/>
              </w:rPr>
              <w:t>场界</w:t>
            </w:r>
            <w:r>
              <w:rPr>
                <w:rFonts w:hint="default" w:ascii="Times New Roman" w:hAnsi="Times New Roman" w:cs="Times New Roman"/>
                <w:b/>
                <w:bCs/>
                <w:color w:val="auto"/>
                <w:sz w:val="24"/>
                <w:highlight w:val="none"/>
                <w:lang w:eastAsia="zh-CN"/>
              </w:rPr>
              <w:t>噪声预测结果表</w:t>
            </w:r>
          </w:p>
          <w:tbl>
            <w:tblPr>
              <w:tblStyle w:val="2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87"/>
              <w:gridCol w:w="1187"/>
              <w:gridCol w:w="1190"/>
              <w:gridCol w:w="1188"/>
              <w:gridCol w:w="1188"/>
              <w:gridCol w:w="1190"/>
              <w:gridCol w:w="1192"/>
            </w:tblGrid>
            <w:tr w14:paraId="649855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3" w:type="pct"/>
                  <w:vMerge w:val="restart"/>
                  <w:tcBorders>
                    <w:tl2br w:val="nil"/>
                    <w:tr2bl w:val="nil"/>
                  </w:tcBorders>
                  <w:vAlign w:val="center"/>
                </w:tcPr>
                <w:p w14:paraId="4292754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预测点位置</w:t>
                  </w:r>
                </w:p>
              </w:tc>
              <w:tc>
                <w:tcPr>
                  <w:tcW w:w="1428" w:type="pct"/>
                  <w:gridSpan w:val="2"/>
                  <w:tcBorders>
                    <w:tl2br w:val="nil"/>
                    <w:tr2bl w:val="nil"/>
                  </w:tcBorders>
                  <w:vAlign w:val="center"/>
                </w:tcPr>
                <w:p w14:paraId="43AAA15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eastAsia="zh-CN"/>
                    </w:rPr>
                  </w:pPr>
                  <w:r>
                    <w:rPr>
                      <w:rFonts w:hint="default" w:ascii="Times New Roman" w:hAnsi="Times New Roman" w:cs="Times New Roman"/>
                      <w:color w:val="auto"/>
                      <w:sz w:val="21"/>
                      <w:szCs w:val="21"/>
                      <w:highlight w:val="none"/>
                      <w:vertAlign w:val="baseline"/>
                      <w:lang w:val="en-US" w:eastAsia="zh-CN"/>
                    </w:rPr>
                    <w:t>设备噪声贡献值</w:t>
                  </w:r>
                  <w:r>
                    <w:rPr>
                      <w:rFonts w:hint="default" w:ascii="Times New Roman" w:hAnsi="Times New Roman" w:cs="Times New Roman"/>
                      <w:b w:val="0"/>
                      <w:bCs/>
                      <w:color w:val="auto"/>
                      <w:kern w:val="0"/>
                      <w:sz w:val="21"/>
                      <w:szCs w:val="21"/>
                      <w:highlight w:val="none"/>
                      <w:vertAlign w:val="baseline"/>
                      <w:lang w:val="en-US" w:eastAsia="zh-CN"/>
                    </w:rPr>
                    <w:t>/dB（A）</w:t>
                  </w:r>
                </w:p>
              </w:tc>
              <w:tc>
                <w:tcPr>
                  <w:tcW w:w="2142" w:type="pct"/>
                  <w:gridSpan w:val="3"/>
                  <w:tcBorders>
                    <w:tl2br w:val="nil"/>
                    <w:tr2bl w:val="nil"/>
                  </w:tcBorders>
                  <w:vAlign w:val="center"/>
                </w:tcPr>
                <w:p w14:paraId="1580F57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标准值</w:t>
                  </w:r>
                  <w:r>
                    <w:rPr>
                      <w:rFonts w:hint="default" w:ascii="Times New Roman" w:hAnsi="Times New Roman" w:cs="Times New Roman"/>
                      <w:b w:val="0"/>
                      <w:bCs/>
                      <w:color w:val="auto"/>
                      <w:kern w:val="0"/>
                      <w:sz w:val="21"/>
                      <w:szCs w:val="21"/>
                      <w:highlight w:val="none"/>
                      <w:vertAlign w:val="baseline"/>
                      <w:lang w:val="en-US" w:eastAsia="zh-CN"/>
                    </w:rPr>
                    <w:t>/dB（A）</w:t>
                  </w:r>
                </w:p>
              </w:tc>
              <w:tc>
                <w:tcPr>
                  <w:tcW w:w="716" w:type="pct"/>
                  <w:vMerge w:val="restart"/>
                  <w:tcBorders>
                    <w:tl2br w:val="nil"/>
                    <w:tr2bl w:val="nil"/>
                  </w:tcBorders>
                  <w:vAlign w:val="center"/>
                </w:tcPr>
                <w:p w14:paraId="51698FD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达标情况</w:t>
                  </w:r>
                </w:p>
              </w:tc>
            </w:tr>
            <w:tr w14:paraId="5BC78E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3" w:type="pct"/>
                  <w:vMerge w:val="continue"/>
                  <w:tcBorders>
                    <w:tl2br w:val="nil"/>
                    <w:tr2bl w:val="nil"/>
                  </w:tcBorders>
                  <w:vAlign w:val="center"/>
                </w:tcPr>
                <w:p w14:paraId="76C6C6A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p>
              </w:tc>
              <w:tc>
                <w:tcPr>
                  <w:tcW w:w="713" w:type="pct"/>
                  <w:tcBorders>
                    <w:tl2br w:val="nil"/>
                    <w:tr2bl w:val="nil"/>
                  </w:tcBorders>
                  <w:vAlign w:val="center"/>
                </w:tcPr>
                <w:p w14:paraId="023FAF7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昼间</w:t>
                  </w:r>
                </w:p>
              </w:tc>
              <w:tc>
                <w:tcPr>
                  <w:tcW w:w="714" w:type="pct"/>
                  <w:tcBorders>
                    <w:tl2br w:val="nil"/>
                    <w:tr2bl w:val="nil"/>
                  </w:tcBorders>
                  <w:vAlign w:val="center"/>
                </w:tcPr>
                <w:p w14:paraId="209EEF3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夜间</w:t>
                  </w:r>
                </w:p>
              </w:tc>
              <w:tc>
                <w:tcPr>
                  <w:tcW w:w="713" w:type="pct"/>
                  <w:tcBorders>
                    <w:tl2br w:val="nil"/>
                    <w:tr2bl w:val="nil"/>
                  </w:tcBorders>
                  <w:vAlign w:val="center"/>
                </w:tcPr>
                <w:p w14:paraId="3B2B58C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标准</w:t>
                  </w:r>
                </w:p>
              </w:tc>
              <w:tc>
                <w:tcPr>
                  <w:tcW w:w="713" w:type="pct"/>
                  <w:tcBorders>
                    <w:tl2br w:val="nil"/>
                    <w:tr2bl w:val="nil"/>
                  </w:tcBorders>
                  <w:shd w:val="clear" w:color="auto" w:fill="auto"/>
                  <w:vAlign w:val="center"/>
                </w:tcPr>
                <w:p w14:paraId="3F7680D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昼间</w:t>
                  </w:r>
                </w:p>
              </w:tc>
              <w:tc>
                <w:tcPr>
                  <w:tcW w:w="714" w:type="pct"/>
                  <w:tcBorders>
                    <w:tl2br w:val="nil"/>
                    <w:tr2bl w:val="nil"/>
                  </w:tcBorders>
                  <w:shd w:val="clear" w:color="auto" w:fill="auto"/>
                  <w:vAlign w:val="center"/>
                </w:tcPr>
                <w:p w14:paraId="35EA73D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夜间</w:t>
                  </w:r>
                </w:p>
              </w:tc>
              <w:tc>
                <w:tcPr>
                  <w:tcW w:w="716" w:type="pct"/>
                  <w:vMerge w:val="continue"/>
                  <w:tcBorders>
                    <w:tl2br w:val="nil"/>
                    <w:tr2bl w:val="nil"/>
                  </w:tcBorders>
                  <w:vAlign w:val="center"/>
                </w:tcPr>
                <w:p w14:paraId="2F37B2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eastAsia="zh-CN"/>
                    </w:rPr>
                  </w:pPr>
                </w:p>
              </w:tc>
            </w:tr>
            <w:tr w14:paraId="27F13C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3" w:type="pct"/>
                  <w:tcBorders>
                    <w:tl2br w:val="nil"/>
                    <w:tr2bl w:val="nil"/>
                  </w:tcBorders>
                  <w:vAlign w:val="center"/>
                </w:tcPr>
                <w:p w14:paraId="265130A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eastAsia="zh-CN"/>
                    </w:rPr>
                  </w:pPr>
                  <w:r>
                    <w:rPr>
                      <w:rFonts w:hint="eastAsia" w:cs="Times New Roman"/>
                      <w:color w:val="auto"/>
                      <w:sz w:val="21"/>
                      <w:szCs w:val="21"/>
                      <w:highlight w:val="none"/>
                      <w:vertAlign w:val="baseline"/>
                      <w:lang w:val="en-US" w:eastAsia="zh-CN"/>
                    </w:rPr>
                    <w:t>北场界</w:t>
                  </w:r>
                </w:p>
              </w:tc>
              <w:tc>
                <w:tcPr>
                  <w:tcW w:w="713" w:type="pct"/>
                  <w:tcBorders>
                    <w:tl2br w:val="nil"/>
                    <w:tr2bl w:val="nil"/>
                  </w:tcBorders>
                  <w:vAlign w:val="center"/>
                </w:tcPr>
                <w:p w14:paraId="649A1E3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36.3</w:t>
                  </w:r>
                </w:p>
              </w:tc>
              <w:tc>
                <w:tcPr>
                  <w:tcW w:w="714" w:type="pct"/>
                  <w:tcBorders>
                    <w:tl2br w:val="nil"/>
                    <w:tr2bl w:val="nil"/>
                  </w:tcBorders>
                  <w:vAlign w:val="center"/>
                </w:tcPr>
                <w:p w14:paraId="044A0C0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36.3</w:t>
                  </w:r>
                </w:p>
              </w:tc>
              <w:tc>
                <w:tcPr>
                  <w:tcW w:w="713" w:type="pct"/>
                  <w:tcBorders>
                    <w:tl2br w:val="nil"/>
                    <w:tr2bl w:val="nil"/>
                  </w:tcBorders>
                  <w:vAlign w:val="center"/>
                </w:tcPr>
                <w:p w14:paraId="3DFBEDC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4类</w:t>
                  </w:r>
                </w:p>
              </w:tc>
              <w:tc>
                <w:tcPr>
                  <w:tcW w:w="713" w:type="pct"/>
                  <w:tcBorders>
                    <w:tl2br w:val="nil"/>
                    <w:tr2bl w:val="nil"/>
                  </w:tcBorders>
                  <w:vAlign w:val="center"/>
                </w:tcPr>
                <w:p w14:paraId="6DF554C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70</w:t>
                  </w:r>
                </w:p>
              </w:tc>
              <w:tc>
                <w:tcPr>
                  <w:tcW w:w="714" w:type="pct"/>
                  <w:tcBorders>
                    <w:tl2br w:val="nil"/>
                    <w:tr2bl w:val="nil"/>
                  </w:tcBorders>
                  <w:vAlign w:val="center"/>
                </w:tcPr>
                <w:p w14:paraId="68861E1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55</w:t>
                  </w:r>
                </w:p>
              </w:tc>
              <w:tc>
                <w:tcPr>
                  <w:tcW w:w="716" w:type="pct"/>
                  <w:tcBorders>
                    <w:tl2br w:val="nil"/>
                    <w:tr2bl w:val="nil"/>
                  </w:tcBorders>
                  <w:vAlign w:val="center"/>
                </w:tcPr>
                <w:p w14:paraId="157F19F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达标</w:t>
                  </w:r>
                </w:p>
              </w:tc>
            </w:tr>
            <w:tr w14:paraId="30D0DF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7"/>
                  <w:tcBorders>
                    <w:tl2br w:val="nil"/>
                    <w:tr2bl w:val="nil"/>
                  </w:tcBorders>
                  <w:vAlign w:val="center"/>
                </w:tcPr>
                <w:p w14:paraId="26BFFD10">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注：</w:t>
                  </w:r>
                  <w:r>
                    <w:rPr>
                      <w:rFonts w:hint="eastAsia"/>
                      <w:color w:val="auto"/>
                      <w:highlight w:val="none"/>
                      <w:lang w:val="en-US" w:eastAsia="zh-CN"/>
                    </w:rPr>
                    <w:t>本项目虽夜间不营业，但有住院宠物，因此夜间噪声也进行预测</w:t>
                  </w:r>
                  <w:r>
                    <w:rPr>
                      <w:rFonts w:hint="default" w:ascii="Times New Roman" w:hAnsi="Times New Roman" w:cs="Times New Roman"/>
                      <w:color w:val="auto"/>
                      <w:sz w:val="21"/>
                      <w:szCs w:val="21"/>
                      <w:highlight w:val="none"/>
                      <w:vertAlign w:val="baseline"/>
                      <w:lang w:val="en-US" w:eastAsia="zh-CN"/>
                    </w:rPr>
                    <w:t>。</w:t>
                  </w:r>
                </w:p>
              </w:tc>
            </w:tr>
          </w:tbl>
          <w:p w14:paraId="4BA1F07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lang w:eastAsia="zh-CN"/>
              </w:rPr>
              <w:t>由上表可知：项目运营期间</w:t>
            </w:r>
            <w:r>
              <w:rPr>
                <w:rFonts w:hint="eastAsia" w:cs="Times New Roman"/>
                <w:color w:val="auto"/>
                <w:sz w:val="24"/>
                <w:highlight w:val="none"/>
                <w:lang w:val="en-US" w:eastAsia="zh-CN"/>
              </w:rPr>
              <w:t>北侧厂</w:t>
            </w:r>
            <w:r>
              <w:rPr>
                <w:rFonts w:hint="eastAsia" w:cs="Times New Roman"/>
                <w:color w:val="auto"/>
                <w:sz w:val="24"/>
                <w:highlight w:val="none"/>
                <w:lang w:eastAsia="zh-CN"/>
              </w:rPr>
              <w:t>界</w:t>
            </w:r>
            <w:r>
              <w:rPr>
                <w:rFonts w:hint="default" w:ascii="Times New Roman" w:hAnsi="Times New Roman" w:cs="Times New Roman"/>
                <w:color w:val="auto"/>
                <w:sz w:val="24"/>
                <w:highlight w:val="none"/>
                <w:lang w:eastAsia="zh-CN"/>
              </w:rPr>
              <w:t>能满足《工业企业厂界环境噪声排放标准》中</w:t>
            </w:r>
            <w:r>
              <w:rPr>
                <w:rFonts w:hint="eastAsia" w:cs="Times New Roman"/>
                <w:color w:val="auto"/>
                <w:sz w:val="24"/>
                <w:highlight w:val="none"/>
                <w:lang w:val="en-US" w:eastAsia="zh-CN"/>
              </w:rPr>
              <w:t>4类标准</w:t>
            </w:r>
            <w:r>
              <w:rPr>
                <w:rFonts w:hint="default" w:ascii="Times New Roman" w:hAnsi="Times New Roman" w:cs="Times New Roman"/>
                <w:color w:val="auto"/>
                <w:sz w:val="24"/>
                <w:highlight w:val="none"/>
                <w:lang w:eastAsia="zh-CN"/>
              </w:rPr>
              <w:t>。通过采取上述噪声防治措施，</w:t>
            </w:r>
            <w:r>
              <w:rPr>
                <w:rFonts w:hint="eastAsia" w:cs="Times New Roman"/>
                <w:color w:val="auto"/>
                <w:sz w:val="24"/>
                <w:highlight w:val="none"/>
                <w:lang w:eastAsia="zh-CN"/>
              </w:rPr>
              <w:t>厂界</w:t>
            </w:r>
            <w:r>
              <w:rPr>
                <w:rFonts w:hint="default" w:ascii="Times New Roman" w:hAnsi="Times New Roman" w:cs="Times New Roman"/>
                <w:color w:val="auto"/>
                <w:sz w:val="24"/>
                <w:highlight w:val="none"/>
                <w:lang w:eastAsia="zh-CN"/>
              </w:rPr>
              <w:t>噪声可实现达标排放，</w:t>
            </w:r>
            <w:r>
              <w:rPr>
                <w:rFonts w:hint="eastAsia" w:ascii="Times New Roman" w:hAnsi="Times New Roman" w:eastAsia="宋体" w:cs="Times New Roman"/>
                <w:color w:val="auto"/>
                <w:sz w:val="24"/>
                <w:highlight w:val="none"/>
                <w:lang w:eastAsia="zh-CN"/>
              </w:rPr>
              <w:t>对周围声环境质量影响较小</w:t>
            </w:r>
            <w:r>
              <w:rPr>
                <w:rFonts w:hint="default" w:ascii="Times New Roman" w:hAnsi="Times New Roman" w:eastAsia="宋体" w:cs="Times New Roman"/>
                <w:color w:val="auto"/>
                <w:sz w:val="24"/>
                <w:highlight w:val="none"/>
                <w:lang w:eastAsia="zh-CN"/>
              </w:rPr>
              <w:t>。</w:t>
            </w:r>
          </w:p>
          <w:p w14:paraId="43B6E42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bCs/>
                <w:color w:val="auto"/>
                <w:sz w:val="24"/>
                <w:szCs w:val="24"/>
                <w:highlight w:val="none"/>
                <w:lang w:val="en-US" w:eastAsia="zh-CN"/>
              </w:rPr>
              <w:t>根据</w:t>
            </w:r>
            <w:r>
              <w:rPr>
                <w:rFonts w:hint="eastAsia" w:cs="Times New Roman"/>
                <w:bCs/>
                <w:color w:val="auto"/>
                <w:sz w:val="24"/>
                <w:szCs w:val="24"/>
                <w:highlight w:val="none"/>
                <w:lang w:val="en-US" w:eastAsia="zh-CN"/>
              </w:rPr>
              <w:t>重庆国环环境监测有限公司</w:t>
            </w:r>
            <w:r>
              <w:rPr>
                <w:rFonts w:hint="default" w:ascii="Times New Roman" w:hAnsi="Times New Roman" w:cs="Times New Roman"/>
                <w:bCs/>
                <w:color w:val="auto"/>
                <w:sz w:val="24"/>
                <w:szCs w:val="24"/>
                <w:highlight w:val="none"/>
                <w:lang w:val="en-US" w:eastAsia="zh-CN"/>
              </w:rPr>
              <w:t>202</w:t>
            </w:r>
            <w:r>
              <w:rPr>
                <w:rFonts w:hint="eastAsia" w:cs="Times New Roman"/>
                <w:bCs/>
                <w:color w:val="auto"/>
                <w:sz w:val="24"/>
                <w:szCs w:val="24"/>
                <w:highlight w:val="none"/>
                <w:lang w:val="en-US" w:eastAsia="zh-CN"/>
              </w:rPr>
              <w:t>5</w:t>
            </w:r>
            <w:r>
              <w:rPr>
                <w:rFonts w:hint="default" w:ascii="Times New Roman" w:hAnsi="Times New Roman" w:cs="Times New Roman"/>
                <w:bCs/>
                <w:color w:val="auto"/>
                <w:sz w:val="24"/>
                <w:szCs w:val="24"/>
                <w:highlight w:val="none"/>
                <w:lang w:val="en-US" w:eastAsia="zh-CN"/>
              </w:rPr>
              <w:t>年</w:t>
            </w:r>
            <w:r>
              <w:rPr>
                <w:rFonts w:hint="eastAsia" w:cs="Times New Roman"/>
                <w:bCs/>
                <w:color w:val="auto"/>
                <w:sz w:val="24"/>
                <w:szCs w:val="24"/>
                <w:highlight w:val="none"/>
                <w:lang w:val="en-US" w:eastAsia="zh-CN"/>
              </w:rPr>
              <w:t>7</w:t>
            </w:r>
            <w:r>
              <w:rPr>
                <w:rFonts w:hint="default" w:ascii="Times New Roman" w:hAnsi="Times New Roman" w:cs="Times New Roman"/>
                <w:bCs/>
                <w:color w:val="auto"/>
                <w:sz w:val="24"/>
                <w:szCs w:val="24"/>
                <w:highlight w:val="none"/>
                <w:lang w:val="en-US" w:eastAsia="zh-CN"/>
              </w:rPr>
              <w:t>月</w:t>
            </w:r>
            <w:r>
              <w:rPr>
                <w:rFonts w:hint="eastAsia" w:cs="Times New Roman"/>
                <w:bCs/>
                <w:color w:val="auto"/>
                <w:sz w:val="24"/>
                <w:szCs w:val="24"/>
                <w:highlight w:val="none"/>
                <w:lang w:val="en-US" w:eastAsia="zh-CN"/>
              </w:rPr>
              <w:t>16</w:t>
            </w:r>
            <w:r>
              <w:rPr>
                <w:rFonts w:hint="default" w:ascii="Times New Roman" w:hAnsi="Times New Roman" w:cs="Times New Roman"/>
                <w:bCs/>
                <w:color w:val="auto"/>
                <w:sz w:val="24"/>
                <w:szCs w:val="24"/>
                <w:highlight w:val="none"/>
                <w:lang w:val="en-US" w:eastAsia="zh-CN"/>
              </w:rPr>
              <w:t>日的噪声监测结果，</w:t>
            </w:r>
            <w:r>
              <w:rPr>
                <w:rFonts w:hint="eastAsia" w:cs="Times New Roman"/>
                <w:b w:val="0"/>
                <w:bCs/>
                <w:color w:val="auto"/>
                <w:sz w:val="24"/>
                <w:szCs w:val="24"/>
                <w:highlight w:val="none"/>
                <w:lang w:val="en-US" w:eastAsia="zh-CN"/>
              </w:rPr>
              <w:t>项目南侧居民楼</w:t>
            </w:r>
            <w:r>
              <w:rPr>
                <w:rFonts w:hint="default" w:ascii="Times New Roman" w:hAnsi="Times New Roman" w:eastAsia="宋体" w:cs="Times New Roman"/>
                <w:bCs/>
                <w:color w:val="auto"/>
                <w:sz w:val="24"/>
                <w:szCs w:val="24"/>
                <w:highlight w:val="none"/>
                <w:lang w:val="en-US" w:eastAsia="zh-CN"/>
              </w:rPr>
              <w:t>昼间</w:t>
            </w:r>
            <w:r>
              <w:rPr>
                <w:rFonts w:hint="eastAsia" w:ascii="Times New Roman" w:hAnsi="Times New Roman" w:eastAsia="宋体" w:cs="Times New Roman"/>
                <w:bCs/>
                <w:color w:val="auto"/>
                <w:sz w:val="24"/>
                <w:szCs w:val="24"/>
                <w:highlight w:val="none"/>
                <w:lang w:val="en-US" w:eastAsia="zh-CN"/>
              </w:rPr>
              <w:t>、夜间</w:t>
            </w:r>
            <w:r>
              <w:rPr>
                <w:rFonts w:hint="default" w:ascii="Times New Roman" w:hAnsi="Times New Roman" w:eastAsia="宋体" w:cs="Times New Roman"/>
                <w:bCs/>
                <w:color w:val="auto"/>
                <w:sz w:val="24"/>
                <w:szCs w:val="24"/>
                <w:highlight w:val="none"/>
                <w:lang w:val="en-US" w:eastAsia="zh-CN"/>
              </w:rPr>
              <w:t>噪声</w:t>
            </w:r>
            <w:r>
              <w:rPr>
                <w:rFonts w:hint="eastAsia" w:ascii="Times New Roman" w:hAnsi="Times New Roman" w:eastAsia="宋体" w:cs="Times New Roman"/>
                <w:bCs/>
                <w:color w:val="auto"/>
                <w:sz w:val="24"/>
                <w:szCs w:val="24"/>
                <w:highlight w:val="none"/>
                <w:lang w:val="en-US" w:eastAsia="zh-CN"/>
              </w:rPr>
              <w:t>均</w:t>
            </w:r>
            <w:r>
              <w:rPr>
                <w:rFonts w:hint="default" w:ascii="Times New Roman" w:hAnsi="Times New Roman" w:eastAsia="宋体" w:cs="Times New Roman"/>
                <w:bCs/>
                <w:color w:val="auto"/>
                <w:sz w:val="24"/>
                <w:szCs w:val="24"/>
                <w:highlight w:val="none"/>
                <w:lang w:val="en-US" w:eastAsia="zh-CN"/>
              </w:rPr>
              <w:t xml:space="preserve">满足《声环境质量标准》（GB </w:t>
            </w:r>
            <w:r>
              <w:rPr>
                <w:rFonts w:hint="default" w:ascii="Times New Roman" w:hAnsi="Times New Roman" w:cs="Times New Roman"/>
                <w:bCs/>
                <w:color w:val="auto"/>
                <w:sz w:val="24"/>
                <w:szCs w:val="24"/>
                <w:highlight w:val="none"/>
                <w:lang w:val="en-US" w:eastAsia="zh-CN"/>
              </w:rPr>
              <w:t>3096-2008）中</w:t>
            </w:r>
            <w:r>
              <w:rPr>
                <w:rFonts w:hint="eastAsia" w:cs="Times New Roman"/>
                <w:bCs/>
                <w:color w:val="auto"/>
                <w:sz w:val="24"/>
                <w:szCs w:val="24"/>
                <w:highlight w:val="none"/>
                <w:lang w:val="en-US" w:eastAsia="zh-CN"/>
              </w:rPr>
              <w:t>2</w:t>
            </w:r>
            <w:r>
              <w:rPr>
                <w:rFonts w:hint="default" w:ascii="Times New Roman" w:hAnsi="Times New Roman" w:cs="Times New Roman"/>
                <w:bCs/>
                <w:color w:val="auto"/>
                <w:sz w:val="24"/>
                <w:szCs w:val="24"/>
                <w:highlight w:val="none"/>
                <w:lang w:val="en-US" w:eastAsia="zh-CN"/>
              </w:rPr>
              <w:t>类标准要求</w:t>
            </w:r>
            <w:r>
              <w:rPr>
                <w:rFonts w:hint="eastAsia" w:cs="Times New Roman"/>
                <w:bCs/>
                <w:color w:val="auto"/>
                <w:sz w:val="24"/>
                <w:szCs w:val="24"/>
                <w:highlight w:val="none"/>
                <w:lang w:val="en-US" w:eastAsia="zh-CN"/>
              </w:rPr>
              <w:t>，项目西南侧学校</w:t>
            </w:r>
            <w:r>
              <w:rPr>
                <w:rFonts w:hint="default" w:ascii="Times New Roman" w:hAnsi="Times New Roman" w:eastAsia="宋体" w:cs="Times New Roman"/>
                <w:bCs/>
                <w:color w:val="auto"/>
                <w:sz w:val="24"/>
                <w:szCs w:val="24"/>
                <w:highlight w:val="none"/>
                <w:lang w:val="en-US" w:eastAsia="zh-CN"/>
              </w:rPr>
              <w:t>昼间</w:t>
            </w:r>
            <w:r>
              <w:rPr>
                <w:rFonts w:hint="eastAsia" w:ascii="Times New Roman" w:hAnsi="Times New Roman" w:eastAsia="宋体" w:cs="Times New Roman"/>
                <w:bCs/>
                <w:color w:val="auto"/>
                <w:sz w:val="24"/>
                <w:szCs w:val="24"/>
                <w:highlight w:val="none"/>
                <w:lang w:val="en-US" w:eastAsia="zh-CN"/>
              </w:rPr>
              <w:t>、夜间</w:t>
            </w:r>
            <w:r>
              <w:rPr>
                <w:rFonts w:hint="default" w:ascii="Times New Roman" w:hAnsi="Times New Roman" w:eastAsia="宋体" w:cs="Times New Roman"/>
                <w:bCs/>
                <w:color w:val="auto"/>
                <w:sz w:val="24"/>
                <w:szCs w:val="24"/>
                <w:highlight w:val="none"/>
                <w:lang w:val="en-US" w:eastAsia="zh-CN"/>
              </w:rPr>
              <w:t>噪声</w:t>
            </w:r>
            <w:r>
              <w:rPr>
                <w:rFonts w:hint="eastAsia" w:ascii="Times New Roman" w:hAnsi="Times New Roman" w:eastAsia="宋体" w:cs="Times New Roman"/>
                <w:bCs/>
                <w:color w:val="auto"/>
                <w:sz w:val="24"/>
                <w:szCs w:val="24"/>
                <w:highlight w:val="none"/>
                <w:lang w:val="en-US" w:eastAsia="zh-CN"/>
              </w:rPr>
              <w:t>均</w:t>
            </w:r>
            <w:r>
              <w:rPr>
                <w:rFonts w:hint="default" w:ascii="Times New Roman" w:hAnsi="Times New Roman" w:eastAsia="宋体" w:cs="Times New Roman"/>
                <w:bCs/>
                <w:color w:val="auto"/>
                <w:sz w:val="24"/>
                <w:szCs w:val="24"/>
                <w:highlight w:val="none"/>
                <w:lang w:val="en-US" w:eastAsia="zh-CN"/>
              </w:rPr>
              <w:t xml:space="preserve">满足《声环境质量标准》（GB </w:t>
            </w:r>
            <w:r>
              <w:rPr>
                <w:rFonts w:hint="default" w:ascii="Times New Roman" w:hAnsi="Times New Roman" w:cs="Times New Roman"/>
                <w:bCs/>
                <w:color w:val="auto"/>
                <w:sz w:val="24"/>
                <w:szCs w:val="24"/>
                <w:highlight w:val="none"/>
                <w:lang w:val="en-US" w:eastAsia="zh-CN"/>
              </w:rPr>
              <w:t>3096-2008）中</w:t>
            </w:r>
            <w:r>
              <w:rPr>
                <w:rFonts w:hint="eastAsia" w:cs="Times New Roman"/>
                <w:bCs/>
                <w:color w:val="auto"/>
                <w:sz w:val="24"/>
                <w:szCs w:val="24"/>
                <w:highlight w:val="none"/>
                <w:lang w:val="en-US" w:eastAsia="zh-CN"/>
              </w:rPr>
              <w:t>1</w:t>
            </w:r>
            <w:r>
              <w:rPr>
                <w:rFonts w:hint="default" w:ascii="Times New Roman" w:hAnsi="Times New Roman" w:cs="Times New Roman"/>
                <w:bCs/>
                <w:color w:val="auto"/>
                <w:sz w:val="24"/>
                <w:szCs w:val="24"/>
                <w:highlight w:val="none"/>
                <w:lang w:val="en-US" w:eastAsia="zh-CN"/>
              </w:rPr>
              <w:t>类标准要求。</w:t>
            </w:r>
            <w:r>
              <w:rPr>
                <w:rFonts w:hint="eastAsia" w:ascii="Times New Roman" w:hAnsi="Times New Roman" w:eastAsia="宋体" w:cs="Times New Roman"/>
                <w:color w:val="auto"/>
                <w:kern w:val="2"/>
                <w:sz w:val="24"/>
                <w:szCs w:val="24"/>
                <w:highlight w:val="none"/>
                <w:lang w:val="en-US" w:eastAsia="zh-CN" w:bidi="ar-SA"/>
              </w:rPr>
              <w:t>本项目是在现有医院的基础上</w:t>
            </w:r>
            <w:r>
              <w:rPr>
                <w:rFonts w:hint="eastAsia" w:cs="Times New Roman"/>
                <w:color w:val="auto"/>
                <w:kern w:val="2"/>
                <w:sz w:val="24"/>
                <w:szCs w:val="24"/>
                <w:highlight w:val="none"/>
                <w:lang w:val="en-US" w:eastAsia="zh-CN" w:bidi="ar-SA"/>
              </w:rPr>
              <w:t>新增的麻醉机等三腔手术设备无噪声产生</w:t>
            </w:r>
            <w:r>
              <w:rPr>
                <w:rFonts w:hint="eastAsia" w:ascii="Times New Roman" w:hAnsi="Times New Roman" w:eastAsia="宋体" w:cs="Times New Roman"/>
                <w:color w:val="auto"/>
                <w:kern w:val="2"/>
                <w:sz w:val="24"/>
                <w:szCs w:val="24"/>
                <w:highlight w:val="none"/>
                <w:lang w:val="en-US" w:eastAsia="zh-CN" w:bidi="ar-SA"/>
              </w:rPr>
              <w:t>，扩建前后</w:t>
            </w:r>
            <w:r>
              <w:rPr>
                <w:rFonts w:hint="eastAsia" w:cs="Times New Roman"/>
                <w:color w:val="auto"/>
                <w:kern w:val="2"/>
                <w:sz w:val="24"/>
                <w:szCs w:val="24"/>
                <w:highlight w:val="none"/>
                <w:lang w:val="en-US" w:eastAsia="zh-CN" w:bidi="ar-SA"/>
              </w:rPr>
              <w:t>接诊量不变，动物手术过程中无噪声产生</w:t>
            </w:r>
            <w:r>
              <w:rPr>
                <w:rFonts w:hint="eastAsia" w:ascii="Times New Roman" w:hAnsi="Times New Roman" w:eastAsia="宋体" w:cs="Times New Roman"/>
                <w:color w:val="auto"/>
                <w:kern w:val="2"/>
                <w:sz w:val="24"/>
                <w:szCs w:val="24"/>
                <w:highlight w:val="none"/>
                <w:lang w:val="en-US" w:eastAsia="zh-CN" w:bidi="ar-SA"/>
              </w:rPr>
              <w:t>，现状监测时噪声结果已包括本项目贡献值，故不必再叠加本项目贡献值预测项目50m范围内声环境保护目标的噪声。</w:t>
            </w:r>
          </w:p>
          <w:p w14:paraId="35362C8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sz w:val="24"/>
                <w:highlight w:val="none"/>
                <w:lang w:eastAsia="zh-CN"/>
              </w:rPr>
            </w:pPr>
            <w:r>
              <w:rPr>
                <w:rFonts w:hint="eastAsia" w:ascii="Times New Roman" w:hAnsi="Times New Roman" w:eastAsia="宋体" w:cs="Times New Roman"/>
                <w:color w:val="auto"/>
                <w:kern w:val="2"/>
                <w:sz w:val="24"/>
                <w:szCs w:val="24"/>
                <w:highlight w:val="none"/>
                <w:lang w:val="en-US" w:eastAsia="zh-CN" w:bidi="ar-SA"/>
              </w:rPr>
              <w:t>因此</w:t>
            </w:r>
            <w:r>
              <w:rPr>
                <w:rFonts w:hint="default"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本项目运营服务期对声环境保护目标影响较小</w:t>
            </w:r>
            <w:r>
              <w:rPr>
                <w:rFonts w:hint="eastAsia" w:cs="Times New Roman"/>
                <w:color w:val="auto"/>
                <w:sz w:val="24"/>
                <w:highlight w:val="none"/>
                <w:lang w:eastAsia="zh-CN"/>
              </w:rPr>
              <w:t>。</w:t>
            </w:r>
          </w:p>
          <w:p w14:paraId="7B3160F8">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cs="Times New Roman"/>
                <w:b/>
                <w:bCs/>
                <w:color w:val="auto"/>
                <w:sz w:val="24"/>
                <w:highlight w:val="none"/>
                <w:lang w:eastAsia="zh-CN"/>
              </w:rPr>
            </w:pPr>
            <w:r>
              <w:rPr>
                <w:rFonts w:hint="default" w:ascii="Times New Roman" w:hAnsi="Times New Roman" w:cs="Times New Roman"/>
                <w:b/>
                <w:bCs/>
                <w:color w:val="auto"/>
                <w:sz w:val="24"/>
                <w:highlight w:val="none"/>
                <w:lang w:eastAsia="zh-CN"/>
              </w:rPr>
              <w:t>4.2.3.4 防治措施</w:t>
            </w:r>
          </w:p>
          <w:p w14:paraId="39C0A58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auto"/>
                <w:sz w:val="24"/>
                <w:highlight w:val="none"/>
                <w:lang w:eastAsia="zh-CN"/>
              </w:rPr>
            </w:pPr>
            <w:r>
              <w:rPr>
                <w:rFonts w:hint="default" w:ascii="Times New Roman" w:hAnsi="Times New Roman" w:cs="Times New Roman"/>
                <w:b w:val="0"/>
                <w:bCs w:val="0"/>
                <w:color w:val="auto"/>
                <w:sz w:val="24"/>
                <w:highlight w:val="none"/>
                <w:lang w:eastAsia="zh-CN"/>
              </w:rPr>
              <w:t>为了防止动物偶发噪声对周边环境保护目标造成影响，项目针对住院房间采取具体的降噪措施如下：</w:t>
            </w:r>
          </w:p>
          <w:p w14:paraId="69CEB24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auto"/>
                <w:sz w:val="24"/>
                <w:highlight w:val="none"/>
                <w:lang w:eastAsia="zh-CN"/>
              </w:rPr>
            </w:pPr>
            <w:r>
              <w:rPr>
                <w:rFonts w:hint="default" w:ascii="Times New Roman" w:hAnsi="Times New Roman" w:cs="Times New Roman"/>
                <w:b w:val="0"/>
                <w:bCs w:val="0"/>
                <w:color w:val="auto"/>
                <w:sz w:val="24"/>
                <w:highlight w:val="none"/>
                <w:lang w:eastAsia="zh-CN"/>
              </w:rPr>
              <w:t>A、猫住院室、犬住院室无门窗，仅设朝医院内部的门，墙体为一般砖混结构墙体厚度约30cm，具有一定的隔声效果。</w:t>
            </w:r>
          </w:p>
          <w:p w14:paraId="6E90561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auto"/>
                <w:sz w:val="24"/>
                <w:highlight w:val="none"/>
                <w:lang w:eastAsia="zh-CN"/>
              </w:rPr>
            </w:pPr>
            <w:r>
              <w:rPr>
                <w:rFonts w:hint="default" w:ascii="Times New Roman" w:hAnsi="Times New Roman" w:cs="Times New Roman"/>
                <w:b w:val="0"/>
                <w:bCs w:val="0"/>
                <w:color w:val="auto"/>
                <w:sz w:val="24"/>
                <w:highlight w:val="none"/>
                <w:lang w:eastAsia="zh-CN"/>
              </w:rPr>
              <w:t>B、住院留观的宠物都必须佩戴嘴套，同时加强管理，避免其</w:t>
            </w:r>
            <w:r>
              <w:rPr>
                <w:rFonts w:hint="eastAsia" w:cs="Times New Roman"/>
                <w:b w:val="0"/>
                <w:bCs w:val="0"/>
                <w:color w:val="auto"/>
                <w:sz w:val="24"/>
                <w:highlight w:val="none"/>
                <w:lang w:eastAsia="zh-CN"/>
              </w:rPr>
              <w:t>处于</w:t>
            </w:r>
            <w:r>
              <w:rPr>
                <w:rFonts w:hint="default" w:ascii="Times New Roman" w:hAnsi="Times New Roman" w:cs="Times New Roman"/>
                <w:b w:val="0"/>
                <w:bCs w:val="0"/>
                <w:color w:val="auto"/>
                <w:sz w:val="24"/>
                <w:highlight w:val="none"/>
                <w:lang w:eastAsia="zh-CN"/>
              </w:rPr>
              <w:t>饥饿状态。项目采取以上措施后，场界噪声可满足《工业企业厂界环境噪声排放标准》（GB12348-2008）</w:t>
            </w:r>
            <w:r>
              <w:rPr>
                <w:rFonts w:hint="eastAsia" w:cs="Times New Roman"/>
                <w:b w:val="0"/>
                <w:bCs w:val="0"/>
                <w:color w:val="auto"/>
                <w:sz w:val="24"/>
                <w:highlight w:val="none"/>
                <w:lang w:val="en-US" w:eastAsia="zh-CN"/>
              </w:rPr>
              <w:t>2类标准</w:t>
            </w:r>
            <w:r>
              <w:rPr>
                <w:rFonts w:hint="default" w:ascii="Times New Roman" w:hAnsi="Times New Roman" w:cs="Times New Roman"/>
                <w:b w:val="0"/>
                <w:bCs w:val="0"/>
                <w:color w:val="auto"/>
                <w:sz w:val="24"/>
                <w:highlight w:val="none"/>
                <w:lang w:eastAsia="zh-CN"/>
              </w:rPr>
              <w:t>。</w:t>
            </w:r>
          </w:p>
          <w:p w14:paraId="72BC209B">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cs="Times New Roman"/>
                <w:b/>
                <w:bCs/>
                <w:color w:val="auto"/>
                <w:sz w:val="24"/>
                <w:highlight w:val="none"/>
                <w:lang w:eastAsia="zh-CN"/>
              </w:rPr>
            </w:pPr>
            <w:r>
              <w:rPr>
                <w:rFonts w:hint="default" w:ascii="Times New Roman" w:hAnsi="Times New Roman" w:cs="Times New Roman"/>
                <w:b/>
                <w:bCs/>
                <w:color w:val="auto"/>
                <w:sz w:val="24"/>
                <w:highlight w:val="none"/>
                <w:lang w:eastAsia="zh-CN"/>
              </w:rPr>
              <w:t>4.2.3.5 噪声监测计划</w:t>
            </w:r>
          </w:p>
          <w:p w14:paraId="33B001D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auto"/>
                <w:sz w:val="24"/>
                <w:highlight w:val="none"/>
                <w:lang w:eastAsia="zh-CN"/>
              </w:rPr>
            </w:pPr>
            <w:r>
              <w:rPr>
                <w:rFonts w:hint="default" w:ascii="Times New Roman" w:hAnsi="Times New Roman" w:cs="Times New Roman"/>
                <w:b w:val="0"/>
                <w:bCs w:val="0"/>
                <w:color w:val="auto"/>
                <w:sz w:val="24"/>
                <w:highlight w:val="none"/>
                <w:lang w:eastAsia="zh-CN"/>
              </w:rPr>
              <w:t>根据《排污许可申请与核发技术规范 总则》（HJ942-2018）、《排污单位自行监测技术指南 总则》（HJ819-2017）等文件，项目噪声监测要求见下表。</w:t>
            </w:r>
          </w:p>
          <w:p w14:paraId="6F0DD5D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4"/>
                <w:highlight w:val="none"/>
                <w:vertAlign w:val="baseline"/>
                <w:lang w:eastAsia="zh-CN"/>
              </w:rPr>
            </w:pPr>
            <w:r>
              <w:rPr>
                <w:rFonts w:hint="default" w:ascii="Times New Roman" w:hAnsi="Times New Roman" w:cs="Times New Roman"/>
                <w:b/>
                <w:bCs/>
                <w:color w:val="auto"/>
                <w:sz w:val="24"/>
                <w:highlight w:val="none"/>
                <w:lang w:eastAsia="zh-CN"/>
              </w:rPr>
              <w:t>表4.2-</w:t>
            </w:r>
            <w:r>
              <w:rPr>
                <w:rFonts w:hint="eastAsia" w:cs="Times New Roman"/>
                <w:b/>
                <w:bCs/>
                <w:color w:val="auto"/>
                <w:sz w:val="24"/>
                <w:highlight w:val="none"/>
                <w:lang w:val="en-US" w:eastAsia="zh-CN"/>
              </w:rPr>
              <w:t>10</w:t>
            </w:r>
            <w:r>
              <w:rPr>
                <w:rFonts w:hint="default" w:ascii="Times New Roman" w:hAnsi="Times New Roman" w:cs="Times New Roman"/>
                <w:b/>
                <w:bCs/>
                <w:color w:val="auto"/>
                <w:sz w:val="24"/>
                <w:highlight w:val="none"/>
                <w:lang w:eastAsia="zh-CN"/>
              </w:rPr>
              <w:t xml:space="preserve"> 噪声监测要求一览表</w:t>
            </w:r>
          </w:p>
          <w:tbl>
            <w:tblPr>
              <w:tblStyle w:val="2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471"/>
              <w:gridCol w:w="1688"/>
              <w:gridCol w:w="2081"/>
              <w:gridCol w:w="2082"/>
            </w:tblGrid>
            <w:tr w14:paraId="32C179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84" w:type="pct"/>
                  <w:tcBorders>
                    <w:tl2br w:val="nil"/>
                    <w:tr2bl w:val="nil"/>
                  </w:tcBorders>
                  <w:vAlign w:val="center"/>
                </w:tcPr>
                <w:p w14:paraId="1FCCD2E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监测点位</w:t>
                  </w:r>
                </w:p>
              </w:tc>
              <w:tc>
                <w:tcPr>
                  <w:tcW w:w="1014" w:type="pct"/>
                  <w:tcBorders>
                    <w:tl2br w:val="nil"/>
                    <w:tr2bl w:val="nil"/>
                  </w:tcBorders>
                  <w:vAlign w:val="center"/>
                </w:tcPr>
                <w:p w14:paraId="1AC34EB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highlight w:val="none"/>
                      <w:vertAlign w:val="baseline"/>
                      <w:lang w:eastAsia="zh-CN"/>
                    </w:rPr>
                  </w:pPr>
                  <w:r>
                    <w:rPr>
                      <w:rFonts w:hint="default" w:ascii="Times New Roman" w:hAnsi="Times New Roman" w:cs="Times New Roman"/>
                      <w:b w:val="0"/>
                      <w:bCs w:val="0"/>
                      <w:color w:val="auto"/>
                      <w:sz w:val="21"/>
                      <w:szCs w:val="21"/>
                      <w:highlight w:val="none"/>
                      <w:vertAlign w:val="baseline"/>
                      <w:lang w:eastAsia="zh-CN"/>
                    </w:rPr>
                    <w:t>监测因子</w:t>
                  </w:r>
                </w:p>
              </w:tc>
              <w:tc>
                <w:tcPr>
                  <w:tcW w:w="1250" w:type="pct"/>
                  <w:tcBorders>
                    <w:tl2br w:val="nil"/>
                    <w:tr2bl w:val="nil"/>
                  </w:tcBorders>
                  <w:vAlign w:val="center"/>
                </w:tcPr>
                <w:p w14:paraId="201A5C1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监测频率</w:t>
                  </w:r>
                </w:p>
              </w:tc>
              <w:tc>
                <w:tcPr>
                  <w:tcW w:w="1250" w:type="pct"/>
                  <w:tcBorders>
                    <w:tl2br w:val="nil"/>
                    <w:tr2bl w:val="nil"/>
                  </w:tcBorders>
                  <w:vAlign w:val="center"/>
                </w:tcPr>
                <w:p w14:paraId="0C61FC7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执行标准</w:t>
                  </w:r>
                </w:p>
              </w:tc>
            </w:tr>
            <w:tr w14:paraId="2EE1D2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84" w:type="pct"/>
                  <w:tcBorders>
                    <w:tl2br w:val="nil"/>
                    <w:tr2bl w:val="nil"/>
                  </w:tcBorders>
                  <w:vAlign w:val="center"/>
                </w:tcPr>
                <w:p w14:paraId="5CAD721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highlight w:val="none"/>
                      <w:vertAlign w:val="baseline"/>
                      <w:lang w:eastAsia="zh-CN"/>
                    </w:rPr>
                  </w:pPr>
                  <w:r>
                    <w:rPr>
                      <w:rFonts w:hint="default" w:ascii="Times New Roman" w:hAnsi="Times New Roman" w:cs="Times New Roman"/>
                      <w:b w:val="0"/>
                      <w:bCs w:val="0"/>
                      <w:color w:val="auto"/>
                      <w:sz w:val="21"/>
                      <w:szCs w:val="21"/>
                      <w:highlight w:val="none"/>
                      <w:vertAlign w:val="baseline"/>
                      <w:lang w:eastAsia="zh-CN"/>
                    </w:rPr>
                    <w:t>项目</w:t>
                  </w:r>
                  <w:r>
                    <w:rPr>
                      <w:rFonts w:hint="eastAsia" w:cs="Times New Roman"/>
                      <w:b w:val="0"/>
                      <w:bCs w:val="0"/>
                      <w:color w:val="auto"/>
                      <w:sz w:val="21"/>
                      <w:szCs w:val="21"/>
                      <w:highlight w:val="none"/>
                      <w:vertAlign w:val="baseline"/>
                      <w:lang w:val="en-US" w:eastAsia="zh-CN"/>
                    </w:rPr>
                    <w:t>北厂界</w:t>
                  </w:r>
                  <w:r>
                    <w:rPr>
                      <w:rFonts w:hint="default" w:ascii="Times New Roman" w:hAnsi="Times New Roman" w:cs="Times New Roman"/>
                      <w:b w:val="0"/>
                      <w:bCs w:val="0"/>
                      <w:color w:val="auto"/>
                      <w:sz w:val="21"/>
                      <w:szCs w:val="21"/>
                      <w:highlight w:val="none"/>
                      <w:vertAlign w:val="baseline"/>
                      <w:lang w:eastAsia="zh-CN"/>
                    </w:rPr>
                    <w:t>外1m外</w:t>
                  </w:r>
                </w:p>
              </w:tc>
              <w:tc>
                <w:tcPr>
                  <w:tcW w:w="1014" w:type="pct"/>
                  <w:tcBorders>
                    <w:tl2br w:val="nil"/>
                    <w:tr2bl w:val="nil"/>
                  </w:tcBorders>
                  <w:vAlign w:val="center"/>
                </w:tcPr>
                <w:p w14:paraId="45997D3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昼、夜间等效声级</w:t>
                  </w:r>
                </w:p>
              </w:tc>
              <w:tc>
                <w:tcPr>
                  <w:tcW w:w="1250" w:type="pct"/>
                  <w:tcBorders>
                    <w:tl2br w:val="nil"/>
                    <w:tr2bl w:val="nil"/>
                  </w:tcBorders>
                  <w:vAlign w:val="center"/>
                </w:tcPr>
                <w:p w14:paraId="31593BB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验收时监测一次</w:t>
                  </w:r>
                </w:p>
              </w:tc>
              <w:tc>
                <w:tcPr>
                  <w:tcW w:w="1250" w:type="pct"/>
                  <w:tcBorders>
                    <w:tl2br w:val="nil"/>
                    <w:tr2bl w:val="nil"/>
                  </w:tcBorders>
                  <w:vAlign w:val="center"/>
                </w:tcPr>
                <w:p w14:paraId="2CD5B84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highlight w:val="none"/>
                      <w:vertAlign w:val="baseline"/>
                      <w:lang w:eastAsia="zh-CN"/>
                    </w:rPr>
                  </w:pPr>
                  <w:r>
                    <w:rPr>
                      <w:rFonts w:hint="default" w:ascii="Times New Roman" w:hAnsi="Times New Roman" w:cs="Times New Roman"/>
                      <w:b w:val="0"/>
                      <w:bCs w:val="0"/>
                      <w:color w:val="auto"/>
                      <w:sz w:val="21"/>
                      <w:szCs w:val="21"/>
                      <w:highlight w:val="none"/>
                      <w:vertAlign w:val="baseline"/>
                      <w:lang w:eastAsia="zh-CN"/>
                    </w:rPr>
                    <w:t>《工业企业厂界环境噪声排放标准》（GB12348-2008）</w:t>
                  </w:r>
                  <w:r>
                    <w:rPr>
                      <w:rFonts w:hint="eastAsia" w:cs="Times New Roman"/>
                      <w:b w:val="0"/>
                      <w:bCs w:val="0"/>
                      <w:color w:val="auto"/>
                      <w:sz w:val="21"/>
                      <w:szCs w:val="21"/>
                      <w:highlight w:val="none"/>
                      <w:vertAlign w:val="baseline"/>
                      <w:lang w:val="en-US" w:eastAsia="zh-CN"/>
                    </w:rPr>
                    <w:t>4</w:t>
                  </w:r>
                  <w:r>
                    <w:rPr>
                      <w:rFonts w:hint="default" w:ascii="Times New Roman" w:hAnsi="Times New Roman" w:cs="Times New Roman"/>
                      <w:b w:val="0"/>
                      <w:bCs w:val="0"/>
                      <w:color w:val="auto"/>
                      <w:sz w:val="21"/>
                      <w:szCs w:val="21"/>
                      <w:highlight w:val="none"/>
                      <w:vertAlign w:val="baseline"/>
                      <w:lang w:eastAsia="zh-CN"/>
                    </w:rPr>
                    <w:t>类标准</w:t>
                  </w:r>
                </w:p>
              </w:tc>
            </w:tr>
            <w:tr w14:paraId="2331CC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4"/>
                  <w:tcBorders>
                    <w:tl2br w:val="nil"/>
                    <w:tr2bl w:val="nil"/>
                  </w:tcBorders>
                  <w:vAlign w:val="center"/>
                </w:tcPr>
                <w:p w14:paraId="2A1F5E14">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b w:val="0"/>
                      <w:bCs w:val="0"/>
                      <w:color w:val="auto"/>
                      <w:sz w:val="21"/>
                      <w:szCs w:val="21"/>
                      <w:highlight w:val="none"/>
                      <w:vertAlign w:val="baseline"/>
                      <w:lang w:eastAsia="zh-CN"/>
                    </w:rPr>
                  </w:pPr>
                  <w:r>
                    <w:rPr>
                      <w:rFonts w:hint="default" w:ascii="Times New Roman" w:hAnsi="Times New Roman" w:cs="Times New Roman"/>
                      <w:b w:val="0"/>
                      <w:bCs w:val="0"/>
                      <w:color w:val="auto"/>
                      <w:sz w:val="21"/>
                      <w:szCs w:val="21"/>
                      <w:highlight w:val="none"/>
                      <w:vertAlign w:val="baseline"/>
                      <w:lang w:eastAsia="zh-CN"/>
                    </w:rPr>
                    <w:t>注：</w:t>
                  </w:r>
                  <w:r>
                    <w:rPr>
                      <w:rFonts w:hint="default" w:ascii="Times New Roman" w:hAnsi="Times New Roman" w:cs="Times New Roman"/>
                      <w:b w:val="0"/>
                      <w:bCs/>
                      <w:color w:val="auto"/>
                      <w:kern w:val="0"/>
                      <w:sz w:val="21"/>
                      <w:szCs w:val="21"/>
                      <w:highlight w:val="none"/>
                      <w:vertAlign w:val="baseline"/>
                      <w:lang w:eastAsia="zh-CN"/>
                    </w:rPr>
                    <w:t>项目</w:t>
                  </w:r>
                  <w:r>
                    <w:rPr>
                      <w:rFonts w:hint="eastAsia" w:cs="Times New Roman"/>
                      <w:b w:val="0"/>
                      <w:bCs/>
                      <w:color w:val="auto"/>
                      <w:kern w:val="0"/>
                      <w:sz w:val="21"/>
                      <w:szCs w:val="21"/>
                      <w:highlight w:val="none"/>
                      <w:vertAlign w:val="baseline"/>
                      <w:lang w:val="en-US" w:eastAsia="zh-CN"/>
                    </w:rPr>
                    <w:t>南侧、东侧、西侧厂</w:t>
                  </w:r>
                  <w:r>
                    <w:rPr>
                      <w:rFonts w:hint="eastAsia" w:cs="Times New Roman"/>
                      <w:b w:val="0"/>
                      <w:bCs/>
                      <w:color w:val="auto"/>
                      <w:kern w:val="0"/>
                      <w:sz w:val="21"/>
                      <w:szCs w:val="21"/>
                      <w:highlight w:val="none"/>
                      <w:vertAlign w:val="baseline"/>
                      <w:lang w:eastAsia="zh-CN"/>
                    </w:rPr>
                    <w:t>界</w:t>
                  </w:r>
                  <w:r>
                    <w:rPr>
                      <w:rFonts w:hint="default" w:ascii="Times New Roman" w:hAnsi="Times New Roman" w:cs="Times New Roman"/>
                      <w:b w:val="0"/>
                      <w:bCs/>
                      <w:color w:val="auto"/>
                      <w:kern w:val="0"/>
                      <w:sz w:val="21"/>
                      <w:szCs w:val="21"/>
                      <w:highlight w:val="none"/>
                      <w:vertAlign w:val="baseline"/>
                      <w:lang w:eastAsia="zh-CN"/>
                    </w:rPr>
                    <w:t>与隔壁商户共用</w:t>
                  </w:r>
                  <w:r>
                    <w:rPr>
                      <w:rFonts w:hint="eastAsia" w:cs="Times New Roman"/>
                      <w:b w:val="0"/>
                      <w:bCs/>
                      <w:color w:val="auto"/>
                      <w:kern w:val="0"/>
                      <w:sz w:val="21"/>
                      <w:szCs w:val="21"/>
                      <w:highlight w:val="none"/>
                      <w:vertAlign w:val="baseline"/>
                      <w:lang w:val="en-US" w:eastAsia="zh-CN"/>
                    </w:rPr>
                    <w:t>隔墙</w:t>
                  </w:r>
                  <w:r>
                    <w:rPr>
                      <w:rFonts w:hint="default" w:ascii="Times New Roman" w:hAnsi="Times New Roman" w:cs="Times New Roman"/>
                      <w:b w:val="0"/>
                      <w:bCs w:val="0"/>
                      <w:color w:val="auto"/>
                      <w:sz w:val="21"/>
                      <w:szCs w:val="21"/>
                      <w:highlight w:val="none"/>
                      <w:vertAlign w:val="baseline"/>
                      <w:lang w:eastAsia="zh-CN"/>
                    </w:rPr>
                    <w:t>，因此不进行监测。</w:t>
                  </w:r>
                </w:p>
              </w:tc>
            </w:tr>
          </w:tbl>
          <w:p w14:paraId="06CDE9FB">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cs="Times New Roman"/>
                <w:b/>
                <w:bCs/>
                <w:color w:val="auto"/>
                <w:sz w:val="24"/>
                <w:highlight w:val="none"/>
                <w:lang w:eastAsia="zh-CN"/>
              </w:rPr>
            </w:pPr>
            <w:r>
              <w:rPr>
                <w:rFonts w:hint="default" w:ascii="Times New Roman" w:hAnsi="Times New Roman" w:cs="Times New Roman"/>
                <w:b/>
                <w:bCs/>
                <w:color w:val="auto"/>
                <w:sz w:val="24"/>
                <w:highlight w:val="none"/>
                <w:lang w:eastAsia="zh-CN"/>
              </w:rPr>
              <w:t>4.2.4 固废</w:t>
            </w:r>
          </w:p>
          <w:p w14:paraId="31E6C94F">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cs="Times New Roman"/>
                <w:b/>
                <w:bCs/>
                <w:color w:val="000000" w:themeColor="text1"/>
                <w:sz w:val="24"/>
                <w:highlight w:val="none"/>
                <w:lang w:eastAsia="zh-CN"/>
                <w14:textFill>
                  <w14:solidFill>
                    <w14:schemeClr w14:val="tx1"/>
                  </w14:solidFill>
                </w14:textFill>
              </w:rPr>
            </w:pPr>
            <w:r>
              <w:rPr>
                <w:rFonts w:hint="default" w:ascii="Times New Roman" w:hAnsi="Times New Roman" w:cs="Times New Roman"/>
                <w:b/>
                <w:bCs/>
                <w:color w:val="000000" w:themeColor="text1"/>
                <w:sz w:val="24"/>
                <w:highlight w:val="none"/>
                <w:lang w:eastAsia="zh-CN"/>
                <w14:textFill>
                  <w14:solidFill>
                    <w14:schemeClr w14:val="tx1"/>
                  </w14:solidFill>
                </w14:textFill>
              </w:rPr>
              <w:t>4.2.4.1 固体废物排放信息</w:t>
            </w:r>
          </w:p>
          <w:p w14:paraId="5BE4C18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000000" w:themeColor="text1"/>
                <w:sz w:val="24"/>
                <w:highlight w:val="none"/>
                <w:lang w:eastAsia="zh-CN"/>
                <w14:textFill>
                  <w14:solidFill>
                    <w14:schemeClr w14:val="tx1"/>
                  </w14:solidFill>
                </w14:textFill>
              </w:rPr>
            </w:pPr>
            <w:r>
              <w:rPr>
                <w:rFonts w:hint="default" w:ascii="Times New Roman" w:hAnsi="Times New Roman" w:cs="Times New Roman"/>
                <w:b w:val="0"/>
                <w:bCs w:val="0"/>
                <w:color w:val="000000" w:themeColor="text1"/>
                <w:sz w:val="24"/>
                <w:highlight w:val="none"/>
                <w:lang w:eastAsia="zh-CN"/>
                <w14:textFill>
                  <w14:solidFill>
                    <w14:schemeClr w14:val="tx1"/>
                  </w14:solidFill>
                </w14:textFill>
              </w:rPr>
              <w:t>项目营运期固体废物主要包括一般固体废物（动物粪污、</w:t>
            </w:r>
            <w:r>
              <w:rPr>
                <w:rFonts w:hint="eastAsia" w:cs="Times New Roman"/>
                <w:b w:val="0"/>
                <w:bCs w:val="0"/>
                <w:color w:val="000000" w:themeColor="text1"/>
                <w:sz w:val="24"/>
                <w:highlight w:val="none"/>
                <w:lang w:val="en-US" w:eastAsia="zh-CN"/>
                <w14:textFill>
                  <w14:solidFill>
                    <w14:schemeClr w14:val="tx1"/>
                  </w14:solidFill>
                </w14:textFill>
              </w:rPr>
              <w:t>动物毛发</w:t>
            </w:r>
            <w:r>
              <w:rPr>
                <w:rFonts w:hint="default" w:ascii="Times New Roman" w:hAnsi="Times New Roman" w:cs="Times New Roman"/>
                <w:b w:val="0"/>
                <w:bCs w:val="0"/>
                <w:color w:val="000000" w:themeColor="text1"/>
                <w:sz w:val="24"/>
                <w:highlight w:val="none"/>
                <w:lang w:eastAsia="zh-CN"/>
                <w14:textFill>
                  <w14:solidFill>
                    <w14:schemeClr w14:val="tx1"/>
                  </w14:solidFill>
                </w14:textFill>
              </w:rPr>
              <w:t>）、危险废物（医疗废物、废紫外灯管）、动物尸体、生活垃圾等</w:t>
            </w:r>
            <w:r>
              <w:rPr>
                <w:rFonts w:hint="eastAsia" w:cs="Times New Roman"/>
                <w:b w:val="0"/>
                <w:bCs w:val="0"/>
                <w:color w:val="000000" w:themeColor="text1"/>
                <w:sz w:val="24"/>
                <w:highlight w:val="none"/>
                <w:lang w:eastAsia="zh-CN"/>
                <w14:textFill>
                  <w14:solidFill>
                    <w14:schemeClr w14:val="tx1"/>
                  </w14:solidFill>
                </w14:textFill>
              </w:rPr>
              <w:t>；</w:t>
            </w:r>
            <w:r>
              <w:rPr>
                <w:rFonts w:hint="default" w:ascii="Times New Roman" w:hAnsi="Times New Roman" w:cs="Times New Roman"/>
                <w:b w:val="0"/>
                <w:bCs w:val="0"/>
                <w:color w:val="000000" w:themeColor="text1"/>
                <w:sz w:val="24"/>
                <w:highlight w:val="none"/>
                <w:lang w:eastAsia="zh-CN"/>
                <w14:textFill>
                  <w14:solidFill>
                    <w14:schemeClr w14:val="tx1"/>
                  </w14:solidFill>
                </w14:textFill>
              </w:rPr>
              <w:t>其中医疗废物主要包括感染性废物、损伤性废物、化学性废物、药物性废物、病理性药物等等。</w:t>
            </w:r>
          </w:p>
          <w:p w14:paraId="412CE38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000000" w:themeColor="text1"/>
                <w:sz w:val="24"/>
                <w:highlight w:val="none"/>
                <w:lang w:eastAsia="zh-CN"/>
                <w14:textFill>
                  <w14:solidFill>
                    <w14:schemeClr w14:val="tx1"/>
                  </w14:solidFill>
                </w14:textFill>
              </w:rPr>
            </w:pPr>
            <w:r>
              <w:rPr>
                <w:rFonts w:hint="default" w:ascii="Times New Roman" w:hAnsi="Times New Roman" w:cs="Times New Roman"/>
                <w:b w:val="0"/>
                <w:bCs w:val="0"/>
                <w:color w:val="000000" w:themeColor="text1"/>
                <w:sz w:val="24"/>
                <w:highlight w:val="none"/>
                <w:lang w:eastAsia="zh-CN"/>
                <w14:textFill>
                  <w14:solidFill>
                    <w14:schemeClr w14:val="tx1"/>
                  </w14:solidFill>
                </w14:textFill>
              </w:rPr>
              <w:t>（</w:t>
            </w:r>
            <w:r>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t>1</w:t>
            </w:r>
            <w:r>
              <w:rPr>
                <w:rFonts w:hint="default" w:ascii="Times New Roman" w:hAnsi="Times New Roman" w:cs="Times New Roman"/>
                <w:b w:val="0"/>
                <w:bCs w:val="0"/>
                <w:color w:val="000000" w:themeColor="text1"/>
                <w:sz w:val="24"/>
                <w:highlight w:val="none"/>
                <w:lang w:eastAsia="zh-CN"/>
                <w14:textFill>
                  <w14:solidFill>
                    <w14:schemeClr w14:val="tx1"/>
                  </w14:solidFill>
                </w14:textFill>
              </w:rPr>
              <w:t>）一般固体废物</w:t>
            </w:r>
          </w:p>
          <w:p w14:paraId="440003C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auto"/>
                <w:sz w:val="24"/>
                <w:highlight w:val="none"/>
                <w:lang w:eastAsia="zh-CN"/>
              </w:rPr>
            </w:pPr>
            <w:r>
              <w:rPr>
                <w:rFonts w:hint="default" w:ascii="Times New Roman" w:hAnsi="Times New Roman" w:cs="Times New Roman"/>
                <w:b w:val="0"/>
                <w:bCs w:val="0"/>
                <w:color w:val="auto"/>
                <w:sz w:val="24"/>
                <w:highlight w:val="none"/>
                <w:lang w:eastAsia="zh-CN"/>
              </w:rPr>
              <w:t>①动物粪污（猫砂）：项目猫住院及诊疗期间产生的粪便与尿液均可使用猫砂盒进行收集，日常工作人员及时清理猫砂盒，清理出的猫砂采用</w:t>
            </w:r>
            <w:r>
              <w:rPr>
                <w:rFonts w:hint="eastAsia" w:cs="Times New Roman"/>
                <w:b w:val="0"/>
                <w:bCs w:val="0"/>
                <w:color w:val="auto"/>
                <w:sz w:val="24"/>
                <w:highlight w:val="none"/>
                <w:lang w:eastAsia="zh-CN"/>
              </w:rPr>
              <w:t>84消毒剂</w:t>
            </w:r>
            <w:r>
              <w:rPr>
                <w:rFonts w:hint="default" w:ascii="Times New Roman" w:hAnsi="Times New Roman" w:cs="Times New Roman"/>
                <w:b w:val="0"/>
                <w:bCs w:val="0"/>
                <w:color w:val="auto"/>
                <w:sz w:val="24"/>
                <w:highlight w:val="none"/>
                <w:lang w:eastAsia="zh-CN"/>
              </w:rPr>
              <w:t>消毒后收集起来，交市政环卫部门进行收集处置。含粪便与尿液的猫砂产生量按照0.5kg/只猫·d进行计算，项目宠物猫数量按照最大宠物笼进行核算，则每天最大就诊、住院</w:t>
            </w:r>
            <w:r>
              <w:rPr>
                <w:rFonts w:hint="eastAsia" w:cs="Times New Roman"/>
                <w:b w:val="0"/>
                <w:bCs w:val="0"/>
                <w:color w:val="auto"/>
                <w:sz w:val="24"/>
                <w:highlight w:val="none"/>
                <w:lang w:eastAsia="zh-CN"/>
              </w:rPr>
              <w:t>、</w:t>
            </w:r>
            <w:r>
              <w:rPr>
                <w:rFonts w:hint="eastAsia" w:cs="Times New Roman"/>
                <w:b w:val="0"/>
                <w:bCs w:val="0"/>
                <w:color w:val="auto"/>
                <w:sz w:val="24"/>
                <w:highlight w:val="none"/>
                <w:lang w:val="en-US" w:eastAsia="zh-CN"/>
              </w:rPr>
              <w:t>寄养</w:t>
            </w:r>
            <w:r>
              <w:rPr>
                <w:rFonts w:hint="default" w:ascii="Times New Roman" w:hAnsi="Times New Roman" w:cs="Times New Roman"/>
                <w:b w:val="0"/>
                <w:bCs w:val="0"/>
                <w:color w:val="auto"/>
                <w:sz w:val="24"/>
                <w:highlight w:val="none"/>
                <w:lang w:eastAsia="zh-CN"/>
              </w:rPr>
              <w:t>宠物猫数量约</w:t>
            </w:r>
            <w:r>
              <w:rPr>
                <w:rFonts w:hint="eastAsia" w:cs="Times New Roman"/>
                <w:b w:val="0"/>
                <w:bCs w:val="0"/>
                <w:color w:val="auto"/>
                <w:sz w:val="24"/>
                <w:highlight w:val="none"/>
                <w:lang w:val="en-US" w:eastAsia="zh-CN"/>
              </w:rPr>
              <w:t>15</w:t>
            </w:r>
            <w:r>
              <w:rPr>
                <w:rFonts w:hint="default" w:ascii="Times New Roman" w:hAnsi="Times New Roman" w:cs="Times New Roman"/>
                <w:b w:val="0"/>
                <w:bCs w:val="0"/>
                <w:color w:val="auto"/>
                <w:sz w:val="24"/>
                <w:highlight w:val="none"/>
                <w:lang w:eastAsia="zh-CN"/>
              </w:rPr>
              <w:t>只，则含粪便与尿液的猫砂产生量约为</w:t>
            </w:r>
            <w:r>
              <w:rPr>
                <w:rFonts w:hint="eastAsia" w:cs="Times New Roman"/>
                <w:b w:val="0"/>
                <w:bCs w:val="0"/>
                <w:color w:val="auto"/>
                <w:sz w:val="24"/>
                <w:highlight w:val="none"/>
                <w:lang w:val="en-US" w:eastAsia="zh-CN"/>
              </w:rPr>
              <w:t>2.7375</w:t>
            </w:r>
            <w:r>
              <w:rPr>
                <w:rFonts w:hint="default" w:ascii="Times New Roman" w:hAnsi="Times New Roman" w:cs="Times New Roman"/>
                <w:b w:val="0"/>
                <w:bCs w:val="0"/>
                <w:color w:val="auto"/>
                <w:sz w:val="24"/>
                <w:highlight w:val="none"/>
                <w:lang w:eastAsia="zh-CN"/>
              </w:rPr>
              <w:t>t/a</w:t>
            </w:r>
            <w:r>
              <w:rPr>
                <w:rFonts w:hint="eastAsia" w:cs="Times New Roman"/>
                <w:b w:val="0"/>
                <w:bCs w:val="0"/>
                <w:color w:val="auto"/>
                <w:sz w:val="24"/>
                <w:highlight w:val="none"/>
                <w:lang w:eastAsia="zh-CN"/>
              </w:rPr>
              <w:t>，</w:t>
            </w:r>
            <w:r>
              <w:rPr>
                <w:rFonts w:hint="eastAsia" w:cs="Times New Roman"/>
                <w:b w:val="0"/>
                <w:bCs w:val="0"/>
                <w:color w:val="auto"/>
                <w:sz w:val="24"/>
                <w:highlight w:val="none"/>
                <w:lang w:val="en-US" w:eastAsia="zh-CN"/>
              </w:rPr>
              <w:t>一般固废代码：030-001-S82</w:t>
            </w:r>
            <w:r>
              <w:rPr>
                <w:rFonts w:hint="default" w:ascii="Times New Roman" w:hAnsi="Times New Roman" w:cs="Times New Roman"/>
                <w:b w:val="0"/>
                <w:bCs w:val="0"/>
                <w:color w:val="auto"/>
                <w:sz w:val="24"/>
                <w:highlight w:val="none"/>
                <w:lang w:eastAsia="zh-CN"/>
              </w:rPr>
              <w:t>。</w:t>
            </w:r>
          </w:p>
          <w:p w14:paraId="3B15B98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auto"/>
                <w:sz w:val="24"/>
                <w:highlight w:val="none"/>
                <w:lang w:eastAsia="zh-CN"/>
              </w:rPr>
            </w:pPr>
            <w:r>
              <w:rPr>
                <w:rFonts w:hint="default" w:ascii="Times New Roman" w:hAnsi="Times New Roman" w:cs="Times New Roman"/>
                <w:b w:val="0"/>
                <w:bCs w:val="0"/>
                <w:color w:val="auto"/>
                <w:sz w:val="24"/>
                <w:highlight w:val="none"/>
                <w:lang w:eastAsia="zh-CN"/>
              </w:rPr>
              <w:t>②其他动物粪污：犬住院与诊疗期间排污采取干湿分离，尿液直接经收集后进入</w:t>
            </w:r>
            <w:r>
              <w:rPr>
                <w:rFonts w:hint="eastAsia" w:cs="Times New Roman"/>
                <w:b w:val="0"/>
                <w:bCs w:val="0"/>
                <w:color w:val="auto"/>
                <w:sz w:val="24"/>
                <w:highlight w:val="none"/>
                <w:lang w:eastAsia="zh-CN"/>
              </w:rPr>
              <w:t>消毒设施</w:t>
            </w:r>
            <w:r>
              <w:rPr>
                <w:rFonts w:hint="default" w:ascii="Times New Roman" w:hAnsi="Times New Roman" w:cs="Times New Roman"/>
                <w:b w:val="0"/>
                <w:bCs w:val="0"/>
                <w:color w:val="auto"/>
                <w:sz w:val="24"/>
                <w:highlight w:val="none"/>
                <w:lang w:eastAsia="zh-CN"/>
              </w:rPr>
              <w:t>进行消毒处理后排入生化池，粪污使用</w:t>
            </w:r>
            <w:r>
              <w:rPr>
                <w:rFonts w:hint="eastAsia" w:cs="Times New Roman"/>
                <w:b w:val="0"/>
                <w:bCs w:val="0"/>
                <w:color w:val="auto"/>
                <w:sz w:val="24"/>
                <w:highlight w:val="none"/>
                <w:lang w:eastAsia="zh-CN"/>
              </w:rPr>
              <w:t>84消毒剂</w:t>
            </w:r>
            <w:r>
              <w:rPr>
                <w:rFonts w:hint="default" w:ascii="Times New Roman" w:hAnsi="Times New Roman" w:cs="Times New Roman"/>
                <w:b w:val="0"/>
                <w:bCs w:val="0"/>
                <w:color w:val="auto"/>
                <w:sz w:val="24"/>
                <w:highlight w:val="none"/>
                <w:lang w:eastAsia="zh-CN"/>
              </w:rPr>
              <w:t>进行消毒处理后，打包交环卫部门处置。其他动物粪污产生量按照每天0.05kg/只宠物进行计算根据每天最大就诊</w:t>
            </w:r>
            <w:r>
              <w:rPr>
                <w:rFonts w:hint="eastAsia" w:cs="Times New Roman"/>
                <w:b w:val="0"/>
                <w:bCs w:val="0"/>
                <w:color w:val="auto"/>
                <w:sz w:val="24"/>
                <w:highlight w:val="none"/>
                <w:lang w:eastAsia="zh-CN"/>
              </w:rPr>
              <w:t>、</w:t>
            </w:r>
            <w:r>
              <w:rPr>
                <w:rFonts w:hint="default" w:ascii="Times New Roman" w:hAnsi="Times New Roman" w:cs="Times New Roman"/>
                <w:b w:val="0"/>
                <w:bCs w:val="0"/>
                <w:color w:val="auto"/>
                <w:sz w:val="24"/>
                <w:highlight w:val="none"/>
                <w:lang w:eastAsia="zh-CN"/>
              </w:rPr>
              <w:t>住院</w:t>
            </w:r>
            <w:r>
              <w:rPr>
                <w:rFonts w:hint="eastAsia" w:cs="Times New Roman"/>
                <w:b w:val="0"/>
                <w:bCs w:val="0"/>
                <w:color w:val="auto"/>
                <w:sz w:val="24"/>
                <w:highlight w:val="none"/>
                <w:lang w:eastAsia="zh-CN"/>
              </w:rPr>
              <w:t>、</w:t>
            </w:r>
            <w:r>
              <w:rPr>
                <w:rFonts w:hint="eastAsia" w:cs="Times New Roman"/>
                <w:b w:val="0"/>
                <w:bCs w:val="0"/>
                <w:color w:val="auto"/>
                <w:sz w:val="24"/>
                <w:highlight w:val="none"/>
                <w:lang w:val="en-US" w:eastAsia="zh-CN"/>
              </w:rPr>
              <w:t>寄养犬</w:t>
            </w:r>
            <w:r>
              <w:rPr>
                <w:rFonts w:hint="default" w:ascii="Times New Roman" w:hAnsi="Times New Roman" w:cs="Times New Roman"/>
                <w:b w:val="0"/>
                <w:bCs w:val="0"/>
                <w:color w:val="auto"/>
                <w:sz w:val="24"/>
                <w:highlight w:val="none"/>
                <w:lang w:eastAsia="zh-CN"/>
              </w:rPr>
              <w:t>宠物量按照</w:t>
            </w:r>
            <w:r>
              <w:rPr>
                <w:rFonts w:hint="eastAsia" w:cs="Times New Roman"/>
                <w:b w:val="0"/>
                <w:bCs w:val="0"/>
                <w:color w:val="auto"/>
                <w:sz w:val="24"/>
                <w:highlight w:val="none"/>
                <w:lang w:val="en-US" w:eastAsia="zh-CN"/>
              </w:rPr>
              <w:t>13</w:t>
            </w:r>
            <w:r>
              <w:rPr>
                <w:rFonts w:hint="default" w:ascii="Times New Roman" w:hAnsi="Times New Roman" w:cs="Times New Roman"/>
                <w:b w:val="0"/>
                <w:bCs w:val="0"/>
                <w:color w:val="auto"/>
                <w:sz w:val="24"/>
                <w:highlight w:val="none"/>
                <w:lang w:eastAsia="zh-CN"/>
              </w:rPr>
              <w:t>只进行考虑，粪污产生量为</w:t>
            </w:r>
            <w:r>
              <w:rPr>
                <w:rFonts w:hint="eastAsia" w:cs="Times New Roman"/>
                <w:b w:val="0"/>
                <w:bCs w:val="0"/>
                <w:color w:val="auto"/>
                <w:sz w:val="24"/>
                <w:highlight w:val="none"/>
                <w:lang w:val="en-US" w:eastAsia="zh-CN"/>
              </w:rPr>
              <w:t>0.2373</w:t>
            </w:r>
            <w:r>
              <w:rPr>
                <w:rFonts w:hint="default" w:ascii="Times New Roman" w:hAnsi="Times New Roman" w:cs="Times New Roman"/>
                <w:b w:val="0"/>
                <w:bCs w:val="0"/>
                <w:color w:val="auto"/>
                <w:sz w:val="24"/>
                <w:highlight w:val="none"/>
                <w:lang w:eastAsia="zh-CN"/>
              </w:rPr>
              <w:t>t</w:t>
            </w:r>
            <w:r>
              <w:rPr>
                <w:rFonts w:hint="default" w:ascii="Times New Roman" w:hAnsi="Times New Roman" w:cs="Times New Roman"/>
                <w:b w:val="0"/>
                <w:bCs w:val="0"/>
                <w:color w:val="auto"/>
                <w:sz w:val="24"/>
                <w:highlight w:val="none"/>
                <w:lang w:val="en-US" w:eastAsia="zh-CN"/>
              </w:rPr>
              <w:t>/</w:t>
            </w:r>
            <w:r>
              <w:rPr>
                <w:rFonts w:hint="default" w:ascii="Times New Roman" w:hAnsi="Times New Roman" w:cs="Times New Roman"/>
                <w:b w:val="0"/>
                <w:bCs w:val="0"/>
                <w:color w:val="auto"/>
                <w:sz w:val="24"/>
                <w:highlight w:val="none"/>
                <w:lang w:eastAsia="zh-CN"/>
              </w:rPr>
              <w:t>a</w:t>
            </w:r>
            <w:r>
              <w:rPr>
                <w:rFonts w:hint="eastAsia" w:cs="Times New Roman"/>
                <w:b w:val="0"/>
                <w:bCs w:val="0"/>
                <w:color w:val="auto"/>
                <w:sz w:val="24"/>
                <w:highlight w:val="none"/>
                <w:lang w:eastAsia="zh-CN"/>
              </w:rPr>
              <w:t>，</w:t>
            </w:r>
            <w:r>
              <w:rPr>
                <w:rFonts w:hint="eastAsia" w:cs="Times New Roman"/>
                <w:b w:val="0"/>
                <w:bCs w:val="0"/>
                <w:color w:val="auto"/>
                <w:sz w:val="24"/>
                <w:highlight w:val="none"/>
                <w:lang w:val="en-US" w:eastAsia="zh-CN"/>
              </w:rPr>
              <w:t>一般固废代码：030-001-S82</w:t>
            </w:r>
            <w:r>
              <w:rPr>
                <w:rFonts w:hint="default" w:ascii="Times New Roman" w:hAnsi="Times New Roman" w:cs="Times New Roman"/>
                <w:b w:val="0"/>
                <w:bCs w:val="0"/>
                <w:color w:val="auto"/>
                <w:sz w:val="24"/>
                <w:highlight w:val="none"/>
                <w:lang w:eastAsia="zh-CN"/>
              </w:rPr>
              <w:t>。</w:t>
            </w:r>
          </w:p>
          <w:p w14:paraId="0384052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000000" w:themeColor="text1"/>
                <w:sz w:val="24"/>
                <w:highlight w:val="none"/>
                <w:lang w:eastAsia="zh-CN"/>
                <w14:textFill>
                  <w14:solidFill>
                    <w14:schemeClr w14:val="tx1"/>
                  </w14:solidFill>
                </w14:textFill>
              </w:rPr>
            </w:pPr>
            <w:r>
              <w:rPr>
                <w:rFonts w:hint="eastAsia" w:ascii="Times New Roman" w:hAnsi="Times New Roman" w:cs="Times New Roman"/>
                <w:b w:val="0"/>
                <w:bCs w:val="0"/>
                <w:color w:val="000000" w:themeColor="text1"/>
                <w:sz w:val="24"/>
                <w:highlight w:val="none"/>
                <w:lang w:val="en-US" w:eastAsia="zh-CN"/>
                <w14:textFill>
                  <w14:solidFill>
                    <w14:schemeClr w14:val="tx1"/>
                  </w14:solidFill>
                </w14:textFill>
              </w:rPr>
              <w:t>③动物毛发</w:t>
            </w:r>
          </w:p>
          <w:p w14:paraId="6766804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000000" w:themeColor="text1"/>
                <w:sz w:val="24"/>
                <w:highlight w:val="none"/>
                <w:lang w:eastAsia="zh-CN"/>
                <w14:textFill>
                  <w14:solidFill>
                    <w14:schemeClr w14:val="tx1"/>
                  </w14:solidFill>
                </w14:textFill>
              </w:rPr>
            </w:pPr>
            <w:r>
              <w:rPr>
                <w:rFonts w:hint="eastAsia" w:ascii="Times New Roman" w:hAnsi="Times New Roman" w:cs="Times New Roman"/>
                <w:b w:val="0"/>
                <w:bCs w:val="0"/>
                <w:color w:val="000000" w:themeColor="text1"/>
                <w:sz w:val="24"/>
                <w:highlight w:val="none"/>
                <w:lang w:val="en-US" w:eastAsia="zh-CN"/>
                <w14:textFill>
                  <w14:solidFill>
                    <w14:schemeClr w14:val="tx1"/>
                  </w14:solidFill>
                </w14:textFill>
              </w:rPr>
              <w:t>本项目动物毛发来源于美容洗浴环节，包含动物修剪废物，根据建设单位提 供资料及类比同类型宠物医院，动物毛发产生量按</w:t>
            </w:r>
            <w:r>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t>0.1kg/</w:t>
            </w:r>
            <w:r>
              <w:rPr>
                <w:rFonts w:hint="eastAsia" w:ascii="Times New Roman" w:hAnsi="Times New Roman" w:cs="Times New Roman"/>
                <w:b w:val="0"/>
                <w:bCs w:val="0"/>
                <w:color w:val="000000" w:themeColor="text1"/>
                <w:sz w:val="24"/>
                <w:highlight w:val="none"/>
                <w:lang w:val="en-US" w:eastAsia="zh-CN"/>
                <w14:textFill>
                  <w14:solidFill>
                    <w14:schemeClr w14:val="tx1"/>
                  </w14:solidFill>
                </w14:textFill>
              </w:rPr>
              <w:t>只</w:t>
            </w:r>
            <w:r>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t>d</w:t>
            </w:r>
            <w:r>
              <w:rPr>
                <w:rFonts w:hint="eastAsia" w:ascii="Times New Roman" w:hAnsi="Times New Roman" w:cs="Times New Roman"/>
                <w:b w:val="0"/>
                <w:bCs w:val="0"/>
                <w:color w:val="000000" w:themeColor="text1"/>
                <w:sz w:val="24"/>
                <w:highlight w:val="none"/>
                <w:lang w:val="en-US" w:eastAsia="zh-CN"/>
                <w14:textFill>
                  <w14:solidFill>
                    <w14:schemeClr w14:val="tx1"/>
                  </w14:solidFill>
                </w14:textFill>
              </w:rPr>
              <w:t>计，项目每天最大服务量约</w:t>
            </w:r>
            <w:r>
              <w:rPr>
                <w:rFonts w:hint="eastAsia" w:cs="Times New Roman"/>
                <w:b w:val="0"/>
                <w:bCs w:val="0"/>
                <w:color w:val="000000" w:themeColor="text1"/>
                <w:sz w:val="24"/>
                <w:highlight w:val="none"/>
                <w:lang w:val="en-US" w:eastAsia="zh-CN"/>
                <w14:textFill>
                  <w14:solidFill>
                    <w14:schemeClr w14:val="tx1"/>
                  </w14:solidFill>
                </w14:textFill>
              </w:rPr>
              <w:t>4</w:t>
            </w:r>
            <w:r>
              <w:rPr>
                <w:rFonts w:hint="eastAsia" w:ascii="Times New Roman" w:hAnsi="Times New Roman" w:cs="Times New Roman"/>
                <w:b w:val="0"/>
                <w:bCs w:val="0"/>
                <w:color w:val="000000" w:themeColor="text1"/>
                <w:sz w:val="24"/>
                <w:highlight w:val="none"/>
                <w:lang w:val="en-US" w:eastAsia="zh-CN"/>
                <w14:textFill>
                  <w14:solidFill>
                    <w14:schemeClr w14:val="tx1"/>
                  </w14:solidFill>
                </w14:textFill>
              </w:rPr>
              <w:t>只，则动物毛发产生量约为</w:t>
            </w:r>
            <w:r>
              <w:rPr>
                <w:rFonts w:hint="eastAsia" w:cs="Times New Roman"/>
                <w:b w:val="0"/>
                <w:bCs w:val="0"/>
                <w:color w:val="000000" w:themeColor="text1"/>
                <w:sz w:val="24"/>
                <w:highlight w:val="none"/>
                <w:lang w:val="en-US" w:eastAsia="zh-CN"/>
                <w14:textFill>
                  <w14:solidFill>
                    <w14:schemeClr w14:val="tx1"/>
                  </w14:solidFill>
                </w14:textFill>
              </w:rPr>
              <w:t>0.146</w:t>
            </w:r>
            <w:r>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t>t/a</w:t>
            </w:r>
            <w:r>
              <w:rPr>
                <w:rFonts w:hint="eastAsia" w:ascii="Times New Roman" w:hAnsi="Times New Roman" w:cs="Times New Roman"/>
                <w:b w:val="0"/>
                <w:bCs w:val="0"/>
                <w:color w:val="000000" w:themeColor="text1"/>
                <w:sz w:val="24"/>
                <w:highlight w:val="none"/>
                <w:lang w:val="en-US" w:eastAsia="zh-CN"/>
                <w14:textFill>
                  <w14:solidFill>
                    <w14:schemeClr w14:val="tx1"/>
                  </w14:solidFill>
                </w14:textFill>
              </w:rPr>
              <w:t>，交环卫部门进行处理</w:t>
            </w:r>
            <w:r>
              <w:rPr>
                <w:rFonts w:hint="eastAsia" w:cs="Times New Roman"/>
                <w:b w:val="0"/>
                <w:bCs w:val="0"/>
                <w:color w:val="000000" w:themeColor="text1"/>
                <w:sz w:val="24"/>
                <w:highlight w:val="none"/>
                <w:lang w:val="en-US" w:eastAsia="zh-CN"/>
                <w14:textFill>
                  <w14:solidFill>
                    <w14:schemeClr w14:val="tx1"/>
                  </w14:solidFill>
                </w14:textFill>
              </w:rPr>
              <w:t>。</w:t>
            </w:r>
          </w:p>
          <w:p w14:paraId="3F599D7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000000" w:themeColor="text1"/>
                <w:sz w:val="24"/>
                <w:highlight w:val="none"/>
                <w:lang w:eastAsia="zh-CN"/>
                <w14:textFill>
                  <w14:solidFill>
                    <w14:schemeClr w14:val="tx1"/>
                  </w14:solidFill>
                </w14:textFill>
              </w:rPr>
            </w:pPr>
            <w:r>
              <w:rPr>
                <w:rFonts w:hint="default" w:ascii="Times New Roman" w:hAnsi="Times New Roman" w:cs="Times New Roman"/>
                <w:b w:val="0"/>
                <w:bCs w:val="0"/>
                <w:color w:val="000000" w:themeColor="text1"/>
                <w:sz w:val="24"/>
                <w:highlight w:val="none"/>
                <w:lang w:eastAsia="zh-CN"/>
                <w14:textFill>
                  <w14:solidFill>
                    <w14:schemeClr w14:val="tx1"/>
                  </w14:solidFill>
                </w14:textFill>
              </w:rPr>
              <w:t>（</w:t>
            </w:r>
            <w:r>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t>2</w:t>
            </w:r>
            <w:r>
              <w:rPr>
                <w:rFonts w:hint="default" w:ascii="Times New Roman" w:hAnsi="Times New Roman" w:cs="Times New Roman"/>
                <w:b w:val="0"/>
                <w:bCs w:val="0"/>
                <w:color w:val="000000" w:themeColor="text1"/>
                <w:sz w:val="24"/>
                <w:highlight w:val="none"/>
                <w:lang w:eastAsia="zh-CN"/>
                <w14:textFill>
                  <w14:solidFill>
                    <w14:schemeClr w14:val="tx1"/>
                  </w14:solidFill>
                </w14:textFill>
              </w:rPr>
              <w:t>）危险废物</w:t>
            </w:r>
          </w:p>
          <w:p w14:paraId="70B881B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①废紫外线灯管</w:t>
            </w:r>
          </w:p>
          <w:p w14:paraId="129B658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项目病房等消毒采用紫外线消毒，将会产生少量废紫外线灯管，产生量约为0.0</w:t>
            </w:r>
            <w:r>
              <w:rPr>
                <w:rFonts w:hint="eastAsia" w:cs="Times New Roman"/>
                <w:b w:val="0"/>
                <w:bCs w:val="0"/>
                <w:color w:val="000000" w:themeColor="text1"/>
                <w:sz w:val="24"/>
                <w:highlight w:val="none"/>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t/a</w:t>
            </w:r>
            <w:r>
              <w:rPr>
                <w:rFonts w:hint="eastAsia" w:ascii="Times New Roman" w:hAnsi="Times New Roman" w:eastAsia="宋体" w:cs="Times New Roman"/>
                <w:b w:val="0"/>
                <w:bCs w:val="0"/>
                <w:color w:val="000000" w:themeColor="text1"/>
                <w:sz w:val="24"/>
                <w:highlight w:val="none"/>
                <w:lang w:val="en-US" w:eastAsia="zh-CN"/>
                <w14:textFill>
                  <w14:solidFill>
                    <w14:schemeClr w14:val="tx1"/>
                  </w14:solidFill>
                </w14:textFill>
              </w:rPr>
              <w:t>，危废代码：HW29 900-023-29</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。废紫外灯管经收集后暂存于医废间，交有资质单位处置。</w:t>
            </w:r>
          </w:p>
          <w:p w14:paraId="73E9259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eastAsia" w:cs="Times New Roman"/>
                <w:b w:val="0"/>
                <w:bCs w:val="0"/>
                <w:color w:val="000000" w:themeColor="text1"/>
                <w:sz w:val="24"/>
                <w:highlight w:val="none"/>
                <w:lang w:val="en-US" w:eastAsia="zh-CN"/>
                <w14:textFill>
                  <w14:solidFill>
                    <w14:schemeClr w14:val="tx1"/>
                  </w14:solidFill>
                </w14:textFill>
              </w:rPr>
              <w:t>②</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医疗废物</w:t>
            </w:r>
          </w:p>
          <w:p w14:paraId="45B6D61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诊疗活动产生的医疗废物来源广泛、成分复杂。项目医疗废物主要有感染性废物、损伤性废物、病理性废物、化学性</w:t>
            </w:r>
            <w:r>
              <w:rPr>
                <w:rFonts w:hint="eastAsia" w:cs="Times New Roman"/>
                <w:b w:val="0"/>
                <w:bCs w:val="0"/>
                <w:color w:val="000000" w:themeColor="text1"/>
                <w:sz w:val="24"/>
                <w:highlight w:val="none"/>
                <w:lang w:val="en-US" w:eastAsia="zh-CN"/>
                <w14:textFill>
                  <w14:solidFill>
                    <w14:schemeClr w14:val="tx1"/>
                  </w14:solidFill>
                </w14:textFill>
              </w:rPr>
              <w:t>废物、药理性废物</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w:t>
            </w:r>
          </w:p>
          <w:p w14:paraId="2608E5D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000000" w:themeColor="text1"/>
                <w:sz w:val="24"/>
                <w:highlight w:val="none"/>
                <w:lang w:eastAsia="zh-CN"/>
                <w14:textFill>
                  <w14:solidFill>
                    <w14:schemeClr w14:val="tx1"/>
                  </w14:solidFill>
                </w14:textFill>
              </w:rPr>
            </w:pPr>
            <w:r>
              <w:rPr>
                <w:rFonts w:hint="default" w:ascii="Times New Roman" w:hAnsi="Times New Roman" w:cs="Times New Roman"/>
                <w:b w:val="0"/>
                <w:bCs w:val="0"/>
                <w:color w:val="000000" w:themeColor="text1"/>
                <w:sz w:val="24"/>
                <w:highlight w:val="none"/>
                <w:lang w:eastAsia="zh-CN"/>
                <w14:textFill>
                  <w14:solidFill>
                    <w14:schemeClr w14:val="tx1"/>
                  </w14:solidFill>
                </w14:textFill>
              </w:rPr>
              <w:t>感染性废物主要包括被患病宠物血液、体液、排泄物等污染的除</w:t>
            </w:r>
            <w:r>
              <w:rPr>
                <w:rFonts w:hint="eastAsia" w:cs="Times New Roman"/>
                <w:b w:val="0"/>
                <w:bCs w:val="0"/>
                <w:color w:val="000000" w:themeColor="text1"/>
                <w:sz w:val="24"/>
                <w:highlight w:val="none"/>
                <w:lang w:eastAsia="zh-CN"/>
                <w14:textFill>
                  <w14:solidFill>
                    <w14:schemeClr w14:val="tx1"/>
                  </w14:solidFill>
                </w14:textFill>
              </w:rPr>
              <w:t>容器</w:t>
            </w:r>
            <w:r>
              <w:rPr>
                <w:rFonts w:hint="default" w:ascii="Times New Roman" w:hAnsi="Times New Roman" w:cs="Times New Roman"/>
                <w:b w:val="0"/>
                <w:bCs w:val="0"/>
                <w:color w:val="000000" w:themeColor="text1"/>
                <w:sz w:val="24"/>
                <w:highlight w:val="none"/>
                <w:lang w:eastAsia="zh-CN"/>
                <w14:textFill>
                  <w14:solidFill>
                    <w14:schemeClr w14:val="tx1"/>
                  </w14:solidFill>
                </w14:textFill>
              </w:rPr>
              <w:t>以外的废物，使用后废弃的一次性注射器、输液器，化验室产生的废弃血液、血清、分泌物等标本和容器以及隔离病房隔离的传染病宠物或疑似传染病宠物产生的废弃物。感染性废物收集于符合《医疗废物包装袋、容器和警示标志标准》（HJ421-2008）医疗废物包装袋中，隔离的传染病宠物或疑似传染病宠物产生的医疗废物应当使用双层医疗废物包装袋盛装。</w:t>
            </w:r>
          </w:p>
          <w:p w14:paraId="05514D9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000000" w:themeColor="text1"/>
                <w:sz w:val="24"/>
                <w:highlight w:val="none"/>
                <w:lang w:eastAsia="zh-CN"/>
                <w14:textFill>
                  <w14:solidFill>
                    <w14:schemeClr w14:val="tx1"/>
                  </w14:solidFill>
                </w14:textFill>
              </w:rPr>
            </w:pPr>
            <w:r>
              <w:rPr>
                <w:rFonts w:hint="default" w:ascii="Times New Roman" w:hAnsi="Times New Roman" w:cs="Times New Roman"/>
                <w:b w:val="0"/>
                <w:bCs w:val="0"/>
                <w:color w:val="000000" w:themeColor="text1"/>
                <w:sz w:val="24"/>
                <w:highlight w:val="none"/>
                <w:lang w:eastAsia="zh-CN"/>
                <w14:textFill>
                  <w14:solidFill>
                    <w14:schemeClr w14:val="tx1"/>
                  </w14:solidFill>
                </w14:textFill>
              </w:rPr>
              <w:t>损伤性废物主要废弃的针头、缝合针、探针、穿刺针、解剖刀、手术刀等废弃的金属类锐器以及废弃的载玻片等玻璃类锐器。损伤性废物收集于符合《医疗废物包装袋、容器和警示标志标准》（HJ421-2008）的利器盒中，利器盒达到3</w:t>
            </w:r>
            <w:r>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t>/</w:t>
            </w:r>
            <w:r>
              <w:rPr>
                <w:rFonts w:hint="default" w:ascii="Times New Roman" w:hAnsi="Times New Roman" w:cs="Times New Roman"/>
                <w:b w:val="0"/>
                <w:bCs w:val="0"/>
                <w:color w:val="000000" w:themeColor="text1"/>
                <w:sz w:val="24"/>
                <w:highlight w:val="none"/>
                <w:lang w:eastAsia="zh-CN"/>
                <w14:textFill>
                  <w14:solidFill>
                    <w14:schemeClr w14:val="tx1"/>
                  </w14:solidFill>
                </w14:textFill>
              </w:rPr>
              <w:t>4满时应当封闭严密，按流程运送、贮存。病理性废物主要是手术过程中产生的废弃动物组织和器官。病理性废物收集于符合《医疗废物包装袋、容器和警示标志标准》（HJ421-2008）医疗废物包装袋中。药物性废物主要是过期、淘汰、变质或者被污染的废弃的药物。化学性废物主要是列入《国家危险废物名录》中的废弃危险品，比如非特定行业来源产生的含汞血压计、含汞体温计等。</w:t>
            </w:r>
          </w:p>
          <w:p w14:paraId="209FE63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000000" w:themeColor="text1"/>
                <w:sz w:val="24"/>
                <w:highlight w:val="none"/>
                <w:lang w:eastAsia="zh-CN"/>
                <w14:textFill>
                  <w14:solidFill>
                    <w14:schemeClr w14:val="tx1"/>
                  </w14:solidFill>
                </w14:textFill>
              </w:rPr>
            </w:pPr>
            <w:r>
              <w:rPr>
                <w:rFonts w:hint="default" w:ascii="Times New Roman" w:hAnsi="Times New Roman" w:cs="Times New Roman"/>
                <w:b w:val="0"/>
                <w:bCs w:val="0"/>
                <w:color w:val="000000" w:themeColor="text1"/>
                <w:sz w:val="24"/>
                <w:highlight w:val="none"/>
                <w:lang w:eastAsia="zh-CN"/>
                <w14:textFill>
                  <w14:solidFill>
                    <w14:schemeClr w14:val="tx1"/>
                  </w14:solidFill>
                </w14:textFill>
              </w:rPr>
              <w:t>项目医疗废物收集后暂存于</w:t>
            </w:r>
            <w:r>
              <w:rPr>
                <w:rFonts w:hint="eastAsia" w:cs="Times New Roman"/>
                <w:b w:val="0"/>
                <w:bCs w:val="0"/>
                <w:color w:val="000000" w:themeColor="text1"/>
                <w:sz w:val="24"/>
                <w:highlight w:val="none"/>
                <w:lang w:val="en-US" w:eastAsia="zh-CN"/>
                <w14:textFill>
                  <w14:solidFill>
                    <w14:schemeClr w14:val="tx1"/>
                  </w14:solidFill>
                </w14:textFill>
              </w:rPr>
              <w:t>医废暂存点</w:t>
            </w:r>
            <w:r>
              <w:rPr>
                <w:rFonts w:hint="default" w:ascii="Times New Roman" w:hAnsi="Times New Roman" w:cs="Times New Roman"/>
                <w:b w:val="0"/>
                <w:bCs w:val="0"/>
                <w:color w:val="000000" w:themeColor="text1"/>
                <w:sz w:val="24"/>
                <w:highlight w:val="none"/>
                <w:lang w:eastAsia="zh-CN"/>
                <w14:textFill>
                  <w14:solidFill>
                    <w14:schemeClr w14:val="tx1"/>
                  </w14:solidFill>
                </w14:textFill>
              </w:rPr>
              <w:t>，定期交资质单位处置。项目医疗废物产生量按照每日最大接诊量及最大住院容纳宠物量进行核算，则按照</w:t>
            </w:r>
            <w:r>
              <w:rPr>
                <w:rFonts w:hint="eastAsia" w:cs="Times New Roman"/>
                <w:b w:val="0"/>
                <w:bCs w:val="0"/>
                <w:color w:val="000000" w:themeColor="text1"/>
                <w:sz w:val="24"/>
                <w:highlight w:val="none"/>
                <w:lang w:val="en-US" w:eastAsia="zh-CN"/>
                <w14:textFill>
                  <w14:solidFill>
                    <w14:schemeClr w14:val="tx1"/>
                  </w14:solidFill>
                </w14:textFill>
              </w:rPr>
              <w:t>24</w:t>
            </w:r>
            <w:r>
              <w:rPr>
                <w:rFonts w:hint="default" w:ascii="Times New Roman" w:hAnsi="Times New Roman" w:cs="Times New Roman"/>
                <w:b w:val="0"/>
                <w:bCs w:val="0"/>
                <w:color w:val="000000" w:themeColor="text1"/>
                <w:sz w:val="24"/>
                <w:highlight w:val="none"/>
                <w:lang w:eastAsia="zh-CN"/>
                <w14:textFill>
                  <w14:solidFill>
                    <w14:schemeClr w14:val="tx1"/>
                  </w14:solidFill>
                </w14:textFill>
              </w:rPr>
              <w:t>只进行计算，产生量按每日每门诊及住院病例0.2kg/只计算，产生量约为</w:t>
            </w:r>
            <w:r>
              <w:rPr>
                <w:rFonts w:hint="eastAsia" w:cs="Times New Roman"/>
                <w:b w:val="0"/>
                <w:bCs w:val="0"/>
                <w:color w:val="000000" w:themeColor="text1"/>
                <w:sz w:val="24"/>
                <w:highlight w:val="none"/>
                <w:lang w:val="en-US" w:eastAsia="zh-CN"/>
                <w14:textFill>
                  <w14:solidFill>
                    <w14:schemeClr w14:val="tx1"/>
                  </w14:solidFill>
                </w14:textFill>
              </w:rPr>
              <w:t>1.752</w:t>
            </w:r>
            <w:r>
              <w:rPr>
                <w:rFonts w:hint="default" w:ascii="Times New Roman" w:hAnsi="Times New Roman" w:cs="Times New Roman"/>
                <w:b w:val="0"/>
                <w:bCs w:val="0"/>
                <w:color w:val="000000" w:themeColor="text1"/>
                <w:sz w:val="24"/>
                <w:highlight w:val="none"/>
                <w:lang w:eastAsia="zh-CN"/>
                <w14:textFill>
                  <w14:solidFill>
                    <w14:schemeClr w14:val="tx1"/>
                  </w14:solidFill>
                </w14:textFill>
              </w:rPr>
              <w:t>t/a。</w:t>
            </w:r>
          </w:p>
          <w:p w14:paraId="75437BC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000000" w:themeColor="text1"/>
                <w:sz w:val="24"/>
                <w:highlight w:val="none"/>
                <w:lang w:eastAsia="zh-CN"/>
                <w14:textFill>
                  <w14:solidFill>
                    <w14:schemeClr w14:val="tx1"/>
                  </w14:solidFill>
                </w14:textFill>
              </w:rPr>
            </w:pPr>
            <w:r>
              <w:rPr>
                <w:rFonts w:hint="default" w:ascii="Times New Roman" w:hAnsi="Times New Roman" w:cs="Times New Roman"/>
                <w:b w:val="0"/>
                <w:bCs w:val="0"/>
                <w:color w:val="000000" w:themeColor="text1"/>
                <w:sz w:val="24"/>
                <w:highlight w:val="none"/>
                <w:lang w:eastAsia="zh-CN"/>
                <w14:textFill>
                  <w14:solidFill>
                    <w14:schemeClr w14:val="tx1"/>
                  </w14:solidFill>
                </w14:textFill>
              </w:rPr>
              <w:t>根据《国家危险废物名录》</w:t>
            </w:r>
            <w:r>
              <w:rPr>
                <w:rFonts w:hint="eastAsia" w:cs="Times New Roman"/>
                <w:b w:val="0"/>
                <w:bCs w:val="0"/>
                <w:color w:val="000000" w:themeColor="text1"/>
                <w:sz w:val="24"/>
                <w:highlight w:val="none"/>
                <w:lang w:eastAsia="zh-CN"/>
                <w14:textFill>
                  <w14:solidFill>
                    <w14:schemeClr w14:val="tx1"/>
                  </w14:solidFill>
                </w14:textFill>
              </w:rPr>
              <w:t>（</w:t>
            </w:r>
            <w:r>
              <w:rPr>
                <w:rFonts w:hint="default" w:ascii="Times New Roman" w:hAnsi="Times New Roman" w:cs="Times New Roman"/>
                <w:b w:val="0"/>
                <w:bCs w:val="0"/>
                <w:color w:val="000000" w:themeColor="text1"/>
                <w:sz w:val="24"/>
                <w:highlight w:val="none"/>
                <w:lang w:eastAsia="zh-CN"/>
                <w14:textFill>
                  <w14:solidFill>
                    <w14:schemeClr w14:val="tx1"/>
                  </w14:solidFill>
                </w14:textFill>
              </w:rPr>
              <w:t>202</w:t>
            </w:r>
            <w:r>
              <w:rPr>
                <w:rFonts w:hint="eastAsia" w:cs="Times New Roman"/>
                <w:b w:val="0"/>
                <w:bCs w:val="0"/>
                <w:color w:val="000000" w:themeColor="text1"/>
                <w:sz w:val="24"/>
                <w:highlight w:val="none"/>
                <w:lang w:val="en-US" w:eastAsia="zh-CN"/>
                <w14:textFill>
                  <w14:solidFill>
                    <w14:schemeClr w14:val="tx1"/>
                  </w14:solidFill>
                </w14:textFill>
              </w:rPr>
              <w:t>5</w:t>
            </w:r>
            <w:r>
              <w:rPr>
                <w:rFonts w:hint="default" w:ascii="Times New Roman" w:hAnsi="Times New Roman" w:cs="Times New Roman"/>
                <w:b w:val="0"/>
                <w:bCs w:val="0"/>
                <w:color w:val="000000" w:themeColor="text1"/>
                <w:sz w:val="24"/>
                <w:highlight w:val="none"/>
                <w:lang w:eastAsia="zh-CN"/>
                <w14:textFill>
                  <w14:solidFill>
                    <w14:schemeClr w14:val="tx1"/>
                  </w14:solidFill>
                </w14:textFill>
              </w:rPr>
              <w:t>年版</w:t>
            </w:r>
            <w:r>
              <w:rPr>
                <w:rFonts w:hint="eastAsia" w:cs="Times New Roman"/>
                <w:b w:val="0"/>
                <w:bCs w:val="0"/>
                <w:color w:val="000000" w:themeColor="text1"/>
                <w:sz w:val="24"/>
                <w:highlight w:val="none"/>
                <w:lang w:eastAsia="zh-CN"/>
                <w14:textFill>
                  <w14:solidFill>
                    <w14:schemeClr w14:val="tx1"/>
                  </w14:solidFill>
                </w14:textFill>
              </w:rPr>
              <w:t>）</w:t>
            </w:r>
            <w:r>
              <w:rPr>
                <w:rFonts w:hint="default" w:ascii="Times New Roman" w:hAnsi="Times New Roman" w:cs="Times New Roman"/>
                <w:b w:val="0"/>
                <w:bCs w:val="0"/>
                <w:color w:val="000000" w:themeColor="text1"/>
                <w:sz w:val="24"/>
                <w:highlight w:val="none"/>
                <w:lang w:eastAsia="zh-CN"/>
                <w14:textFill>
                  <w14:solidFill>
                    <w14:schemeClr w14:val="tx1"/>
                  </w14:solidFill>
                </w14:textFill>
              </w:rPr>
              <w:t>、《医疗废物分类目录》（2021年版）等相关规定，项目产生的医疗固废属于危险废物中HW01医疗废物（危险废物代码</w:t>
            </w:r>
            <w:r>
              <w:rPr>
                <w:rFonts w:hint="eastAsia" w:cs="Times New Roman"/>
                <w:b w:val="0"/>
                <w:bCs w:val="0"/>
                <w:color w:val="000000" w:themeColor="text1"/>
                <w:sz w:val="24"/>
                <w:highlight w:val="none"/>
                <w:lang w:eastAsia="zh-CN"/>
                <w14:textFill>
                  <w14:solidFill>
                    <w14:schemeClr w14:val="tx1"/>
                  </w14:solidFill>
                </w14:textFill>
              </w:rPr>
              <w:t>：</w:t>
            </w:r>
            <w:r>
              <w:rPr>
                <w:rFonts w:hint="default" w:ascii="Times New Roman" w:hAnsi="Times New Roman" w:cs="Times New Roman"/>
                <w:b w:val="0"/>
                <w:bCs w:val="0"/>
                <w:color w:val="000000" w:themeColor="text1"/>
                <w:sz w:val="24"/>
                <w:highlight w:val="none"/>
                <w:lang w:eastAsia="zh-CN"/>
                <w14:textFill>
                  <w14:solidFill>
                    <w14:schemeClr w14:val="tx1"/>
                  </w14:solidFill>
                </w14:textFill>
              </w:rPr>
              <w:t>841-001-01、841-002-01、841-003-01、841-004-01、841-005-01）</w:t>
            </w:r>
          </w:p>
          <w:p w14:paraId="393A1DE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auto"/>
                <w:sz w:val="24"/>
                <w:highlight w:val="none"/>
                <w:lang w:eastAsia="zh-CN"/>
              </w:rPr>
            </w:pPr>
            <w:r>
              <w:rPr>
                <w:rFonts w:hint="default" w:ascii="Times New Roman" w:hAnsi="Times New Roman" w:cs="Times New Roman"/>
                <w:b w:val="0"/>
                <w:bCs w:val="0"/>
                <w:color w:val="auto"/>
                <w:sz w:val="24"/>
                <w:highlight w:val="none"/>
                <w:lang w:eastAsia="zh-CN"/>
              </w:rPr>
              <w:t>（</w:t>
            </w:r>
            <w:r>
              <w:rPr>
                <w:rFonts w:hint="default" w:ascii="Times New Roman" w:hAnsi="Times New Roman" w:cs="Times New Roman"/>
                <w:b w:val="0"/>
                <w:bCs w:val="0"/>
                <w:color w:val="auto"/>
                <w:sz w:val="24"/>
                <w:highlight w:val="none"/>
                <w:lang w:val="en-US" w:eastAsia="zh-CN"/>
              </w:rPr>
              <w:t>3</w:t>
            </w:r>
            <w:r>
              <w:rPr>
                <w:rFonts w:hint="default" w:ascii="Times New Roman" w:hAnsi="Times New Roman" w:cs="Times New Roman"/>
                <w:b w:val="0"/>
                <w:bCs w:val="0"/>
                <w:color w:val="auto"/>
                <w:sz w:val="24"/>
                <w:highlight w:val="none"/>
                <w:lang w:eastAsia="zh-CN"/>
              </w:rPr>
              <w:t>）动物尸体</w:t>
            </w:r>
          </w:p>
          <w:p w14:paraId="02956FF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s="Times New Roman"/>
                <w:snapToGrid w:val="0"/>
                <w:color w:val="auto"/>
                <w:kern w:val="2"/>
                <w:sz w:val="21"/>
                <w:szCs w:val="21"/>
                <w:lang w:val="en-US" w:eastAsia="zh-CN" w:bidi="ar-SA"/>
              </w:rPr>
            </w:pPr>
            <w:r>
              <w:rPr>
                <w:rFonts w:hint="default" w:ascii="Times New Roman" w:hAnsi="Times New Roman" w:cs="Times New Roman"/>
                <w:b w:val="0"/>
                <w:bCs w:val="0"/>
                <w:color w:val="auto"/>
                <w:sz w:val="24"/>
                <w:highlight w:val="none"/>
                <w:lang w:eastAsia="zh-CN"/>
              </w:rPr>
              <w:t>项目日常工作主要是诊断治疗动物普通病和突发病，若遇动物安乐死或者不治身亡现象，产生的动物尸体不得随意处置，需按照《中华人民共和国动物防疫法》规定，对于病死动物尸体应当按照兽医主管部门的规定进行无害化处理，《病死及病害动物无害化处理技术规范》（农医发（2017）25号）明确了病死及病害动物无害化处理的技术要求。根据《重庆市动物防疫条例》第一章第二十三条和二十五条，</w:t>
            </w:r>
            <w:r>
              <w:rPr>
                <w:rFonts w:hint="eastAsia" w:cs="Times New Roman"/>
                <w:b w:val="0"/>
                <w:bCs w:val="0"/>
                <w:color w:val="auto"/>
                <w:sz w:val="24"/>
                <w:highlight w:val="none"/>
                <w:lang w:eastAsia="zh-CN"/>
              </w:rPr>
              <w:t>“</w:t>
            </w:r>
            <w:r>
              <w:rPr>
                <w:rFonts w:hint="default" w:ascii="Times New Roman" w:hAnsi="Times New Roman" w:cs="Times New Roman"/>
                <w:b w:val="0"/>
                <w:bCs w:val="0"/>
                <w:color w:val="auto"/>
                <w:sz w:val="24"/>
                <w:highlight w:val="none"/>
                <w:lang w:eastAsia="zh-CN"/>
              </w:rPr>
              <w:t>从事动物饲养、屠宰、经营、隔离、运输的单位和个人应当对病死或者死因不明的动物尸体进行无害化处理</w:t>
            </w:r>
            <w:r>
              <w:rPr>
                <w:rFonts w:hint="eastAsia" w:cs="Times New Roman"/>
                <w:b w:val="0"/>
                <w:bCs w:val="0"/>
                <w:color w:val="auto"/>
                <w:sz w:val="24"/>
                <w:highlight w:val="none"/>
                <w:lang w:eastAsia="zh-CN"/>
              </w:rPr>
              <w:t>”；“</w:t>
            </w:r>
            <w:r>
              <w:rPr>
                <w:rFonts w:hint="default" w:ascii="Times New Roman" w:hAnsi="Times New Roman" w:cs="Times New Roman"/>
                <w:b w:val="0"/>
                <w:bCs w:val="0"/>
                <w:color w:val="auto"/>
                <w:sz w:val="24"/>
                <w:highlight w:val="none"/>
                <w:lang w:eastAsia="zh-CN"/>
              </w:rPr>
              <w:t>动物尸体无害化处理责任单位和个人不具备无害化处理能力的，应当将动物尸体交送无害化处理场所处理</w:t>
            </w:r>
            <w:r>
              <w:rPr>
                <w:rFonts w:hint="eastAsia" w:cs="Times New Roman"/>
                <w:b w:val="0"/>
                <w:bCs w:val="0"/>
                <w:color w:val="auto"/>
                <w:sz w:val="24"/>
                <w:highlight w:val="none"/>
                <w:lang w:eastAsia="zh-CN"/>
              </w:rPr>
              <w:t>”</w:t>
            </w:r>
            <w:r>
              <w:rPr>
                <w:rFonts w:hint="default" w:ascii="Times New Roman" w:hAnsi="Times New Roman" w:cs="Times New Roman"/>
                <w:b w:val="0"/>
                <w:bCs w:val="0"/>
                <w:color w:val="auto"/>
                <w:sz w:val="24"/>
                <w:highlight w:val="none"/>
                <w:lang w:eastAsia="zh-CN"/>
              </w:rPr>
              <w:t>。项目不在医院暂存动物尸体</w:t>
            </w:r>
            <w:r>
              <w:rPr>
                <w:rFonts w:hint="eastAsia" w:ascii="Times New Roman" w:hAnsi="Times New Roman" w:cs="Times New Roman"/>
                <w:b w:val="0"/>
                <w:bCs w:val="0"/>
                <w:color w:val="auto"/>
                <w:sz w:val="24"/>
                <w:highlight w:val="none"/>
                <w:lang w:eastAsia="zh-CN"/>
              </w:rPr>
              <w:t>，</w:t>
            </w:r>
            <w:r>
              <w:rPr>
                <w:rFonts w:hint="eastAsia" w:ascii="Times New Roman" w:hAnsi="Times New Roman" w:cs="Times New Roman"/>
                <w:b w:val="0"/>
                <w:bCs w:val="0"/>
                <w:color w:val="auto"/>
                <w:sz w:val="24"/>
                <w:highlight w:val="none"/>
                <w:lang w:val="en-US" w:eastAsia="zh-CN"/>
              </w:rPr>
              <w:t>按照农业部印发的《病死及病害无害化处理技术规范》的通知（农医发201725号）文件要求</w:t>
            </w:r>
            <w:r>
              <w:rPr>
                <w:rFonts w:hint="eastAsia" w:cs="Times New Roman"/>
                <w:b w:val="0"/>
                <w:bCs w:val="0"/>
                <w:color w:val="auto"/>
                <w:sz w:val="24"/>
                <w:highlight w:val="none"/>
                <w:lang w:val="en-US" w:eastAsia="zh-CN"/>
              </w:rPr>
              <w:t>，</w:t>
            </w:r>
            <w:r>
              <w:rPr>
                <w:rFonts w:hint="eastAsia" w:ascii="Times New Roman" w:hAnsi="Times New Roman" w:cs="Times New Roman"/>
                <w:b w:val="0"/>
                <w:bCs w:val="0"/>
                <w:color w:val="auto"/>
                <w:sz w:val="24"/>
                <w:highlight w:val="none"/>
                <w:lang w:val="en-US" w:eastAsia="zh-CN"/>
              </w:rPr>
              <w:t>动物尸体与动物组织一并</w:t>
            </w:r>
            <w:r>
              <w:rPr>
                <w:rFonts w:hint="default" w:ascii="Times New Roman" w:hAnsi="Times New Roman" w:cs="Times New Roman"/>
                <w:b w:val="0"/>
                <w:bCs w:val="0"/>
                <w:color w:val="auto"/>
                <w:sz w:val="24"/>
                <w:highlight w:val="none"/>
                <w:lang w:eastAsia="zh-CN"/>
              </w:rPr>
              <w:t>交由有资质的单位进行无害处理</w:t>
            </w:r>
            <w:r>
              <w:rPr>
                <w:rFonts w:hint="eastAsia" w:ascii="Times New Roman" w:hAnsi="Times New Roman" w:cs="Times New Roman"/>
                <w:b w:val="0"/>
                <w:bCs w:val="0"/>
                <w:color w:val="auto"/>
                <w:sz w:val="24"/>
                <w:highlight w:val="none"/>
                <w:lang w:val="en-US" w:eastAsia="zh-CN"/>
              </w:rPr>
              <w:t>。</w:t>
            </w:r>
          </w:p>
          <w:p w14:paraId="02883C5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000000" w:themeColor="text1"/>
                <w:sz w:val="24"/>
                <w:highlight w:val="none"/>
                <w:lang w:eastAsia="zh-CN"/>
                <w14:textFill>
                  <w14:solidFill>
                    <w14:schemeClr w14:val="tx1"/>
                  </w14:solidFill>
                </w14:textFill>
              </w:rPr>
            </w:pPr>
            <w:r>
              <w:rPr>
                <w:rFonts w:hint="default" w:ascii="Times New Roman" w:hAnsi="Times New Roman" w:cs="Times New Roman"/>
                <w:b w:val="0"/>
                <w:bCs w:val="0"/>
                <w:color w:val="000000" w:themeColor="text1"/>
                <w:sz w:val="24"/>
                <w:highlight w:val="none"/>
                <w:lang w:eastAsia="zh-CN"/>
                <w14:textFill>
                  <w14:solidFill>
                    <w14:schemeClr w14:val="tx1"/>
                  </w14:solidFill>
                </w14:textFill>
              </w:rPr>
              <w:t>（</w:t>
            </w:r>
            <w:r>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t>4</w:t>
            </w:r>
            <w:r>
              <w:rPr>
                <w:rFonts w:hint="default" w:ascii="Times New Roman" w:hAnsi="Times New Roman" w:cs="Times New Roman"/>
                <w:b w:val="0"/>
                <w:bCs w:val="0"/>
                <w:color w:val="000000" w:themeColor="text1"/>
                <w:sz w:val="24"/>
                <w:highlight w:val="none"/>
                <w:lang w:eastAsia="zh-CN"/>
                <w14:textFill>
                  <w14:solidFill>
                    <w14:schemeClr w14:val="tx1"/>
                  </w14:solidFill>
                </w14:textFill>
              </w:rPr>
              <w:t>）生活垃圾</w:t>
            </w:r>
          </w:p>
          <w:p w14:paraId="6F80860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000000" w:themeColor="text1"/>
                <w:sz w:val="24"/>
                <w:highlight w:val="none"/>
                <w:lang w:eastAsia="zh-CN"/>
                <w14:textFill>
                  <w14:solidFill>
                    <w14:schemeClr w14:val="tx1"/>
                  </w14:solidFill>
                </w14:textFill>
              </w:rPr>
            </w:pPr>
            <w:r>
              <w:rPr>
                <w:rFonts w:hint="default" w:ascii="Times New Roman" w:hAnsi="Times New Roman" w:cs="Times New Roman"/>
                <w:b w:val="0"/>
                <w:bCs w:val="0"/>
                <w:color w:val="000000" w:themeColor="text1"/>
                <w:sz w:val="24"/>
                <w:highlight w:val="none"/>
                <w:lang w:eastAsia="zh-CN"/>
                <w14:textFill>
                  <w14:solidFill>
                    <w14:schemeClr w14:val="tx1"/>
                  </w14:solidFill>
                </w14:textFill>
              </w:rPr>
              <w:t>项目劳动定员</w:t>
            </w:r>
            <w:r>
              <w:rPr>
                <w:rFonts w:hint="eastAsia" w:cs="Times New Roman"/>
                <w:b w:val="0"/>
                <w:bCs w:val="0"/>
                <w:color w:val="000000" w:themeColor="text1"/>
                <w:sz w:val="24"/>
                <w:highlight w:val="none"/>
                <w:lang w:val="en-US" w:eastAsia="zh-CN"/>
                <w14:textFill>
                  <w14:solidFill>
                    <w14:schemeClr w14:val="tx1"/>
                  </w14:solidFill>
                </w14:textFill>
              </w:rPr>
              <w:t>3</w:t>
            </w:r>
            <w:r>
              <w:rPr>
                <w:rFonts w:hint="default" w:ascii="Times New Roman" w:hAnsi="Times New Roman" w:cs="Times New Roman"/>
                <w:b w:val="0"/>
                <w:bCs w:val="0"/>
                <w:color w:val="000000" w:themeColor="text1"/>
                <w:sz w:val="24"/>
                <w:highlight w:val="none"/>
                <w:lang w:eastAsia="zh-CN"/>
                <w14:textFill>
                  <w14:solidFill>
                    <w14:schemeClr w14:val="tx1"/>
                  </w14:solidFill>
                </w14:textFill>
              </w:rPr>
              <w:t>人，流动顾客约</w:t>
            </w:r>
            <w:r>
              <w:rPr>
                <w:rFonts w:hint="eastAsia" w:cs="Times New Roman"/>
                <w:b w:val="0"/>
                <w:bCs w:val="0"/>
                <w:color w:val="000000" w:themeColor="text1"/>
                <w:sz w:val="24"/>
                <w:highlight w:val="none"/>
                <w:lang w:val="en-US" w:eastAsia="zh-CN"/>
                <w14:textFill>
                  <w14:solidFill>
                    <w14:schemeClr w14:val="tx1"/>
                  </w14:solidFill>
                </w14:textFill>
              </w:rPr>
              <w:t>36</w:t>
            </w:r>
            <w:r>
              <w:rPr>
                <w:rFonts w:hint="default" w:ascii="Times New Roman" w:hAnsi="Times New Roman" w:cs="Times New Roman"/>
                <w:b w:val="0"/>
                <w:bCs w:val="0"/>
                <w:color w:val="000000" w:themeColor="text1"/>
                <w:sz w:val="24"/>
                <w:highlight w:val="none"/>
                <w:lang w:eastAsia="zh-CN"/>
                <w14:textFill>
                  <w14:solidFill>
                    <w14:schemeClr w14:val="tx1"/>
                  </w14:solidFill>
                </w14:textFill>
              </w:rPr>
              <w:t>人/次·d，生活垃圾产生系数以0.5kg/人·d计，则生活垃圾产生量约</w:t>
            </w:r>
            <w:r>
              <w:rPr>
                <w:rFonts w:hint="eastAsia" w:cs="Times New Roman"/>
                <w:b w:val="0"/>
                <w:bCs w:val="0"/>
                <w:color w:val="000000" w:themeColor="text1"/>
                <w:sz w:val="24"/>
                <w:highlight w:val="none"/>
                <w:lang w:val="en-US" w:eastAsia="zh-CN"/>
                <w14:textFill>
                  <w14:solidFill>
                    <w14:schemeClr w14:val="tx1"/>
                  </w14:solidFill>
                </w14:textFill>
              </w:rPr>
              <w:t>7.1175</w:t>
            </w:r>
            <w:r>
              <w:rPr>
                <w:rFonts w:hint="default" w:ascii="Times New Roman" w:hAnsi="Times New Roman" w:cs="Times New Roman"/>
                <w:b w:val="0"/>
                <w:bCs w:val="0"/>
                <w:color w:val="000000" w:themeColor="text1"/>
                <w:sz w:val="24"/>
                <w:highlight w:val="none"/>
                <w:lang w:eastAsia="zh-CN"/>
                <w14:textFill>
                  <w14:solidFill>
                    <w14:schemeClr w14:val="tx1"/>
                  </w14:solidFill>
                </w14:textFill>
              </w:rPr>
              <w:t>t/a，定期交环卫部门处置。</w:t>
            </w:r>
          </w:p>
          <w:p w14:paraId="42CF5D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000000" w:themeColor="text1"/>
                <w:sz w:val="24"/>
                <w:highlight w:val="none"/>
                <w:vertAlign w:val="baseline"/>
                <w:lang w:eastAsia="zh-CN"/>
                <w14:textFill>
                  <w14:solidFill>
                    <w14:schemeClr w14:val="tx1"/>
                  </w14:solidFill>
                </w14:textFill>
              </w:rPr>
            </w:pPr>
            <w:r>
              <w:rPr>
                <w:rFonts w:hint="default" w:ascii="Times New Roman" w:hAnsi="Times New Roman" w:cs="Times New Roman"/>
                <w:b/>
                <w:bCs/>
                <w:color w:val="000000" w:themeColor="text1"/>
                <w:sz w:val="24"/>
                <w:highlight w:val="none"/>
                <w:lang w:eastAsia="zh-CN"/>
                <w14:textFill>
                  <w14:solidFill>
                    <w14:schemeClr w14:val="tx1"/>
                  </w14:solidFill>
                </w14:textFill>
              </w:rPr>
              <w:t>表4.2-</w:t>
            </w:r>
            <w:r>
              <w:rPr>
                <w:rFonts w:hint="eastAsia" w:cs="Times New Roman"/>
                <w:b/>
                <w:bCs/>
                <w:color w:val="000000" w:themeColor="text1"/>
                <w:sz w:val="24"/>
                <w:highlight w:val="none"/>
                <w:lang w:val="en-US" w:eastAsia="zh-CN"/>
                <w14:textFill>
                  <w14:solidFill>
                    <w14:schemeClr w14:val="tx1"/>
                  </w14:solidFill>
                </w14:textFill>
              </w:rPr>
              <w:t>11</w:t>
            </w:r>
            <w:r>
              <w:rPr>
                <w:rFonts w:hint="default" w:ascii="Times New Roman" w:hAnsi="Times New Roman" w:cs="Times New Roman"/>
                <w:b/>
                <w:bCs/>
                <w:color w:val="000000" w:themeColor="text1"/>
                <w:sz w:val="24"/>
                <w:highlight w:val="none"/>
                <w:lang w:eastAsia="zh-CN"/>
                <w14:textFill>
                  <w14:solidFill>
                    <w14:schemeClr w14:val="tx1"/>
                  </w14:solidFill>
                </w14:textFill>
              </w:rPr>
              <w:t xml:space="preserve"> 危险废物及医疗废物汇总表</w:t>
            </w:r>
          </w:p>
          <w:tbl>
            <w:tblPr>
              <w:tblStyle w:val="2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39"/>
              <w:gridCol w:w="1039"/>
              <w:gridCol w:w="1039"/>
              <w:gridCol w:w="1039"/>
              <w:gridCol w:w="1039"/>
              <w:gridCol w:w="1039"/>
              <w:gridCol w:w="1044"/>
              <w:gridCol w:w="1044"/>
            </w:tblGrid>
            <w:tr w14:paraId="115E08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24" w:type="pct"/>
                  <w:tcBorders>
                    <w:tl2br w:val="nil"/>
                    <w:tr2bl w:val="nil"/>
                  </w:tcBorders>
                  <w:vAlign w:val="center"/>
                </w:tcPr>
                <w:p w14:paraId="1B6343D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危险废物名称</w:t>
                  </w:r>
                </w:p>
              </w:tc>
              <w:tc>
                <w:tcPr>
                  <w:tcW w:w="624" w:type="pct"/>
                  <w:tcBorders>
                    <w:tl2br w:val="nil"/>
                    <w:tr2bl w:val="nil"/>
                  </w:tcBorders>
                  <w:vAlign w:val="center"/>
                </w:tcPr>
                <w:p w14:paraId="67BDAB3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危险废物类别</w:t>
                  </w:r>
                </w:p>
              </w:tc>
              <w:tc>
                <w:tcPr>
                  <w:tcW w:w="624" w:type="pct"/>
                  <w:tcBorders>
                    <w:tl2br w:val="nil"/>
                    <w:tr2bl w:val="nil"/>
                  </w:tcBorders>
                  <w:vAlign w:val="center"/>
                </w:tcPr>
                <w:p w14:paraId="41AB5E0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危险废物代码</w:t>
                  </w:r>
                </w:p>
              </w:tc>
              <w:tc>
                <w:tcPr>
                  <w:tcW w:w="624" w:type="pct"/>
                  <w:tcBorders>
                    <w:tl2br w:val="nil"/>
                    <w:tr2bl w:val="nil"/>
                  </w:tcBorders>
                  <w:vAlign w:val="center"/>
                </w:tcPr>
                <w:p w14:paraId="486BD62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产生量（t/a）</w:t>
                  </w:r>
                </w:p>
              </w:tc>
              <w:tc>
                <w:tcPr>
                  <w:tcW w:w="624" w:type="pct"/>
                  <w:tcBorders>
                    <w:tl2br w:val="nil"/>
                    <w:tr2bl w:val="nil"/>
                  </w:tcBorders>
                  <w:vAlign w:val="center"/>
                </w:tcPr>
                <w:p w14:paraId="59E3602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产生工序</w:t>
                  </w:r>
                </w:p>
              </w:tc>
              <w:tc>
                <w:tcPr>
                  <w:tcW w:w="624" w:type="pct"/>
                  <w:tcBorders>
                    <w:tl2br w:val="nil"/>
                    <w:tr2bl w:val="nil"/>
                  </w:tcBorders>
                  <w:vAlign w:val="center"/>
                </w:tcPr>
                <w:p w14:paraId="5CBE2F4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形态</w:t>
                  </w:r>
                </w:p>
              </w:tc>
              <w:tc>
                <w:tcPr>
                  <w:tcW w:w="626" w:type="pct"/>
                  <w:tcBorders>
                    <w:tl2br w:val="nil"/>
                    <w:tr2bl w:val="nil"/>
                  </w:tcBorders>
                  <w:vAlign w:val="center"/>
                </w:tcPr>
                <w:p w14:paraId="7423F9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危险特性</w:t>
                  </w:r>
                </w:p>
              </w:tc>
              <w:tc>
                <w:tcPr>
                  <w:tcW w:w="626" w:type="pct"/>
                  <w:tcBorders>
                    <w:tl2br w:val="nil"/>
                    <w:tr2bl w:val="nil"/>
                  </w:tcBorders>
                  <w:vAlign w:val="center"/>
                </w:tcPr>
                <w:p w14:paraId="2007658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污染防治措施</w:t>
                  </w:r>
                </w:p>
              </w:tc>
            </w:tr>
            <w:tr w14:paraId="7CCA26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24" w:type="pct"/>
                  <w:tcBorders>
                    <w:tl2br w:val="nil"/>
                    <w:tr2bl w:val="nil"/>
                  </w:tcBorders>
                  <w:vAlign w:val="center"/>
                </w:tcPr>
                <w:p w14:paraId="3BDA4C8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废紫外灯管</w:t>
                  </w:r>
                </w:p>
              </w:tc>
              <w:tc>
                <w:tcPr>
                  <w:tcW w:w="624" w:type="pct"/>
                  <w:tcBorders>
                    <w:tl2br w:val="nil"/>
                    <w:tr2bl w:val="nil"/>
                  </w:tcBorders>
                  <w:vAlign w:val="center"/>
                </w:tcPr>
                <w:p w14:paraId="2AA518B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HW29</w:t>
                  </w:r>
                </w:p>
              </w:tc>
              <w:tc>
                <w:tcPr>
                  <w:tcW w:w="624" w:type="pct"/>
                  <w:tcBorders>
                    <w:tl2br w:val="nil"/>
                    <w:tr2bl w:val="nil"/>
                  </w:tcBorders>
                  <w:vAlign w:val="center"/>
                </w:tcPr>
                <w:p w14:paraId="382B392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t>900-023-29</w:t>
                  </w:r>
                </w:p>
              </w:tc>
              <w:tc>
                <w:tcPr>
                  <w:tcW w:w="624" w:type="pct"/>
                  <w:tcBorders>
                    <w:tl2br w:val="nil"/>
                    <w:tr2bl w:val="nil"/>
                  </w:tcBorders>
                  <w:vAlign w:val="center"/>
                </w:tcPr>
                <w:p w14:paraId="615B46E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0.0</w:t>
                  </w: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1</w:t>
                  </w:r>
                </w:p>
              </w:tc>
              <w:tc>
                <w:tcPr>
                  <w:tcW w:w="624" w:type="pct"/>
                  <w:tcBorders>
                    <w:tl2br w:val="nil"/>
                    <w:tr2bl w:val="nil"/>
                  </w:tcBorders>
                  <w:vAlign w:val="center"/>
                </w:tcPr>
                <w:p w14:paraId="3931733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消毒</w:t>
                  </w:r>
                </w:p>
              </w:tc>
              <w:tc>
                <w:tcPr>
                  <w:tcW w:w="624" w:type="pct"/>
                  <w:tcBorders>
                    <w:tl2br w:val="nil"/>
                    <w:tr2bl w:val="nil"/>
                  </w:tcBorders>
                  <w:vAlign w:val="center"/>
                </w:tcPr>
                <w:p w14:paraId="4B0557E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固体</w:t>
                  </w:r>
                </w:p>
              </w:tc>
              <w:tc>
                <w:tcPr>
                  <w:tcW w:w="626" w:type="pct"/>
                  <w:tcBorders>
                    <w:tl2br w:val="nil"/>
                    <w:tr2bl w:val="nil"/>
                  </w:tcBorders>
                  <w:vAlign w:val="center"/>
                </w:tcPr>
                <w:p w14:paraId="7C81980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T</w:t>
                  </w:r>
                </w:p>
              </w:tc>
              <w:tc>
                <w:tcPr>
                  <w:tcW w:w="626" w:type="pct"/>
                  <w:vMerge w:val="restart"/>
                  <w:tcBorders>
                    <w:tl2br w:val="nil"/>
                    <w:tr2bl w:val="nil"/>
                  </w:tcBorders>
                  <w:vAlign w:val="center"/>
                </w:tcPr>
                <w:p w14:paraId="225A0B2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t>分类收集后暂存于医废暂存</w:t>
                  </w: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点</w:t>
                  </w:r>
                  <w:r>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t>，定期交有处理资质单位进行处置</w:t>
                  </w:r>
                </w:p>
              </w:tc>
            </w:tr>
            <w:tr w14:paraId="5D1AAE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24" w:type="pct"/>
                  <w:tcBorders>
                    <w:tl2br w:val="nil"/>
                    <w:tr2bl w:val="nil"/>
                  </w:tcBorders>
                  <w:vAlign w:val="center"/>
                </w:tcPr>
                <w:p w14:paraId="604E2ED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医疗废物</w:t>
                  </w:r>
                </w:p>
              </w:tc>
              <w:tc>
                <w:tcPr>
                  <w:tcW w:w="624" w:type="pct"/>
                  <w:tcBorders>
                    <w:tl2br w:val="nil"/>
                    <w:tr2bl w:val="nil"/>
                  </w:tcBorders>
                  <w:vAlign w:val="center"/>
                </w:tcPr>
                <w:p w14:paraId="103E539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HW01</w:t>
                  </w:r>
                </w:p>
              </w:tc>
              <w:tc>
                <w:tcPr>
                  <w:tcW w:w="624" w:type="pct"/>
                  <w:tcBorders>
                    <w:tl2br w:val="nil"/>
                    <w:tr2bl w:val="nil"/>
                  </w:tcBorders>
                  <w:vAlign w:val="center"/>
                </w:tcPr>
                <w:p w14:paraId="3AB5854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t>841-001-01、</w:t>
                  </w:r>
                </w:p>
                <w:p w14:paraId="5529F5B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t>841-002-01、841-003-01、</w:t>
                  </w:r>
                </w:p>
                <w:p w14:paraId="70702FE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t>841-004-01、</w:t>
                  </w:r>
                </w:p>
                <w:p w14:paraId="110566F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t>841-005-01</w:t>
                  </w:r>
                </w:p>
              </w:tc>
              <w:tc>
                <w:tcPr>
                  <w:tcW w:w="624" w:type="pct"/>
                  <w:tcBorders>
                    <w:tl2br w:val="nil"/>
                    <w:tr2bl w:val="nil"/>
                  </w:tcBorders>
                  <w:vAlign w:val="center"/>
                </w:tcPr>
                <w:p w14:paraId="41A5D1E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1.606</w:t>
                  </w:r>
                </w:p>
              </w:tc>
              <w:tc>
                <w:tcPr>
                  <w:tcW w:w="624" w:type="pct"/>
                  <w:tcBorders>
                    <w:tl2br w:val="nil"/>
                    <w:tr2bl w:val="nil"/>
                  </w:tcBorders>
                  <w:vAlign w:val="center"/>
                </w:tcPr>
                <w:p w14:paraId="26714D4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诊疗、化验、手术等</w:t>
                  </w:r>
                </w:p>
              </w:tc>
              <w:tc>
                <w:tcPr>
                  <w:tcW w:w="624" w:type="pct"/>
                  <w:tcBorders>
                    <w:tl2br w:val="nil"/>
                    <w:tr2bl w:val="nil"/>
                  </w:tcBorders>
                  <w:vAlign w:val="center"/>
                </w:tcPr>
                <w:p w14:paraId="7DA34F3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固体</w:t>
                  </w:r>
                </w:p>
              </w:tc>
              <w:tc>
                <w:tcPr>
                  <w:tcW w:w="626" w:type="pct"/>
                  <w:tcBorders>
                    <w:tl2br w:val="nil"/>
                    <w:tr2bl w:val="nil"/>
                  </w:tcBorders>
                  <w:vAlign w:val="center"/>
                </w:tcPr>
                <w:p w14:paraId="2305086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t>T/C</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/I</w:t>
                  </w:r>
                  <w:r>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t>/R/In</w:t>
                  </w:r>
                </w:p>
              </w:tc>
              <w:tc>
                <w:tcPr>
                  <w:tcW w:w="626" w:type="pct"/>
                  <w:vMerge w:val="continue"/>
                  <w:tcBorders>
                    <w:tl2br w:val="nil"/>
                    <w:tr2bl w:val="nil"/>
                  </w:tcBorders>
                  <w:vAlign w:val="center"/>
                </w:tcPr>
                <w:p w14:paraId="068CD97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p>
              </w:tc>
            </w:tr>
          </w:tbl>
          <w:p w14:paraId="358840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000000" w:themeColor="text1"/>
                <w:sz w:val="24"/>
                <w:highlight w:val="none"/>
                <w:vertAlign w:val="baseline"/>
                <w:lang w:eastAsia="zh-CN"/>
                <w14:textFill>
                  <w14:solidFill>
                    <w14:schemeClr w14:val="tx1"/>
                  </w14:solidFill>
                </w14:textFill>
              </w:rPr>
            </w:pPr>
            <w:r>
              <w:rPr>
                <w:rFonts w:hint="default" w:ascii="Times New Roman" w:hAnsi="Times New Roman" w:cs="Times New Roman"/>
                <w:b/>
                <w:bCs/>
                <w:color w:val="000000" w:themeColor="text1"/>
                <w:sz w:val="24"/>
                <w:highlight w:val="none"/>
                <w:lang w:eastAsia="zh-CN"/>
                <w14:textFill>
                  <w14:solidFill>
                    <w14:schemeClr w14:val="tx1"/>
                  </w14:solidFill>
                </w14:textFill>
              </w:rPr>
              <w:t>表4.2-</w:t>
            </w:r>
            <w:r>
              <w:rPr>
                <w:rFonts w:hint="eastAsia" w:cs="Times New Roman"/>
                <w:b/>
                <w:bCs/>
                <w:color w:val="000000" w:themeColor="text1"/>
                <w:sz w:val="24"/>
                <w:highlight w:val="none"/>
                <w:lang w:val="en-US" w:eastAsia="zh-CN"/>
                <w14:textFill>
                  <w14:solidFill>
                    <w14:schemeClr w14:val="tx1"/>
                  </w14:solidFill>
                </w14:textFill>
              </w:rPr>
              <w:t>12</w:t>
            </w:r>
            <w:r>
              <w:rPr>
                <w:rFonts w:hint="default" w:ascii="Times New Roman" w:hAnsi="Times New Roman" w:cs="Times New Roman"/>
                <w:b/>
                <w:bCs/>
                <w:color w:val="000000" w:themeColor="text1"/>
                <w:sz w:val="24"/>
                <w:highlight w:val="none"/>
                <w:lang w:eastAsia="zh-CN"/>
                <w14:textFill>
                  <w14:solidFill>
                    <w14:schemeClr w14:val="tx1"/>
                  </w14:solidFill>
                </w14:textFill>
              </w:rPr>
              <w:t xml:space="preserve"> 固体废物产生及排放信息一览表</w:t>
            </w:r>
          </w:p>
          <w:tbl>
            <w:tblPr>
              <w:tblStyle w:val="2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6"/>
              <w:gridCol w:w="2068"/>
              <w:gridCol w:w="1387"/>
              <w:gridCol w:w="1387"/>
              <w:gridCol w:w="1387"/>
              <w:gridCol w:w="1387"/>
            </w:tblGrid>
            <w:tr w14:paraId="4E4A59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66" w:type="pct"/>
                  <w:gridSpan w:val="2"/>
                  <w:tcBorders>
                    <w:tl2br w:val="nil"/>
                    <w:tr2bl w:val="nil"/>
                  </w:tcBorders>
                  <w:vAlign w:val="center"/>
                </w:tcPr>
                <w:p w14:paraId="395F2C8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固废名称</w:t>
                  </w:r>
                </w:p>
              </w:tc>
              <w:tc>
                <w:tcPr>
                  <w:tcW w:w="833" w:type="pct"/>
                  <w:tcBorders>
                    <w:tl2br w:val="nil"/>
                    <w:tr2bl w:val="nil"/>
                  </w:tcBorders>
                  <w:vAlign w:val="center"/>
                </w:tcPr>
                <w:p w14:paraId="3D2FA04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特性</w:t>
                  </w:r>
                </w:p>
              </w:tc>
              <w:tc>
                <w:tcPr>
                  <w:tcW w:w="833" w:type="pct"/>
                  <w:tcBorders>
                    <w:tl2br w:val="nil"/>
                    <w:tr2bl w:val="nil"/>
                  </w:tcBorders>
                  <w:vAlign w:val="center"/>
                </w:tcPr>
                <w:p w14:paraId="3390F30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性质/代码</w:t>
                  </w:r>
                </w:p>
              </w:tc>
              <w:tc>
                <w:tcPr>
                  <w:tcW w:w="833" w:type="pct"/>
                  <w:tcBorders>
                    <w:tl2br w:val="nil"/>
                    <w:tr2bl w:val="nil"/>
                  </w:tcBorders>
                  <w:vAlign w:val="center"/>
                </w:tcPr>
                <w:p w14:paraId="1615C1B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产生量</w:t>
                  </w:r>
                </w:p>
                <w:p w14:paraId="074021A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（t/a）</w:t>
                  </w:r>
                </w:p>
              </w:tc>
              <w:tc>
                <w:tcPr>
                  <w:tcW w:w="833" w:type="pct"/>
                  <w:tcBorders>
                    <w:tl2br w:val="nil"/>
                    <w:tr2bl w:val="nil"/>
                  </w:tcBorders>
                  <w:vAlign w:val="center"/>
                </w:tcPr>
                <w:p w14:paraId="0E1BB5A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处理、利用措施</w:t>
                  </w:r>
                </w:p>
              </w:tc>
            </w:tr>
            <w:tr w14:paraId="230E96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4" w:type="pct"/>
                  <w:vMerge w:val="restart"/>
                  <w:tcBorders>
                    <w:tl2br w:val="nil"/>
                    <w:tr2bl w:val="nil"/>
                  </w:tcBorders>
                  <w:vAlign w:val="center"/>
                </w:tcPr>
                <w:p w14:paraId="799D714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医疗废物</w:t>
                  </w:r>
                </w:p>
              </w:tc>
              <w:tc>
                <w:tcPr>
                  <w:tcW w:w="1242" w:type="pct"/>
                  <w:tcBorders>
                    <w:tl2br w:val="nil"/>
                    <w:tr2bl w:val="nil"/>
                  </w:tcBorders>
                  <w:vAlign w:val="center"/>
                </w:tcPr>
                <w:p w14:paraId="26DE86B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感染性废物</w:t>
                  </w:r>
                </w:p>
              </w:tc>
              <w:tc>
                <w:tcPr>
                  <w:tcW w:w="833" w:type="pct"/>
                  <w:vMerge w:val="restart"/>
                  <w:tcBorders>
                    <w:tl2br w:val="nil"/>
                    <w:tr2bl w:val="nil"/>
                  </w:tcBorders>
                  <w:vAlign w:val="center"/>
                </w:tcPr>
                <w:p w14:paraId="7E50C57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危险废物</w:t>
                  </w:r>
                </w:p>
              </w:tc>
              <w:tc>
                <w:tcPr>
                  <w:tcW w:w="833" w:type="pct"/>
                  <w:tcBorders>
                    <w:tl2br w:val="nil"/>
                    <w:tr2bl w:val="nil"/>
                  </w:tcBorders>
                  <w:vAlign w:val="center"/>
                </w:tcPr>
                <w:p w14:paraId="37C6822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841-001-01</w:t>
                  </w:r>
                </w:p>
              </w:tc>
              <w:tc>
                <w:tcPr>
                  <w:tcW w:w="833" w:type="pct"/>
                  <w:vMerge w:val="restart"/>
                  <w:tcBorders>
                    <w:tl2br w:val="nil"/>
                    <w:tr2bl w:val="nil"/>
                  </w:tcBorders>
                  <w:vAlign w:val="center"/>
                </w:tcPr>
                <w:p w14:paraId="1ED5A79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1.752</w:t>
                  </w:r>
                </w:p>
              </w:tc>
              <w:tc>
                <w:tcPr>
                  <w:tcW w:w="833" w:type="pct"/>
                  <w:vMerge w:val="restart"/>
                  <w:tcBorders>
                    <w:tl2br w:val="nil"/>
                    <w:tr2bl w:val="nil"/>
                  </w:tcBorders>
                  <w:vAlign w:val="center"/>
                </w:tcPr>
                <w:p w14:paraId="10770B0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t>暂存于医疗废物暂存</w:t>
                  </w: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点</w:t>
                  </w:r>
                  <w:r>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t>，定期交由有资质单位处置</w:t>
                  </w:r>
                </w:p>
              </w:tc>
            </w:tr>
            <w:tr w14:paraId="1F5D46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4" w:type="pct"/>
                  <w:vMerge w:val="continue"/>
                  <w:tcBorders>
                    <w:tl2br w:val="nil"/>
                    <w:tr2bl w:val="nil"/>
                  </w:tcBorders>
                  <w:vAlign w:val="center"/>
                </w:tcPr>
                <w:p w14:paraId="596F013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p>
              </w:tc>
              <w:tc>
                <w:tcPr>
                  <w:tcW w:w="1242" w:type="pct"/>
                  <w:tcBorders>
                    <w:tl2br w:val="nil"/>
                    <w:tr2bl w:val="nil"/>
                  </w:tcBorders>
                  <w:vAlign w:val="center"/>
                </w:tcPr>
                <w:p w14:paraId="27DE2A6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损伤性废物</w:t>
                  </w:r>
                </w:p>
              </w:tc>
              <w:tc>
                <w:tcPr>
                  <w:tcW w:w="833" w:type="pct"/>
                  <w:vMerge w:val="continue"/>
                  <w:tcBorders>
                    <w:tl2br w:val="nil"/>
                    <w:tr2bl w:val="nil"/>
                  </w:tcBorders>
                  <w:vAlign w:val="center"/>
                </w:tcPr>
                <w:p w14:paraId="069323F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p>
              </w:tc>
              <w:tc>
                <w:tcPr>
                  <w:tcW w:w="833" w:type="pct"/>
                  <w:tcBorders>
                    <w:tl2br w:val="nil"/>
                    <w:tr2bl w:val="nil"/>
                  </w:tcBorders>
                  <w:vAlign w:val="center"/>
                </w:tcPr>
                <w:p w14:paraId="2B14745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841-002-01</w:t>
                  </w:r>
                </w:p>
              </w:tc>
              <w:tc>
                <w:tcPr>
                  <w:tcW w:w="833" w:type="pct"/>
                  <w:vMerge w:val="continue"/>
                  <w:tcBorders>
                    <w:tl2br w:val="nil"/>
                    <w:tr2bl w:val="nil"/>
                  </w:tcBorders>
                  <w:vAlign w:val="center"/>
                </w:tcPr>
                <w:p w14:paraId="6B86B9E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p>
              </w:tc>
              <w:tc>
                <w:tcPr>
                  <w:tcW w:w="833" w:type="pct"/>
                  <w:vMerge w:val="continue"/>
                  <w:tcBorders>
                    <w:tl2br w:val="nil"/>
                    <w:tr2bl w:val="nil"/>
                  </w:tcBorders>
                  <w:vAlign w:val="center"/>
                </w:tcPr>
                <w:p w14:paraId="2A1F3E4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p>
              </w:tc>
            </w:tr>
            <w:tr w14:paraId="705796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4" w:type="pct"/>
                  <w:vMerge w:val="continue"/>
                  <w:tcBorders>
                    <w:tl2br w:val="nil"/>
                    <w:tr2bl w:val="nil"/>
                  </w:tcBorders>
                  <w:vAlign w:val="center"/>
                </w:tcPr>
                <w:p w14:paraId="4A21C1F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p>
              </w:tc>
              <w:tc>
                <w:tcPr>
                  <w:tcW w:w="1242" w:type="pct"/>
                  <w:tcBorders>
                    <w:tl2br w:val="nil"/>
                    <w:tr2bl w:val="nil"/>
                  </w:tcBorders>
                  <w:vAlign w:val="center"/>
                </w:tcPr>
                <w:p w14:paraId="2FD0EB2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病理性废物</w:t>
                  </w:r>
                </w:p>
              </w:tc>
              <w:tc>
                <w:tcPr>
                  <w:tcW w:w="833" w:type="pct"/>
                  <w:vMerge w:val="continue"/>
                  <w:tcBorders>
                    <w:tl2br w:val="nil"/>
                    <w:tr2bl w:val="nil"/>
                  </w:tcBorders>
                  <w:vAlign w:val="center"/>
                </w:tcPr>
                <w:p w14:paraId="13687EC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p>
              </w:tc>
              <w:tc>
                <w:tcPr>
                  <w:tcW w:w="833" w:type="pct"/>
                  <w:tcBorders>
                    <w:tl2br w:val="nil"/>
                    <w:tr2bl w:val="nil"/>
                  </w:tcBorders>
                  <w:shd w:val="clear" w:color="auto" w:fill="auto"/>
                  <w:vAlign w:val="center"/>
                </w:tcPr>
                <w:p w14:paraId="59C68D4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841-003-01</w:t>
                  </w:r>
                </w:p>
              </w:tc>
              <w:tc>
                <w:tcPr>
                  <w:tcW w:w="833" w:type="pct"/>
                  <w:vMerge w:val="continue"/>
                  <w:tcBorders>
                    <w:tl2br w:val="nil"/>
                    <w:tr2bl w:val="nil"/>
                  </w:tcBorders>
                  <w:vAlign w:val="center"/>
                </w:tcPr>
                <w:p w14:paraId="59F9786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p>
              </w:tc>
              <w:tc>
                <w:tcPr>
                  <w:tcW w:w="833" w:type="pct"/>
                  <w:tcBorders>
                    <w:tl2br w:val="nil"/>
                    <w:tr2bl w:val="nil"/>
                  </w:tcBorders>
                  <w:vAlign w:val="center"/>
                </w:tcPr>
                <w:p w14:paraId="095B57D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t>及时交</w:t>
                  </w: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有</w:t>
                  </w:r>
                  <w:r>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t>资质单位无害化处置</w:t>
                  </w:r>
                </w:p>
              </w:tc>
            </w:tr>
            <w:tr w14:paraId="02A0E3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4" w:type="pct"/>
                  <w:vMerge w:val="continue"/>
                  <w:tcBorders>
                    <w:tl2br w:val="nil"/>
                    <w:tr2bl w:val="nil"/>
                  </w:tcBorders>
                  <w:vAlign w:val="center"/>
                </w:tcPr>
                <w:p w14:paraId="6446B9E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p>
              </w:tc>
              <w:tc>
                <w:tcPr>
                  <w:tcW w:w="1242" w:type="pct"/>
                  <w:tcBorders>
                    <w:tl2br w:val="nil"/>
                    <w:tr2bl w:val="nil"/>
                  </w:tcBorders>
                  <w:vAlign w:val="center"/>
                </w:tcPr>
                <w:p w14:paraId="66D50A6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药理性废物</w:t>
                  </w:r>
                </w:p>
              </w:tc>
              <w:tc>
                <w:tcPr>
                  <w:tcW w:w="833" w:type="pct"/>
                  <w:vMerge w:val="continue"/>
                  <w:tcBorders>
                    <w:tl2br w:val="nil"/>
                    <w:tr2bl w:val="nil"/>
                  </w:tcBorders>
                  <w:vAlign w:val="center"/>
                </w:tcPr>
                <w:p w14:paraId="5820AC9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p>
              </w:tc>
              <w:tc>
                <w:tcPr>
                  <w:tcW w:w="833" w:type="pct"/>
                  <w:tcBorders>
                    <w:tl2br w:val="nil"/>
                    <w:tr2bl w:val="nil"/>
                  </w:tcBorders>
                  <w:shd w:val="clear" w:color="auto" w:fill="auto"/>
                  <w:vAlign w:val="center"/>
                </w:tcPr>
                <w:p w14:paraId="153BED5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841-004-01</w:t>
                  </w:r>
                </w:p>
              </w:tc>
              <w:tc>
                <w:tcPr>
                  <w:tcW w:w="833" w:type="pct"/>
                  <w:vMerge w:val="continue"/>
                  <w:tcBorders>
                    <w:tl2br w:val="nil"/>
                    <w:tr2bl w:val="nil"/>
                  </w:tcBorders>
                  <w:vAlign w:val="center"/>
                </w:tcPr>
                <w:p w14:paraId="255767D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p>
              </w:tc>
              <w:tc>
                <w:tcPr>
                  <w:tcW w:w="833" w:type="pct"/>
                  <w:vMerge w:val="restart"/>
                  <w:tcBorders>
                    <w:tl2br w:val="nil"/>
                    <w:tr2bl w:val="nil"/>
                  </w:tcBorders>
                  <w:vAlign w:val="center"/>
                </w:tcPr>
                <w:p w14:paraId="68591E2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t>暂存于医疗废物暂存</w:t>
                  </w: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点</w:t>
                  </w:r>
                  <w:r>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t>，定期交由有资质单位处置</w:t>
                  </w:r>
                </w:p>
              </w:tc>
            </w:tr>
            <w:tr w14:paraId="5D1AF1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4" w:type="pct"/>
                  <w:vMerge w:val="continue"/>
                  <w:tcBorders>
                    <w:tl2br w:val="nil"/>
                    <w:tr2bl w:val="nil"/>
                  </w:tcBorders>
                  <w:vAlign w:val="center"/>
                </w:tcPr>
                <w:p w14:paraId="0B9A433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p>
              </w:tc>
              <w:tc>
                <w:tcPr>
                  <w:tcW w:w="1242" w:type="pct"/>
                  <w:tcBorders>
                    <w:tl2br w:val="nil"/>
                    <w:tr2bl w:val="nil"/>
                  </w:tcBorders>
                  <w:vAlign w:val="center"/>
                </w:tcPr>
                <w:p w14:paraId="6A16ED5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化学性废物</w:t>
                  </w:r>
                </w:p>
              </w:tc>
              <w:tc>
                <w:tcPr>
                  <w:tcW w:w="833" w:type="pct"/>
                  <w:vMerge w:val="continue"/>
                  <w:tcBorders>
                    <w:tl2br w:val="nil"/>
                    <w:tr2bl w:val="nil"/>
                  </w:tcBorders>
                  <w:vAlign w:val="center"/>
                </w:tcPr>
                <w:p w14:paraId="02BF289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p>
              </w:tc>
              <w:tc>
                <w:tcPr>
                  <w:tcW w:w="833" w:type="pct"/>
                  <w:tcBorders>
                    <w:tl2br w:val="nil"/>
                    <w:tr2bl w:val="nil"/>
                  </w:tcBorders>
                  <w:shd w:val="clear" w:color="auto" w:fill="auto"/>
                  <w:vAlign w:val="center"/>
                </w:tcPr>
                <w:p w14:paraId="70FA08D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841-005-01</w:t>
                  </w:r>
                </w:p>
              </w:tc>
              <w:tc>
                <w:tcPr>
                  <w:tcW w:w="833" w:type="pct"/>
                  <w:vMerge w:val="continue"/>
                  <w:tcBorders>
                    <w:tl2br w:val="nil"/>
                    <w:tr2bl w:val="nil"/>
                  </w:tcBorders>
                  <w:vAlign w:val="center"/>
                </w:tcPr>
                <w:p w14:paraId="460DD14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p>
              </w:tc>
              <w:tc>
                <w:tcPr>
                  <w:tcW w:w="833" w:type="pct"/>
                  <w:vMerge w:val="continue"/>
                  <w:tcBorders>
                    <w:tl2br w:val="nil"/>
                    <w:tr2bl w:val="nil"/>
                  </w:tcBorders>
                  <w:vAlign w:val="center"/>
                </w:tcPr>
                <w:p w14:paraId="0AC8E0E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p>
              </w:tc>
            </w:tr>
            <w:tr w14:paraId="50B5FA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66" w:type="pct"/>
                  <w:gridSpan w:val="2"/>
                  <w:tcBorders>
                    <w:tl2br w:val="nil"/>
                    <w:tr2bl w:val="nil"/>
                  </w:tcBorders>
                  <w:vAlign w:val="center"/>
                </w:tcPr>
                <w:p w14:paraId="06585C2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废紫外灯管</w:t>
                  </w:r>
                </w:p>
              </w:tc>
              <w:tc>
                <w:tcPr>
                  <w:tcW w:w="833" w:type="pct"/>
                  <w:tcBorders>
                    <w:tl2br w:val="nil"/>
                    <w:tr2bl w:val="nil"/>
                  </w:tcBorders>
                  <w:vAlign w:val="center"/>
                </w:tcPr>
                <w:p w14:paraId="4D68E7A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危险废物</w:t>
                  </w:r>
                </w:p>
              </w:tc>
              <w:tc>
                <w:tcPr>
                  <w:tcW w:w="833" w:type="pct"/>
                  <w:tcBorders>
                    <w:tl2br w:val="nil"/>
                    <w:tr2bl w:val="nil"/>
                  </w:tcBorders>
                  <w:vAlign w:val="center"/>
                </w:tcPr>
                <w:p w14:paraId="6E8EDCB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t>900-023-29</w:t>
                  </w:r>
                </w:p>
              </w:tc>
              <w:tc>
                <w:tcPr>
                  <w:tcW w:w="833" w:type="pct"/>
                  <w:tcBorders>
                    <w:tl2br w:val="nil"/>
                    <w:tr2bl w:val="nil"/>
                  </w:tcBorders>
                  <w:vAlign w:val="center"/>
                </w:tcPr>
                <w:p w14:paraId="5FD5977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0.0</w:t>
                  </w: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1</w:t>
                  </w:r>
                </w:p>
              </w:tc>
              <w:tc>
                <w:tcPr>
                  <w:tcW w:w="833" w:type="pct"/>
                  <w:tcBorders>
                    <w:tl2br w:val="nil"/>
                    <w:tr2bl w:val="nil"/>
                  </w:tcBorders>
                  <w:vAlign w:val="center"/>
                </w:tcPr>
                <w:p w14:paraId="70504CA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t>定期交由有资质单位处置</w:t>
                  </w:r>
                </w:p>
              </w:tc>
            </w:tr>
            <w:tr w14:paraId="19BDDE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66" w:type="pct"/>
                  <w:gridSpan w:val="2"/>
                  <w:tcBorders>
                    <w:tl2br w:val="nil"/>
                    <w:tr2bl w:val="nil"/>
                  </w:tcBorders>
                  <w:vAlign w:val="center"/>
                </w:tcPr>
                <w:p w14:paraId="5852EB8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动物尸体</w:t>
                  </w:r>
                </w:p>
              </w:tc>
              <w:tc>
                <w:tcPr>
                  <w:tcW w:w="833" w:type="pct"/>
                  <w:tcBorders>
                    <w:tl2br w:val="nil"/>
                    <w:tr2bl w:val="nil"/>
                  </w:tcBorders>
                  <w:vAlign w:val="center"/>
                </w:tcPr>
                <w:p w14:paraId="473B9F6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highlight w:val="none"/>
                      <w:vertAlign w:val="baseline"/>
                      <w:lang w:eastAsia="zh-CN"/>
                    </w:rPr>
                  </w:pPr>
                  <w:r>
                    <w:rPr>
                      <w:rFonts w:hint="default" w:ascii="Times New Roman" w:hAnsi="Times New Roman" w:cs="Times New Roman"/>
                      <w:b w:val="0"/>
                      <w:bCs w:val="0"/>
                      <w:color w:val="auto"/>
                      <w:sz w:val="21"/>
                      <w:szCs w:val="21"/>
                      <w:highlight w:val="none"/>
                      <w:vertAlign w:val="baseline"/>
                      <w:lang w:val="en-US" w:eastAsia="zh-CN"/>
                    </w:rPr>
                    <w:t>一般固废</w:t>
                  </w:r>
                </w:p>
              </w:tc>
              <w:tc>
                <w:tcPr>
                  <w:tcW w:w="833" w:type="pct"/>
                  <w:tcBorders>
                    <w:tl2br w:val="nil"/>
                    <w:tr2bl w:val="nil"/>
                  </w:tcBorders>
                  <w:vAlign w:val="center"/>
                </w:tcPr>
                <w:p w14:paraId="7D95272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highlight w:val="none"/>
                      <w:vertAlign w:val="baseline"/>
                      <w:lang w:eastAsia="zh-CN"/>
                    </w:rPr>
                  </w:pPr>
                  <w:r>
                    <w:rPr>
                      <w:rFonts w:hint="eastAsia" w:cs="Times New Roman"/>
                      <w:b w:val="0"/>
                      <w:bCs w:val="0"/>
                      <w:color w:val="auto"/>
                      <w:sz w:val="21"/>
                      <w:szCs w:val="21"/>
                      <w:highlight w:val="none"/>
                      <w:vertAlign w:val="baseline"/>
                      <w:lang w:val="en-US" w:eastAsia="zh-CN"/>
                    </w:rPr>
                    <w:t>/</w:t>
                  </w:r>
                </w:p>
              </w:tc>
              <w:tc>
                <w:tcPr>
                  <w:tcW w:w="833" w:type="pct"/>
                  <w:tcBorders>
                    <w:tl2br w:val="nil"/>
                    <w:tr2bl w:val="nil"/>
                  </w:tcBorders>
                  <w:vAlign w:val="center"/>
                </w:tcPr>
                <w:p w14:paraId="1E1D343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少量</w:t>
                  </w:r>
                </w:p>
              </w:tc>
              <w:tc>
                <w:tcPr>
                  <w:tcW w:w="833" w:type="pct"/>
                  <w:tcBorders>
                    <w:tl2br w:val="nil"/>
                    <w:tr2bl w:val="nil"/>
                  </w:tcBorders>
                  <w:vAlign w:val="center"/>
                </w:tcPr>
                <w:p w14:paraId="3C6699D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highlight w:val="none"/>
                      <w:vertAlign w:val="baseline"/>
                      <w:lang w:eastAsia="zh-CN"/>
                    </w:rPr>
                  </w:pPr>
                  <w:r>
                    <w:rPr>
                      <w:rFonts w:hint="default" w:ascii="Times New Roman" w:hAnsi="Times New Roman" w:cs="Times New Roman"/>
                      <w:b w:val="0"/>
                      <w:bCs w:val="0"/>
                      <w:color w:val="auto"/>
                      <w:sz w:val="21"/>
                      <w:szCs w:val="21"/>
                      <w:highlight w:val="none"/>
                      <w:vertAlign w:val="baseline"/>
                      <w:lang w:eastAsia="zh-CN"/>
                    </w:rPr>
                    <w:t>及时交资质单位无害</w:t>
                  </w:r>
                </w:p>
                <w:p w14:paraId="13161A0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highlight w:val="none"/>
                      <w:vertAlign w:val="baseline"/>
                      <w:lang w:eastAsia="zh-CN"/>
                    </w:rPr>
                  </w:pPr>
                  <w:r>
                    <w:rPr>
                      <w:rFonts w:hint="default" w:ascii="Times New Roman" w:hAnsi="Times New Roman" w:cs="Times New Roman"/>
                      <w:b w:val="0"/>
                      <w:bCs w:val="0"/>
                      <w:color w:val="auto"/>
                      <w:sz w:val="21"/>
                      <w:szCs w:val="21"/>
                      <w:highlight w:val="none"/>
                      <w:vertAlign w:val="baseline"/>
                      <w:lang w:eastAsia="zh-CN"/>
                    </w:rPr>
                    <w:t>化处置</w:t>
                  </w:r>
                </w:p>
              </w:tc>
            </w:tr>
            <w:tr w14:paraId="249F2E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66" w:type="pct"/>
                  <w:gridSpan w:val="2"/>
                  <w:tcBorders>
                    <w:tl2br w:val="nil"/>
                    <w:tr2bl w:val="nil"/>
                  </w:tcBorders>
                  <w:vAlign w:val="center"/>
                </w:tcPr>
                <w:p w14:paraId="0F3950F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动物粪污</w:t>
                  </w:r>
                </w:p>
              </w:tc>
              <w:tc>
                <w:tcPr>
                  <w:tcW w:w="833" w:type="pct"/>
                  <w:tcBorders>
                    <w:tl2br w:val="nil"/>
                    <w:tr2bl w:val="nil"/>
                  </w:tcBorders>
                  <w:vAlign w:val="center"/>
                </w:tcPr>
                <w:p w14:paraId="526E883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一般固废</w:t>
                  </w:r>
                </w:p>
              </w:tc>
              <w:tc>
                <w:tcPr>
                  <w:tcW w:w="833" w:type="pct"/>
                  <w:tcBorders>
                    <w:tl2br w:val="nil"/>
                    <w:tr2bl w:val="nil"/>
                  </w:tcBorders>
                  <w:vAlign w:val="center"/>
                </w:tcPr>
                <w:p w14:paraId="037F391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030-001-S82</w:t>
                  </w:r>
                </w:p>
              </w:tc>
              <w:tc>
                <w:tcPr>
                  <w:tcW w:w="833" w:type="pct"/>
                  <w:tcBorders>
                    <w:tl2br w:val="nil"/>
                    <w:tr2bl w:val="nil"/>
                  </w:tcBorders>
                  <w:vAlign w:val="center"/>
                </w:tcPr>
                <w:p w14:paraId="5E0F28D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2.9748</w:t>
                  </w:r>
                </w:p>
              </w:tc>
              <w:tc>
                <w:tcPr>
                  <w:tcW w:w="833" w:type="pct"/>
                  <w:tcBorders>
                    <w:tl2br w:val="nil"/>
                    <w:tr2bl w:val="nil"/>
                  </w:tcBorders>
                  <w:vAlign w:val="center"/>
                </w:tcPr>
                <w:p w14:paraId="0BD0606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highlight w:val="none"/>
                      <w:vertAlign w:val="baseline"/>
                      <w:lang w:eastAsia="zh-CN"/>
                    </w:rPr>
                  </w:pPr>
                  <w:r>
                    <w:rPr>
                      <w:rFonts w:hint="default" w:ascii="Times New Roman" w:hAnsi="Times New Roman" w:cs="Times New Roman"/>
                      <w:b w:val="0"/>
                      <w:bCs w:val="0"/>
                      <w:color w:val="auto"/>
                      <w:sz w:val="21"/>
                      <w:szCs w:val="21"/>
                      <w:highlight w:val="none"/>
                      <w:vertAlign w:val="baseline"/>
                      <w:lang w:eastAsia="zh-CN"/>
                    </w:rPr>
                    <w:t>消毒后交市政环卫部门处置</w:t>
                  </w:r>
                </w:p>
              </w:tc>
            </w:tr>
            <w:tr w14:paraId="572A07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66" w:type="pct"/>
                  <w:gridSpan w:val="2"/>
                  <w:tcBorders>
                    <w:tl2br w:val="nil"/>
                    <w:tr2bl w:val="nil"/>
                  </w:tcBorders>
                  <w:vAlign w:val="center"/>
                </w:tcPr>
                <w:p w14:paraId="73D50C2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动物毛发</w:t>
                  </w:r>
                </w:p>
              </w:tc>
              <w:tc>
                <w:tcPr>
                  <w:tcW w:w="833" w:type="pct"/>
                  <w:tcBorders>
                    <w:tl2br w:val="nil"/>
                    <w:tr2bl w:val="nil"/>
                  </w:tcBorders>
                  <w:vAlign w:val="center"/>
                </w:tcPr>
                <w:p w14:paraId="1E354AC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一般固废</w:t>
                  </w:r>
                </w:p>
              </w:tc>
              <w:tc>
                <w:tcPr>
                  <w:tcW w:w="833" w:type="pct"/>
                  <w:tcBorders>
                    <w:tl2br w:val="nil"/>
                    <w:tr2bl w:val="nil"/>
                  </w:tcBorders>
                  <w:vAlign w:val="center"/>
                </w:tcPr>
                <w:p w14:paraId="5AB431E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w:t>
                  </w:r>
                </w:p>
              </w:tc>
              <w:tc>
                <w:tcPr>
                  <w:tcW w:w="833" w:type="pct"/>
                  <w:tcBorders>
                    <w:tl2br w:val="nil"/>
                    <w:tr2bl w:val="nil"/>
                  </w:tcBorders>
                  <w:vAlign w:val="center"/>
                </w:tcPr>
                <w:p w14:paraId="08F6F54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0.146</w:t>
                  </w:r>
                </w:p>
              </w:tc>
              <w:tc>
                <w:tcPr>
                  <w:tcW w:w="833" w:type="pct"/>
                  <w:tcBorders>
                    <w:tl2br w:val="nil"/>
                    <w:tr2bl w:val="nil"/>
                  </w:tcBorders>
                  <w:vAlign w:val="center"/>
                </w:tcPr>
                <w:p w14:paraId="7B8A9D3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t>交市政环卫部门处置</w:t>
                  </w:r>
                </w:p>
              </w:tc>
            </w:tr>
            <w:tr w14:paraId="5E3198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66" w:type="pct"/>
                  <w:gridSpan w:val="2"/>
                  <w:tcBorders>
                    <w:tl2br w:val="nil"/>
                    <w:tr2bl w:val="nil"/>
                  </w:tcBorders>
                  <w:vAlign w:val="center"/>
                </w:tcPr>
                <w:p w14:paraId="721CF0B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生活垃圾</w:t>
                  </w:r>
                </w:p>
              </w:tc>
              <w:tc>
                <w:tcPr>
                  <w:tcW w:w="833" w:type="pct"/>
                  <w:tcBorders>
                    <w:tl2br w:val="nil"/>
                    <w:tr2bl w:val="nil"/>
                  </w:tcBorders>
                  <w:vAlign w:val="center"/>
                </w:tcPr>
                <w:p w14:paraId="6FD8CAF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生活垃圾</w:t>
                  </w:r>
                </w:p>
              </w:tc>
              <w:tc>
                <w:tcPr>
                  <w:tcW w:w="833" w:type="pct"/>
                  <w:tcBorders>
                    <w:tl2br w:val="nil"/>
                    <w:tr2bl w:val="nil"/>
                  </w:tcBorders>
                  <w:vAlign w:val="center"/>
                </w:tcPr>
                <w:p w14:paraId="5E96C8F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p>
              </w:tc>
              <w:tc>
                <w:tcPr>
                  <w:tcW w:w="833" w:type="pct"/>
                  <w:tcBorders>
                    <w:tl2br w:val="nil"/>
                    <w:tr2bl w:val="nil"/>
                  </w:tcBorders>
                  <w:vAlign w:val="center"/>
                </w:tcPr>
                <w:p w14:paraId="06CD7D3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7.1175</w:t>
                  </w:r>
                </w:p>
              </w:tc>
              <w:tc>
                <w:tcPr>
                  <w:tcW w:w="833" w:type="pct"/>
                  <w:tcBorders>
                    <w:tl2br w:val="nil"/>
                    <w:tr2bl w:val="nil"/>
                  </w:tcBorders>
                  <w:vAlign w:val="center"/>
                </w:tcPr>
                <w:p w14:paraId="6885968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t>交市政环卫部门处置</w:t>
                  </w:r>
                </w:p>
              </w:tc>
            </w:tr>
          </w:tbl>
          <w:p w14:paraId="3630C519">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cs="Times New Roman"/>
                <w:b/>
                <w:bCs/>
                <w:color w:val="000000" w:themeColor="text1"/>
                <w:sz w:val="24"/>
                <w:highlight w:val="none"/>
                <w:lang w:eastAsia="zh-CN"/>
                <w14:textFill>
                  <w14:solidFill>
                    <w14:schemeClr w14:val="tx1"/>
                  </w14:solidFill>
                </w14:textFill>
              </w:rPr>
            </w:pPr>
            <w:r>
              <w:rPr>
                <w:rFonts w:hint="default" w:ascii="Times New Roman" w:hAnsi="Times New Roman" w:cs="Times New Roman"/>
                <w:b/>
                <w:bCs/>
                <w:color w:val="000000" w:themeColor="text1"/>
                <w:sz w:val="24"/>
                <w:highlight w:val="none"/>
                <w:lang w:eastAsia="zh-CN"/>
                <w14:textFill>
                  <w14:solidFill>
                    <w14:schemeClr w14:val="tx1"/>
                  </w14:solidFill>
                </w14:textFill>
              </w:rPr>
              <w:t>4.2.4.2 固体废物的处置、暂存和管理要求</w:t>
            </w:r>
          </w:p>
          <w:p w14:paraId="5E4BB52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000000" w:themeColor="text1"/>
                <w:sz w:val="24"/>
                <w:highlight w:val="none"/>
                <w:lang w:eastAsia="zh-CN"/>
                <w14:textFill>
                  <w14:solidFill>
                    <w14:schemeClr w14:val="tx1"/>
                  </w14:solidFill>
                </w14:textFill>
              </w:rPr>
            </w:pPr>
            <w:r>
              <w:rPr>
                <w:rFonts w:hint="default" w:ascii="Times New Roman" w:hAnsi="Times New Roman" w:cs="Times New Roman"/>
                <w:b w:val="0"/>
                <w:bCs w:val="0"/>
                <w:color w:val="000000" w:themeColor="text1"/>
                <w:sz w:val="24"/>
                <w:highlight w:val="none"/>
                <w:lang w:eastAsia="zh-CN"/>
                <w14:textFill>
                  <w14:solidFill>
                    <w14:schemeClr w14:val="tx1"/>
                  </w14:solidFill>
                </w14:textFill>
              </w:rPr>
              <w:t>（</w:t>
            </w:r>
            <w:r>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t>1</w:t>
            </w:r>
            <w:r>
              <w:rPr>
                <w:rFonts w:hint="default" w:ascii="Times New Roman" w:hAnsi="Times New Roman" w:cs="Times New Roman"/>
                <w:b w:val="0"/>
                <w:bCs w:val="0"/>
                <w:color w:val="000000" w:themeColor="text1"/>
                <w:sz w:val="24"/>
                <w:highlight w:val="none"/>
                <w:lang w:eastAsia="zh-CN"/>
                <w14:textFill>
                  <w14:solidFill>
                    <w14:schemeClr w14:val="tx1"/>
                  </w14:solidFill>
                </w14:textFill>
              </w:rPr>
              <w:t>）医疗废物</w:t>
            </w:r>
          </w:p>
          <w:p w14:paraId="19C34B2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000000" w:themeColor="text1"/>
                <w:sz w:val="24"/>
                <w:highlight w:val="none"/>
                <w:lang w:eastAsia="zh-CN"/>
                <w14:textFill>
                  <w14:solidFill>
                    <w14:schemeClr w14:val="tx1"/>
                  </w14:solidFill>
                </w14:textFill>
              </w:rPr>
            </w:pPr>
            <w:r>
              <w:rPr>
                <w:rFonts w:hint="default" w:ascii="Times New Roman" w:hAnsi="Times New Roman" w:cs="Times New Roman"/>
                <w:b w:val="0"/>
                <w:bCs w:val="0"/>
                <w:color w:val="000000" w:themeColor="text1"/>
                <w:sz w:val="24"/>
                <w:highlight w:val="none"/>
                <w:lang w:eastAsia="zh-CN"/>
                <w14:textFill>
                  <w14:solidFill>
                    <w14:schemeClr w14:val="tx1"/>
                  </w14:solidFill>
                </w14:textFill>
              </w:rPr>
              <w:t>根据《国家危险废物名录》（202</w:t>
            </w:r>
            <w:r>
              <w:rPr>
                <w:rFonts w:hint="eastAsia" w:cs="Times New Roman"/>
                <w:b w:val="0"/>
                <w:bCs w:val="0"/>
                <w:color w:val="000000" w:themeColor="text1"/>
                <w:sz w:val="24"/>
                <w:highlight w:val="none"/>
                <w:lang w:val="en-US" w:eastAsia="zh-CN"/>
                <w14:textFill>
                  <w14:solidFill>
                    <w14:schemeClr w14:val="tx1"/>
                  </w14:solidFill>
                </w14:textFill>
              </w:rPr>
              <w:t>5</w:t>
            </w:r>
            <w:r>
              <w:rPr>
                <w:rFonts w:hint="default" w:ascii="Times New Roman" w:hAnsi="Times New Roman" w:cs="Times New Roman"/>
                <w:b w:val="0"/>
                <w:bCs w:val="0"/>
                <w:color w:val="000000" w:themeColor="text1"/>
                <w:sz w:val="24"/>
                <w:highlight w:val="none"/>
                <w:lang w:eastAsia="zh-CN"/>
                <w14:textFill>
                  <w14:solidFill>
                    <w14:schemeClr w14:val="tx1"/>
                  </w14:solidFill>
                </w14:textFill>
              </w:rPr>
              <w:t>年版）、《医疗废物分类目录》（2021年版）相关规定，项目产生的医疗废物属于危险废物，必须按照《医疗废物专用包装袋、容器和警示标志标准》（HJ421-2008）、《危险废物识别标志设置技术规范》（HJ1276-2022）、《危险废物贮存污染控制标准》（GB 18597-2023）、《危险废物收集贮存运输技术规范》（HJ2025-2012）等相关要求进行管理，送有资质单位处置。</w:t>
            </w:r>
          </w:p>
          <w:p w14:paraId="7BC41A2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000000" w:themeColor="text1"/>
                <w:sz w:val="24"/>
                <w:highlight w:val="none"/>
                <w:lang w:eastAsia="zh-CN"/>
                <w14:textFill>
                  <w14:solidFill>
                    <w14:schemeClr w14:val="tx1"/>
                  </w14:solidFill>
                </w14:textFill>
              </w:rPr>
            </w:pPr>
            <w:r>
              <w:rPr>
                <w:rFonts w:hint="default" w:ascii="Times New Roman" w:hAnsi="Times New Roman" w:cs="Times New Roman"/>
                <w:b w:val="0"/>
                <w:bCs w:val="0"/>
                <w:color w:val="000000" w:themeColor="text1"/>
                <w:sz w:val="24"/>
                <w:highlight w:val="none"/>
                <w:lang w:eastAsia="zh-CN"/>
                <w14:textFill>
                  <w14:solidFill>
                    <w14:schemeClr w14:val="tx1"/>
                  </w14:solidFill>
                </w14:textFill>
              </w:rPr>
              <w:t>根据《危险废物收集贮存运输技术规范》（HJ2025-2012），在危险废物的收集和转运过程中，应采取相应的安全防护和污染防治措施，包括防、防火、防中毒防感染、防泄漏、防飞扬、防雨或其他防止污染环境的措施。</w:t>
            </w:r>
          </w:p>
          <w:p w14:paraId="24FD4E1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000000" w:themeColor="text1"/>
                <w:sz w:val="24"/>
                <w:highlight w:val="none"/>
                <w:lang w:eastAsia="zh-CN"/>
                <w14:textFill>
                  <w14:solidFill>
                    <w14:schemeClr w14:val="tx1"/>
                  </w14:solidFill>
                </w14:textFill>
              </w:rPr>
            </w:pPr>
            <w:r>
              <w:rPr>
                <w:rFonts w:hint="default" w:ascii="Times New Roman" w:hAnsi="Times New Roman" w:cs="Times New Roman"/>
                <w:b w:val="0"/>
                <w:bCs w:val="0"/>
                <w:color w:val="000000" w:themeColor="text1"/>
                <w:sz w:val="24"/>
                <w:highlight w:val="none"/>
                <w:lang w:eastAsia="zh-CN"/>
                <w14:textFill>
                  <w14:solidFill>
                    <w14:schemeClr w14:val="tx1"/>
                  </w14:solidFill>
                </w14:textFill>
              </w:rPr>
              <w:t>①医疗废物的收集</w:t>
            </w:r>
          </w:p>
          <w:p w14:paraId="13D6704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000000" w:themeColor="text1"/>
                <w:sz w:val="24"/>
                <w:highlight w:val="none"/>
                <w:lang w:eastAsia="zh-CN"/>
                <w14:textFill>
                  <w14:solidFill>
                    <w14:schemeClr w14:val="tx1"/>
                  </w14:solidFill>
                </w14:textFill>
              </w:rPr>
            </w:pPr>
            <w:r>
              <w:rPr>
                <w:rFonts w:hint="default" w:ascii="Times New Roman" w:hAnsi="Times New Roman" w:cs="Times New Roman"/>
                <w:b w:val="0"/>
                <w:bCs w:val="0"/>
                <w:color w:val="000000" w:themeColor="text1"/>
                <w:sz w:val="24"/>
                <w:highlight w:val="none"/>
                <w:lang w:eastAsia="zh-CN"/>
                <w14:textFill>
                  <w14:solidFill>
                    <w14:schemeClr w14:val="tx1"/>
                  </w14:solidFill>
                </w14:textFill>
              </w:rPr>
              <w:t>医疗废物应采用专用容器进行收集，明确各类废弃物标识，分类包装，并本着及时、方便、安全、快捷的原则，进行收集。感染性废物、损伤性废物、药物性废物及化学性废物不能混合收集</w:t>
            </w:r>
            <w:r>
              <w:rPr>
                <w:rFonts w:hint="eastAsia" w:cs="Times New Roman"/>
                <w:b w:val="0"/>
                <w:bCs w:val="0"/>
                <w:color w:val="000000" w:themeColor="text1"/>
                <w:sz w:val="24"/>
                <w:highlight w:val="none"/>
                <w:lang w:eastAsia="zh-CN"/>
                <w14:textFill>
                  <w14:solidFill>
                    <w14:schemeClr w14:val="tx1"/>
                  </w14:solidFill>
                </w14:textFill>
              </w:rPr>
              <w:t>；</w:t>
            </w:r>
            <w:r>
              <w:rPr>
                <w:rFonts w:hint="default" w:ascii="Times New Roman" w:hAnsi="Times New Roman" w:cs="Times New Roman"/>
                <w:b w:val="0"/>
                <w:bCs w:val="0"/>
                <w:color w:val="000000" w:themeColor="text1"/>
                <w:sz w:val="24"/>
                <w:highlight w:val="none"/>
                <w:lang w:eastAsia="zh-CN"/>
                <w14:textFill>
                  <w14:solidFill>
                    <w14:schemeClr w14:val="tx1"/>
                  </w14:solidFill>
                </w14:textFill>
              </w:rPr>
              <w:t>放入存放容器包装物内的各类废物不得取出。当盛装的医疗废物达到存储容器的3/</w:t>
            </w:r>
            <w:r>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t>4</w:t>
            </w:r>
            <w:r>
              <w:rPr>
                <w:rFonts w:hint="default" w:ascii="Times New Roman" w:hAnsi="Times New Roman" w:cs="Times New Roman"/>
                <w:b w:val="0"/>
                <w:bCs w:val="0"/>
                <w:color w:val="000000" w:themeColor="text1"/>
                <w:sz w:val="24"/>
                <w:highlight w:val="none"/>
                <w:lang w:eastAsia="zh-CN"/>
                <w14:textFill>
                  <w14:solidFill>
                    <w14:schemeClr w14:val="tx1"/>
                  </w14:solidFill>
                </w14:textFill>
              </w:rPr>
              <w:t>时，应当使用有效的封口方法对包装进行封口密封。医疗废物中的锐利物必须单独存放，并统一按照医学废物处理。收集锐利物的包装容器应使用硬质、防漏、防刺破的材料。</w:t>
            </w:r>
          </w:p>
          <w:p w14:paraId="7DB3F4A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000000" w:themeColor="text1"/>
                <w:sz w:val="24"/>
                <w:highlight w:val="none"/>
                <w:lang w:eastAsia="zh-CN"/>
                <w14:textFill>
                  <w14:solidFill>
                    <w14:schemeClr w14:val="tx1"/>
                  </w14:solidFill>
                </w14:textFill>
              </w:rPr>
            </w:pPr>
            <w:r>
              <w:rPr>
                <w:rFonts w:hint="default" w:ascii="Times New Roman" w:hAnsi="Times New Roman" w:cs="Times New Roman"/>
                <w:b w:val="0"/>
                <w:bCs w:val="0"/>
                <w:color w:val="000000" w:themeColor="text1"/>
                <w:sz w:val="24"/>
                <w:highlight w:val="none"/>
                <w:lang w:eastAsia="zh-CN"/>
                <w14:textFill>
                  <w14:solidFill>
                    <w14:schemeClr w14:val="tx1"/>
                  </w14:solidFill>
                </w14:textFill>
              </w:rPr>
              <w:t>②医疗废物包装</w:t>
            </w:r>
          </w:p>
          <w:p w14:paraId="0BB99C2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000000" w:themeColor="text1"/>
                <w:sz w:val="24"/>
                <w:highlight w:val="none"/>
                <w:lang w:eastAsia="zh-CN"/>
                <w14:textFill>
                  <w14:solidFill>
                    <w14:schemeClr w14:val="tx1"/>
                  </w14:solidFill>
                </w14:textFill>
              </w:rPr>
            </w:pPr>
            <w:r>
              <w:rPr>
                <w:rFonts w:hint="default" w:ascii="Times New Roman" w:hAnsi="Times New Roman" w:cs="Times New Roman"/>
                <w:b w:val="0"/>
                <w:bCs w:val="0"/>
                <w:color w:val="000000" w:themeColor="text1"/>
                <w:sz w:val="24"/>
                <w:highlight w:val="none"/>
                <w:lang w:eastAsia="zh-CN"/>
                <w14:textFill>
                  <w14:solidFill>
                    <w14:schemeClr w14:val="tx1"/>
                  </w14:solidFill>
                </w14:textFill>
              </w:rPr>
              <w:t>项目医疗废物包装应符合《医疗废物专用包装袋、容器和警示标志标准》（HJ421-2008），除损伤性废物之外的医疗废物采用非聚氯乙烯原料制作，且符合一定防渗和撕裂强度性能要求的软质口袋进行包装。包装袋的颜色为黄色，并有盛装医疗废物类型的文字说明，如盛装感染性废物，应在包装袋上加注</w:t>
            </w:r>
            <w:r>
              <w:rPr>
                <w:rFonts w:hint="eastAsia" w:cs="Times New Roman"/>
                <w:b w:val="0"/>
                <w:bCs w:val="0"/>
                <w:color w:val="000000" w:themeColor="text1"/>
                <w:sz w:val="24"/>
                <w:highlight w:val="none"/>
                <w:lang w:eastAsia="zh-CN"/>
                <w14:textFill>
                  <w14:solidFill>
                    <w14:schemeClr w14:val="tx1"/>
                  </w14:solidFill>
                </w14:textFill>
              </w:rPr>
              <w:t>“</w:t>
            </w:r>
            <w:r>
              <w:rPr>
                <w:rFonts w:hint="default" w:ascii="Times New Roman" w:hAnsi="Times New Roman" w:cs="Times New Roman"/>
                <w:b w:val="0"/>
                <w:bCs w:val="0"/>
                <w:color w:val="000000" w:themeColor="text1"/>
                <w:sz w:val="24"/>
                <w:highlight w:val="none"/>
                <w:lang w:eastAsia="zh-CN"/>
                <w14:textFill>
                  <w14:solidFill>
                    <w14:schemeClr w14:val="tx1"/>
                  </w14:solidFill>
                </w14:textFill>
              </w:rPr>
              <w:t>感染性废物字样。包装袋上印刷医疗废物警示标志。利器盒整体以硬质材料制成，其盛装的针头、碎玻璃等锐器不能刺穿利器盒。已装满的利器盒连续3次从1.5m高处垂直落至水泥地面后不能出现破裂、被刺穿等情况。利器盒易于焚烧，不得使用聚氯乙烯（</w:t>
            </w:r>
            <w:r>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t>PVC</w:t>
            </w:r>
            <w:r>
              <w:rPr>
                <w:rFonts w:hint="default" w:ascii="Times New Roman" w:hAnsi="Times New Roman" w:cs="Times New Roman"/>
                <w:b w:val="0"/>
                <w:bCs w:val="0"/>
                <w:color w:val="000000" w:themeColor="text1"/>
                <w:sz w:val="24"/>
                <w:highlight w:val="none"/>
                <w:lang w:eastAsia="zh-CN"/>
                <w14:textFill>
                  <w14:solidFill>
                    <w14:schemeClr w14:val="tx1"/>
                  </w14:solidFill>
                </w14:textFill>
              </w:rPr>
              <w:t>）塑料为制造原料。利器盒整体颜色为黄色，在盒体侧面注明</w:t>
            </w:r>
            <w:r>
              <w:rPr>
                <w:rFonts w:hint="eastAsia" w:cs="Times New Roman"/>
                <w:b w:val="0"/>
                <w:bCs w:val="0"/>
                <w:color w:val="000000" w:themeColor="text1"/>
                <w:sz w:val="24"/>
                <w:highlight w:val="none"/>
                <w:lang w:eastAsia="zh-CN"/>
                <w14:textFill>
                  <w14:solidFill>
                    <w14:schemeClr w14:val="tx1"/>
                  </w14:solidFill>
                </w14:textFill>
              </w:rPr>
              <w:t>“</w:t>
            </w:r>
            <w:r>
              <w:rPr>
                <w:rFonts w:hint="default" w:ascii="Times New Roman" w:hAnsi="Times New Roman" w:cs="Times New Roman"/>
                <w:b w:val="0"/>
                <w:bCs w:val="0"/>
                <w:color w:val="000000" w:themeColor="text1"/>
                <w:sz w:val="24"/>
                <w:highlight w:val="none"/>
                <w:lang w:eastAsia="zh-CN"/>
                <w14:textFill>
                  <w14:solidFill>
                    <w14:schemeClr w14:val="tx1"/>
                  </w14:solidFill>
                </w14:textFill>
              </w:rPr>
              <w:t>损伤性物质</w:t>
            </w:r>
            <w:r>
              <w:rPr>
                <w:rFonts w:hint="eastAsia" w:cs="Times New Roman"/>
                <w:b w:val="0"/>
                <w:bCs w:val="0"/>
                <w:color w:val="000000" w:themeColor="text1"/>
                <w:sz w:val="24"/>
                <w:highlight w:val="none"/>
                <w:lang w:eastAsia="zh-CN"/>
                <w14:textFill>
                  <w14:solidFill>
                    <w14:schemeClr w14:val="tx1"/>
                  </w14:solidFill>
                </w14:textFill>
              </w:rPr>
              <w:t>”</w:t>
            </w:r>
            <w:r>
              <w:rPr>
                <w:rFonts w:hint="default" w:ascii="Times New Roman" w:hAnsi="Times New Roman" w:cs="Times New Roman"/>
                <w:b w:val="0"/>
                <w:bCs w:val="0"/>
                <w:color w:val="000000" w:themeColor="text1"/>
                <w:sz w:val="24"/>
                <w:highlight w:val="none"/>
                <w:lang w:eastAsia="zh-CN"/>
                <w14:textFill>
                  <w14:solidFill>
                    <w14:schemeClr w14:val="tx1"/>
                  </w14:solidFill>
                </w14:textFill>
              </w:rPr>
              <w:t>利器盒上应印刷医疗废物警示标志。</w:t>
            </w:r>
          </w:p>
          <w:p w14:paraId="2D4B783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auto"/>
                <w:sz w:val="24"/>
                <w:highlight w:val="none"/>
                <w:lang w:eastAsia="zh-CN"/>
              </w:rPr>
            </w:pPr>
            <w:r>
              <w:rPr>
                <w:rFonts w:hint="default" w:ascii="Times New Roman" w:hAnsi="Times New Roman" w:cs="Times New Roman"/>
                <w:b w:val="0"/>
                <w:bCs w:val="0"/>
                <w:color w:val="auto"/>
                <w:sz w:val="24"/>
                <w:highlight w:val="none"/>
                <w:lang w:eastAsia="zh-CN"/>
              </w:rPr>
              <w:t>③医疗废物暂存点</w:t>
            </w:r>
          </w:p>
          <w:p w14:paraId="6F09023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auto"/>
                <w:sz w:val="24"/>
                <w:highlight w:val="none"/>
                <w:lang w:eastAsia="zh-CN"/>
              </w:rPr>
            </w:pPr>
            <w:r>
              <w:rPr>
                <w:rFonts w:hint="default" w:ascii="Times New Roman" w:hAnsi="Times New Roman" w:eastAsia="宋体" w:cs="Times New Roman"/>
                <w:b w:val="0"/>
                <w:bCs w:val="0"/>
                <w:color w:val="auto"/>
                <w:sz w:val="24"/>
                <w:highlight w:val="none"/>
                <w:lang w:eastAsia="zh-CN"/>
              </w:rPr>
              <w:t>项目</w:t>
            </w:r>
            <w:r>
              <w:rPr>
                <w:rFonts w:hint="eastAsia" w:cs="Times New Roman"/>
                <w:b w:val="0"/>
                <w:bCs w:val="0"/>
                <w:color w:val="auto"/>
                <w:sz w:val="24"/>
                <w:highlight w:val="none"/>
                <w:lang w:val="en-US" w:eastAsia="zh-CN"/>
              </w:rPr>
              <w:t>医废暂存点</w:t>
            </w:r>
            <w:r>
              <w:rPr>
                <w:rFonts w:hint="default" w:ascii="Times New Roman" w:hAnsi="Times New Roman" w:eastAsia="宋体" w:cs="Times New Roman"/>
                <w:b w:val="0"/>
                <w:bCs w:val="0"/>
                <w:color w:val="auto"/>
                <w:sz w:val="24"/>
                <w:highlight w:val="none"/>
                <w:lang w:eastAsia="zh-CN"/>
              </w:rPr>
              <w:t>位于医院</w:t>
            </w:r>
            <w:r>
              <w:rPr>
                <w:rFonts w:hint="eastAsia" w:cs="Times New Roman"/>
                <w:b w:val="0"/>
                <w:bCs w:val="0"/>
                <w:color w:val="auto"/>
                <w:sz w:val="24"/>
                <w:highlight w:val="none"/>
                <w:lang w:val="en-US" w:eastAsia="zh-CN"/>
              </w:rPr>
              <w:t>化验室内</w:t>
            </w:r>
            <w:r>
              <w:rPr>
                <w:rFonts w:hint="default" w:ascii="Times New Roman" w:hAnsi="Times New Roman" w:eastAsia="宋体" w:cs="Times New Roman"/>
                <w:b w:val="0"/>
                <w:bCs w:val="0"/>
                <w:color w:val="auto"/>
                <w:sz w:val="24"/>
                <w:highlight w:val="none"/>
                <w:lang w:eastAsia="zh-CN"/>
              </w:rPr>
              <w:t>，面积约</w:t>
            </w:r>
            <w:r>
              <w:rPr>
                <w:rFonts w:hint="eastAsia" w:cs="Times New Roman"/>
                <w:b w:val="0"/>
                <w:bCs w:val="0"/>
                <w:color w:val="auto"/>
                <w:sz w:val="24"/>
                <w:highlight w:val="none"/>
                <w:lang w:val="en-US" w:eastAsia="zh-CN"/>
              </w:rPr>
              <w:t>1</w:t>
            </w:r>
            <w:r>
              <w:rPr>
                <w:rFonts w:hint="default" w:ascii="Times New Roman" w:hAnsi="Times New Roman" w:eastAsia="宋体" w:cs="Times New Roman"/>
                <w:b w:val="0"/>
                <w:bCs w:val="0"/>
                <w:color w:val="auto"/>
                <w:sz w:val="24"/>
                <w:highlight w:val="none"/>
                <w:lang w:eastAsia="zh-CN"/>
              </w:rPr>
              <w:t>m</w:t>
            </w:r>
            <w:r>
              <w:rPr>
                <w:rFonts w:hint="default" w:ascii="Times New Roman" w:hAnsi="Times New Roman" w:eastAsia="宋体" w:cs="Times New Roman"/>
                <w:b w:val="0"/>
                <w:bCs w:val="0"/>
                <w:color w:val="auto"/>
                <w:sz w:val="24"/>
                <w:highlight w:val="none"/>
                <w:vertAlign w:val="superscript"/>
                <w:lang w:val="en-US" w:eastAsia="zh-CN"/>
              </w:rPr>
              <w:t>2</w:t>
            </w:r>
            <w:r>
              <w:rPr>
                <w:rFonts w:hint="default" w:ascii="Times New Roman" w:hAnsi="Times New Roman" w:eastAsia="宋体" w:cs="Times New Roman"/>
                <w:b w:val="0"/>
                <w:bCs w:val="0"/>
                <w:color w:val="auto"/>
                <w:sz w:val="24"/>
                <w:highlight w:val="none"/>
                <w:lang w:eastAsia="zh-CN"/>
              </w:rPr>
              <w:t>，并设置明显的警示标识和防渗漏、防鼠、防蚊蝇、防蟑螂、防盗以及预防儿童接触等安全措施，定期进行消毒和清洁。医疗废物暂时贮存时间不得超过2天。</w:t>
            </w:r>
          </w:p>
          <w:p w14:paraId="5AF24B3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auto"/>
                <w:sz w:val="24"/>
                <w:highlight w:val="none"/>
                <w:lang w:eastAsia="zh-CN"/>
              </w:rPr>
            </w:pPr>
            <w:r>
              <w:rPr>
                <w:rFonts w:hint="eastAsia" w:cs="Times New Roman"/>
                <w:b w:val="0"/>
                <w:bCs/>
                <w:color w:val="auto"/>
                <w:sz w:val="24"/>
                <w:szCs w:val="24"/>
                <w:highlight w:val="none"/>
                <w:lang w:val="en-US" w:eastAsia="zh-CN"/>
              </w:rPr>
              <w:t>医废暂存点应满足</w:t>
            </w:r>
            <w:r>
              <w:rPr>
                <w:rFonts w:hint="default" w:ascii="Times New Roman" w:hAnsi="Times New Roman" w:cs="Times New Roman"/>
                <w:b w:val="0"/>
                <w:bCs w:val="0"/>
                <w:color w:val="auto"/>
                <w:sz w:val="24"/>
                <w:highlight w:val="none"/>
                <w:lang w:eastAsia="zh-CN"/>
              </w:rPr>
              <w:t>《危险废物贮存污染控制标准》（GB 18597-2023）</w:t>
            </w:r>
            <w:r>
              <w:rPr>
                <w:rFonts w:hint="eastAsia" w:cs="Times New Roman"/>
                <w:b w:val="0"/>
                <w:bCs/>
                <w:color w:val="auto"/>
                <w:sz w:val="24"/>
                <w:szCs w:val="24"/>
                <w:highlight w:val="none"/>
                <w:lang w:val="en-US" w:eastAsia="zh-CN"/>
              </w:rPr>
              <w:t>医废暂存点贮存要求。</w:t>
            </w:r>
          </w:p>
          <w:p w14:paraId="32923F8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auto"/>
                <w:sz w:val="24"/>
                <w:highlight w:val="none"/>
                <w:lang w:eastAsia="zh-CN"/>
              </w:rPr>
            </w:pPr>
            <w:r>
              <w:rPr>
                <w:rFonts w:hint="default" w:ascii="Times New Roman" w:hAnsi="Times New Roman" w:cs="Times New Roman"/>
                <w:b w:val="0"/>
                <w:bCs w:val="0"/>
                <w:color w:val="auto"/>
                <w:sz w:val="24"/>
                <w:highlight w:val="none"/>
                <w:lang w:eastAsia="zh-CN"/>
              </w:rPr>
              <w:t>收集的医疗废物采用防渗漏、防遗撒、防锐器穿透的专用包装物或者密闭的容器，按照本单位确定的内部医疗废物运送时间、路线，将医疗废物收集运送至暂时贮存设施贮存，然后运往有资质单位处理。运送工具使用后应当在医疗卫生机构内指定的地点及时消毒和清洁。</w:t>
            </w:r>
          </w:p>
          <w:p w14:paraId="62967B6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auto"/>
                <w:sz w:val="24"/>
                <w:highlight w:val="none"/>
                <w:lang w:eastAsia="zh-CN"/>
              </w:rPr>
            </w:pPr>
            <w:r>
              <w:rPr>
                <w:rFonts w:hint="default" w:ascii="Times New Roman" w:hAnsi="Times New Roman" w:cs="Times New Roman"/>
                <w:b w:val="0"/>
                <w:bCs w:val="0"/>
                <w:color w:val="auto"/>
                <w:sz w:val="24"/>
                <w:highlight w:val="none"/>
                <w:lang w:eastAsia="zh-CN"/>
              </w:rPr>
              <w:t>④医疗废物交接、转移</w:t>
            </w:r>
          </w:p>
          <w:p w14:paraId="32BDDFC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auto"/>
                <w:sz w:val="24"/>
                <w:highlight w:val="none"/>
                <w:lang w:eastAsia="zh-CN"/>
              </w:rPr>
            </w:pPr>
            <w:r>
              <w:rPr>
                <w:rFonts w:hint="eastAsia" w:cs="Times New Roman"/>
                <w:b w:val="0"/>
                <w:bCs w:val="0"/>
                <w:color w:val="auto"/>
                <w:sz w:val="24"/>
                <w:highlight w:val="none"/>
                <w:lang w:val="en-US" w:eastAsia="zh-CN"/>
              </w:rPr>
              <w:t>医废暂存点</w:t>
            </w:r>
            <w:r>
              <w:rPr>
                <w:rFonts w:hint="default" w:ascii="Times New Roman" w:hAnsi="Times New Roman" w:cs="Times New Roman"/>
                <w:b w:val="0"/>
                <w:bCs w:val="0"/>
                <w:color w:val="auto"/>
                <w:sz w:val="24"/>
                <w:highlight w:val="none"/>
                <w:lang w:eastAsia="zh-CN"/>
              </w:rPr>
              <w:t>贮存的医疗废物定期交有明显医疗废物标识的专用车辆运至有资质的单位处理。医疗废物转移必须按照《危险废物转移管理办法》（生态环境部、公安部、交通运输部令）的规定，执行危险废物转移联单制度。宠物医院禁止转让、买卖医疗废物，禁止在运输过程中丢弃医疗废物，禁止随意倾倒、堆放医疗废物或者医疗废物混入其他废物或生活垃圾中。</w:t>
            </w:r>
          </w:p>
          <w:p w14:paraId="13F2E06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auto"/>
                <w:sz w:val="24"/>
                <w:highlight w:val="none"/>
                <w:lang w:eastAsia="zh-CN"/>
              </w:rPr>
            </w:pPr>
            <w:r>
              <w:rPr>
                <w:rFonts w:hint="default" w:ascii="Times New Roman" w:hAnsi="Times New Roman" w:cs="Times New Roman"/>
                <w:b w:val="0"/>
                <w:bCs w:val="0"/>
                <w:color w:val="auto"/>
                <w:sz w:val="24"/>
                <w:highlight w:val="none"/>
                <w:lang w:eastAsia="zh-CN"/>
              </w:rPr>
              <w:t>宠物医院应对交接的医疗废物如实计量，严格按照有关规定进行交接登记，并将记录保存备查。转移医疗废物时按《登记表》要求逐项填写相应内容，交付有资质单位处理核实无误后双方签字确认。并依据《登记表》每月汇总医疗废物数量填写《医废联单》，一并交付处置单位有资质单位处理。</w:t>
            </w:r>
          </w:p>
          <w:p w14:paraId="3677B2D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auto"/>
                <w:sz w:val="24"/>
                <w:highlight w:val="none"/>
                <w:lang w:eastAsia="zh-CN"/>
              </w:rPr>
            </w:pPr>
            <w:r>
              <w:rPr>
                <w:rFonts w:hint="default" w:ascii="Times New Roman" w:hAnsi="Times New Roman" w:cs="Times New Roman"/>
                <w:b w:val="0"/>
                <w:bCs w:val="0"/>
                <w:color w:val="auto"/>
                <w:sz w:val="24"/>
                <w:highlight w:val="none"/>
                <w:lang w:eastAsia="zh-CN"/>
              </w:rPr>
              <w:t>医疗废物处理单位应对医疗废物的来源、种类、数量、交接时间、处置方法等情况进行登记，登记资料保存时间不少于3年，定期接受环保、卫生部门检查。</w:t>
            </w:r>
          </w:p>
          <w:p w14:paraId="26F402D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000000" w:themeColor="text1"/>
                <w:sz w:val="24"/>
                <w:highlight w:val="none"/>
                <w:lang w:eastAsia="zh-CN"/>
                <w14:textFill>
                  <w14:solidFill>
                    <w14:schemeClr w14:val="tx1"/>
                  </w14:solidFill>
                </w14:textFill>
              </w:rPr>
            </w:pPr>
            <w:r>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t>⑤</w:t>
            </w:r>
            <w:r>
              <w:rPr>
                <w:rFonts w:hint="default" w:ascii="Times New Roman" w:hAnsi="Times New Roman" w:cs="Times New Roman"/>
                <w:b w:val="0"/>
                <w:bCs w:val="0"/>
                <w:color w:val="000000" w:themeColor="text1"/>
                <w:sz w:val="24"/>
                <w:highlight w:val="none"/>
                <w:lang w:eastAsia="zh-CN"/>
                <w14:textFill>
                  <w14:solidFill>
                    <w14:schemeClr w14:val="tx1"/>
                  </w14:solidFill>
                </w14:textFill>
              </w:rPr>
              <w:t>医疗废物处置</w:t>
            </w:r>
          </w:p>
          <w:p w14:paraId="5D2F413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000000" w:themeColor="text1"/>
                <w:sz w:val="24"/>
                <w:highlight w:val="none"/>
                <w:lang w:eastAsia="zh-CN"/>
                <w14:textFill>
                  <w14:solidFill>
                    <w14:schemeClr w14:val="tx1"/>
                  </w14:solidFill>
                </w14:textFill>
              </w:rPr>
            </w:pPr>
            <w:r>
              <w:rPr>
                <w:rFonts w:hint="default" w:ascii="Times New Roman" w:hAnsi="Times New Roman" w:cs="Times New Roman"/>
                <w:b w:val="0"/>
                <w:bCs w:val="0"/>
                <w:color w:val="000000" w:themeColor="text1"/>
                <w:sz w:val="24"/>
                <w:highlight w:val="none"/>
                <w:lang w:eastAsia="zh-CN"/>
                <w14:textFill>
                  <w14:solidFill>
                    <w14:schemeClr w14:val="tx1"/>
                  </w14:solidFill>
                </w14:textFill>
              </w:rPr>
              <w:t>项目产生医疗废物分类收集后暂存于</w:t>
            </w:r>
            <w:r>
              <w:rPr>
                <w:rFonts w:hint="eastAsia" w:cs="Times New Roman"/>
                <w:b w:val="0"/>
                <w:bCs w:val="0"/>
                <w:color w:val="000000" w:themeColor="text1"/>
                <w:sz w:val="24"/>
                <w:highlight w:val="none"/>
                <w:lang w:val="en-US" w:eastAsia="zh-CN"/>
                <w14:textFill>
                  <w14:solidFill>
                    <w14:schemeClr w14:val="tx1"/>
                  </w14:solidFill>
                </w14:textFill>
              </w:rPr>
              <w:t>医废暂存点</w:t>
            </w:r>
            <w:r>
              <w:rPr>
                <w:rFonts w:hint="default" w:ascii="Times New Roman" w:hAnsi="Times New Roman" w:cs="Times New Roman"/>
                <w:b w:val="0"/>
                <w:bCs w:val="0"/>
                <w:color w:val="000000" w:themeColor="text1"/>
                <w:sz w:val="24"/>
                <w:highlight w:val="none"/>
                <w:lang w:eastAsia="zh-CN"/>
                <w14:textFill>
                  <w14:solidFill>
                    <w14:schemeClr w14:val="tx1"/>
                  </w14:solidFill>
                </w14:textFill>
              </w:rPr>
              <w:t>，定期送有医疗废物处理资质的单位处理。</w:t>
            </w:r>
          </w:p>
          <w:p w14:paraId="4308383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auto"/>
                <w:sz w:val="24"/>
                <w:highlight w:val="none"/>
                <w:lang w:eastAsia="zh-CN"/>
              </w:rPr>
            </w:pPr>
            <w:r>
              <w:rPr>
                <w:rFonts w:hint="default" w:ascii="Times New Roman" w:hAnsi="Times New Roman" w:cs="Times New Roman"/>
                <w:b w:val="0"/>
                <w:bCs w:val="0"/>
                <w:color w:val="auto"/>
                <w:sz w:val="24"/>
                <w:highlight w:val="none"/>
                <w:lang w:eastAsia="zh-CN"/>
              </w:rPr>
              <w:t>（</w:t>
            </w:r>
            <w:r>
              <w:rPr>
                <w:rFonts w:hint="default" w:ascii="Times New Roman" w:hAnsi="Times New Roman" w:cs="Times New Roman"/>
                <w:b w:val="0"/>
                <w:bCs w:val="0"/>
                <w:color w:val="auto"/>
                <w:sz w:val="24"/>
                <w:highlight w:val="none"/>
                <w:lang w:val="en-US" w:eastAsia="zh-CN"/>
              </w:rPr>
              <w:t>2</w:t>
            </w:r>
            <w:r>
              <w:rPr>
                <w:rFonts w:hint="default" w:ascii="Times New Roman" w:hAnsi="Times New Roman" w:cs="Times New Roman"/>
                <w:b w:val="0"/>
                <w:bCs w:val="0"/>
                <w:color w:val="auto"/>
                <w:sz w:val="24"/>
                <w:highlight w:val="none"/>
                <w:lang w:eastAsia="zh-CN"/>
              </w:rPr>
              <w:t>）其他固体废物处置措施</w:t>
            </w:r>
          </w:p>
          <w:p w14:paraId="407A61D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auto"/>
                <w:sz w:val="24"/>
                <w:highlight w:val="none"/>
                <w:lang w:eastAsia="zh-CN"/>
              </w:rPr>
            </w:pPr>
            <w:r>
              <w:rPr>
                <w:rFonts w:hint="default" w:ascii="Times New Roman" w:hAnsi="Times New Roman" w:cs="Times New Roman"/>
                <w:b w:val="0"/>
                <w:bCs w:val="0"/>
                <w:color w:val="auto"/>
                <w:sz w:val="24"/>
                <w:highlight w:val="none"/>
                <w:lang w:eastAsia="zh-CN"/>
              </w:rPr>
              <w:t>猫住院、诊疗产生的猫砂及犬住院、门诊产生的动物粪污经消毒处理后交市政环卫部门</w:t>
            </w:r>
            <w:r>
              <w:rPr>
                <w:rFonts w:hint="eastAsia" w:cs="Times New Roman"/>
                <w:b w:val="0"/>
                <w:bCs w:val="0"/>
                <w:color w:val="auto"/>
                <w:sz w:val="24"/>
                <w:highlight w:val="none"/>
                <w:lang w:eastAsia="zh-CN"/>
              </w:rPr>
              <w:t>；</w:t>
            </w:r>
            <w:r>
              <w:rPr>
                <w:rFonts w:hint="default" w:ascii="Times New Roman" w:hAnsi="Times New Roman" w:cs="Times New Roman"/>
                <w:b w:val="0"/>
                <w:bCs w:val="0"/>
                <w:color w:val="auto"/>
                <w:sz w:val="24"/>
                <w:highlight w:val="none"/>
                <w:lang w:eastAsia="zh-CN"/>
              </w:rPr>
              <w:t>生活垃圾交环卫部门统一收运</w:t>
            </w:r>
            <w:r>
              <w:rPr>
                <w:rFonts w:hint="eastAsia" w:cs="Times New Roman"/>
                <w:b w:val="0"/>
                <w:bCs w:val="0"/>
                <w:color w:val="auto"/>
                <w:sz w:val="24"/>
                <w:highlight w:val="none"/>
                <w:lang w:eastAsia="zh-CN"/>
              </w:rPr>
              <w:t>；</w:t>
            </w:r>
            <w:r>
              <w:rPr>
                <w:rFonts w:hint="default" w:ascii="Times New Roman" w:hAnsi="Times New Roman" w:cs="Times New Roman"/>
                <w:b w:val="0"/>
                <w:bCs w:val="0"/>
                <w:color w:val="auto"/>
                <w:sz w:val="24"/>
                <w:highlight w:val="none"/>
                <w:lang w:eastAsia="zh-CN"/>
              </w:rPr>
              <w:t>动物尸体交有资质单位进行无害化处理</w:t>
            </w:r>
            <w:r>
              <w:rPr>
                <w:rFonts w:hint="eastAsia" w:cs="Times New Roman"/>
                <w:b w:val="0"/>
                <w:bCs w:val="0"/>
                <w:color w:val="auto"/>
                <w:sz w:val="24"/>
                <w:highlight w:val="none"/>
                <w:lang w:eastAsia="zh-CN"/>
              </w:rPr>
              <w:t>；</w:t>
            </w:r>
            <w:r>
              <w:rPr>
                <w:rFonts w:hint="default" w:ascii="Times New Roman" w:hAnsi="Times New Roman" w:cs="Times New Roman"/>
                <w:b w:val="0"/>
                <w:bCs w:val="0"/>
                <w:color w:val="auto"/>
                <w:sz w:val="24"/>
                <w:highlight w:val="none"/>
                <w:lang w:eastAsia="zh-CN"/>
              </w:rPr>
              <w:t>废紫外线灯管属于危险废物，分类收集后暂存于</w:t>
            </w:r>
            <w:r>
              <w:rPr>
                <w:rFonts w:hint="eastAsia" w:cs="Times New Roman"/>
                <w:b w:val="0"/>
                <w:bCs w:val="0"/>
                <w:color w:val="auto"/>
                <w:sz w:val="24"/>
                <w:highlight w:val="none"/>
                <w:lang w:val="en-US" w:eastAsia="zh-CN"/>
              </w:rPr>
              <w:t>医废暂存点</w:t>
            </w:r>
            <w:r>
              <w:rPr>
                <w:rFonts w:hint="default" w:ascii="Times New Roman" w:hAnsi="Times New Roman" w:cs="Times New Roman"/>
                <w:b w:val="0"/>
                <w:bCs w:val="0"/>
                <w:color w:val="auto"/>
                <w:sz w:val="24"/>
                <w:highlight w:val="none"/>
                <w:lang w:eastAsia="zh-CN"/>
              </w:rPr>
              <w:t>，定期交有资质单位处置。</w:t>
            </w:r>
            <w:r>
              <w:rPr>
                <w:rFonts w:hint="eastAsia" w:cs="Times New Roman"/>
                <w:b w:val="0"/>
                <w:bCs w:val="0"/>
                <w:color w:val="auto"/>
                <w:sz w:val="24"/>
                <w:highlight w:val="none"/>
                <w:lang w:val="en-US" w:eastAsia="zh-CN"/>
              </w:rPr>
              <w:t>动物毛发</w:t>
            </w:r>
            <w:r>
              <w:rPr>
                <w:rFonts w:hint="default" w:ascii="Times New Roman" w:hAnsi="Times New Roman" w:cs="Times New Roman"/>
                <w:b w:val="0"/>
                <w:bCs w:val="0"/>
                <w:color w:val="auto"/>
                <w:sz w:val="24"/>
                <w:highlight w:val="none"/>
                <w:lang w:eastAsia="zh-CN"/>
              </w:rPr>
              <w:t>交市政环卫部门。</w:t>
            </w:r>
          </w:p>
          <w:p w14:paraId="641A95C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000000" w:themeColor="text1"/>
                <w:sz w:val="24"/>
                <w:highlight w:val="none"/>
                <w:lang w:eastAsia="zh-CN"/>
                <w14:textFill>
                  <w14:solidFill>
                    <w14:schemeClr w14:val="tx1"/>
                  </w14:solidFill>
                </w14:textFill>
              </w:rPr>
            </w:pPr>
            <w:r>
              <w:rPr>
                <w:rFonts w:hint="default" w:ascii="Times New Roman" w:hAnsi="Times New Roman" w:cs="Times New Roman"/>
                <w:b w:val="0"/>
                <w:bCs w:val="0"/>
                <w:color w:val="000000" w:themeColor="text1"/>
                <w:sz w:val="24"/>
                <w:highlight w:val="none"/>
                <w:lang w:eastAsia="zh-CN"/>
                <w14:textFill>
                  <w14:solidFill>
                    <w14:schemeClr w14:val="tx1"/>
                  </w14:solidFill>
                </w14:textFill>
              </w:rPr>
              <w:t>综上所述，项目营运期产生的固体废物能得到综合利用及合理处置，不会对周边环境造成影响。</w:t>
            </w:r>
          </w:p>
          <w:p w14:paraId="1F36AE5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000000" w:themeColor="text1"/>
                <w:sz w:val="24"/>
                <w:highlight w:val="none"/>
                <w:vertAlign w:val="baseline"/>
                <w:lang w:eastAsia="zh-CN"/>
                <w14:textFill>
                  <w14:solidFill>
                    <w14:schemeClr w14:val="tx1"/>
                  </w14:solidFill>
                </w14:textFill>
              </w:rPr>
            </w:pPr>
            <w:r>
              <w:rPr>
                <w:rFonts w:hint="default" w:ascii="Times New Roman" w:hAnsi="Times New Roman" w:cs="Times New Roman"/>
                <w:b/>
                <w:bCs/>
                <w:color w:val="000000" w:themeColor="text1"/>
                <w:sz w:val="24"/>
                <w:highlight w:val="none"/>
                <w:lang w:eastAsia="zh-CN"/>
                <w14:textFill>
                  <w14:solidFill>
                    <w14:schemeClr w14:val="tx1"/>
                  </w14:solidFill>
                </w14:textFill>
              </w:rPr>
              <w:t>表4.2-</w:t>
            </w:r>
            <w:r>
              <w:rPr>
                <w:rFonts w:hint="eastAsia" w:cs="Times New Roman"/>
                <w:b/>
                <w:bCs/>
                <w:color w:val="000000" w:themeColor="text1"/>
                <w:sz w:val="24"/>
                <w:highlight w:val="none"/>
                <w:lang w:val="en-US" w:eastAsia="zh-CN"/>
                <w14:textFill>
                  <w14:solidFill>
                    <w14:schemeClr w14:val="tx1"/>
                  </w14:solidFill>
                </w14:textFill>
              </w:rPr>
              <w:t>13</w:t>
            </w:r>
            <w:r>
              <w:rPr>
                <w:rFonts w:hint="default" w:ascii="Times New Roman" w:hAnsi="Times New Roman" w:cs="Times New Roman"/>
                <w:b/>
                <w:bCs/>
                <w:color w:val="000000" w:themeColor="text1"/>
                <w:sz w:val="24"/>
                <w:highlight w:val="none"/>
                <w:lang w:eastAsia="zh-CN"/>
                <w14:textFill>
                  <w14:solidFill>
                    <w14:schemeClr w14:val="tx1"/>
                  </w14:solidFill>
                </w14:textFill>
              </w:rPr>
              <w:t xml:space="preserve"> 项目危险废物贮存场所（设施）基本情况表</w:t>
            </w:r>
          </w:p>
          <w:tbl>
            <w:tblPr>
              <w:tblStyle w:val="21"/>
              <w:tblW w:w="4995"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87"/>
              <w:gridCol w:w="789"/>
              <w:gridCol w:w="792"/>
              <w:gridCol w:w="790"/>
              <w:gridCol w:w="1197"/>
              <w:gridCol w:w="792"/>
              <w:gridCol w:w="564"/>
              <w:gridCol w:w="1516"/>
              <w:gridCol w:w="556"/>
              <w:gridCol w:w="531"/>
            </w:tblGrid>
            <w:tr w14:paraId="49BD30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3" w:type="pct"/>
                  <w:tcBorders>
                    <w:tl2br w:val="nil"/>
                    <w:tr2bl w:val="nil"/>
                  </w:tcBorders>
                  <w:vAlign w:val="center"/>
                </w:tcPr>
                <w:p w14:paraId="7C9AC5A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贮存场所名称</w:t>
                  </w:r>
                </w:p>
              </w:tc>
              <w:tc>
                <w:tcPr>
                  <w:tcW w:w="950" w:type="pct"/>
                  <w:gridSpan w:val="2"/>
                  <w:tcBorders>
                    <w:tl2br w:val="nil"/>
                    <w:tr2bl w:val="nil"/>
                  </w:tcBorders>
                  <w:vAlign w:val="center"/>
                </w:tcPr>
                <w:p w14:paraId="1F00B2C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危险废物名称</w:t>
                  </w:r>
                </w:p>
              </w:tc>
              <w:tc>
                <w:tcPr>
                  <w:tcW w:w="475" w:type="pct"/>
                  <w:tcBorders>
                    <w:tl2br w:val="nil"/>
                    <w:tr2bl w:val="nil"/>
                  </w:tcBorders>
                  <w:vAlign w:val="center"/>
                </w:tcPr>
                <w:p w14:paraId="459866D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危险废物类别</w:t>
                  </w:r>
                </w:p>
              </w:tc>
              <w:tc>
                <w:tcPr>
                  <w:tcW w:w="719" w:type="pct"/>
                  <w:tcBorders>
                    <w:tl2br w:val="nil"/>
                    <w:tr2bl w:val="nil"/>
                  </w:tcBorders>
                  <w:shd w:val="clear" w:color="auto" w:fill="auto"/>
                  <w:vAlign w:val="center"/>
                </w:tcPr>
                <w:p w14:paraId="089E5EE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危险废物代码</w:t>
                  </w:r>
                </w:p>
              </w:tc>
              <w:tc>
                <w:tcPr>
                  <w:tcW w:w="476" w:type="pct"/>
                  <w:tcBorders>
                    <w:tl2br w:val="nil"/>
                    <w:tr2bl w:val="nil"/>
                  </w:tcBorders>
                  <w:shd w:val="clear" w:color="auto" w:fill="auto"/>
                  <w:vAlign w:val="center"/>
                </w:tcPr>
                <w:p w14:paraId="32CCE1D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位置</w:t>
                  </w:r>
                </w:p>
              </w:tc>
              <w:tc>
                <w:tcPr>
                  <w:tcW w:w="339" w:type="pct"/>
                  <w:tcBorders>
                    <w:tl2br w:val="nil"/>
                    <w:tr2bl w:val="nil"/>
                  </w:tcBorders>
                  <w:shd w:val="clear" w:color="auto" w:fill="auto"/>
                  <w:vAlign w:val="center"/>
                </w:tcPr>
                <w:p w14:paraId="77A130C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占地面积</w:t>
                  </w:r>
                </w:p>
              </w:tc>
              <w:tc>
                <w:tcPr>
                  <w:tcW w:w="911" w:type="pct"/>
                  <w:tcBorders>
                    <w:tl2br w:val="nil"/>
                    <w:tr2bl w:val="nil"/>
                  </w:tcBorders>
                  <w:shd w:val="clear" w:color="auto" w:fill="auto"/>
                  <w:vAlign w:val="center"/>
                </w:tcPr>
                <w:p w14:paraId="22640C8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贮存方式</w:t>
                  </w:r>
                </w:p>
              </w:tc>
              <w:tc>
                <w:tcPr>
                  <w:tcW w:w="334" w:type="pct"/>
                  <w:tcBorders>
                    <w:tl2br w:val="nil"/>
                    <w:tr2bl w:val="nil"/>
                  </w:tcBorders>
                  <w:shd w:val="clear" w:color="auto" w:fill="auto"/>
                  <w:vAlign w:val="center"/>
                </w:tcPr>
                <w:p w14:paraId="65EA1CF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总贮存能力</w:t>
                  </w:r>
                </w:p>
              </w:tc>
              <w:tc>
                <w:tcPr>
                  <w:tcW w:w="319" w:type="pct"/>
                  <w:tcBorders>
                    <w:tl2br w:val="nil"/>
                    <w:tr2bl w:val="nil"/>
                  </w:tcBorders>
                  <w:vAlign w:val="center"/>
                </w:tcPr>
                <w:p w14:paraId="31BF0F4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贮存周期</w:t>
                  </w:r>
                </w:p>
              </w:tc>
            </w:tr>
            <w:tr w14:paraId="71FC67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3" w:type="pct"/>
                  <w:vMerge w:val="restart"/>
                  <w:tcBorders>
                    <w:tl2br w:val="nil"/>
                    <w:tr2bl w:val="nil"/>
                  </w:tcBorders>
                  <w:vAlign w:val="center"/>
                </w:tcPr>
                <w:p w14:paraId="15B9D3F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医疗废物</w:t>
                  </w: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暂存点</w:t>
                  </w:r>
                </w:p>
              </w:tc>
              <w:tc>
                <w:tcPr>
                  <w:tcW w:w="474" w:type="pct"/>
                  <w:vMerge w:val="restart"/>
                  <w:tcBorders>
                    <w:tl2br w:val="nil"/>
                    <w:tr2bl w:val="nil"/>
                  </w:tcBorders>
                  <w:vAlign w:val="center"/>
                </w:tcPr>
                <w:p w14:paraId="3764B9A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医疗废物</w:t>
                  </w:r>
                </w:p>
              </w:tc>
              <w:tc>
                <w:tcPr>
                  <w:tcW w:w="476" w:type="pct"/>
                  <w:tcBorders>
                    <w:tl2br w:val="nil"/>
                    <w:tr2bl w:val="nil"/>
                  </w:tcBorders>
                  <w:shd w:val="clear" w:color="auto" w:fill="auto"/>
                  <w:vAlign w:val="center"/>
                </w:tcPr>
                <w:p w14:paraId="0C9FDCC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感染性废物</w:t>
                  </w:r>
                </w:p>
              </w:tc>
              <w:tc>
                <w:tcPr>
                  <w:tcW w:w="475" w:type="pct"/>
                  <w:vMerge w:val="restart"/>
                  <w:tcBorders>
                    <w:tl2br w:val="nil"/>
                    <w:tr2bl w:val="nil"/>
                  </w:tcBorders>
                  <w:vAlign w:val="center"/>
                </w:tcPr>
                <w:p w14:paraId="184E0DA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HW01</w:t>
                  </w:r>
                </w:p>
              </w:tc>
              <w:tc>
                <w:tcPr>
                  <w:tcW w:w="719" w:type="pct"/>
                  <w:tcBorders>
                    <w:tl2br w:val="nil"/>
                    <w:tr2bl w:val="nil"/>
                  </w:tcBorders>
                  <w:shd w:val="clear" w:color="auto" w:fill="auto"/>
                  <w:vAlign w:val="center"/>
                </w:tcPr>
                <w:p w14:paraId="2542A07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841-001-01</w:t>
                  </w:r>
                </w:p>
              </w:tc>
              <w:tc>
                <w:tcPr>
                  <w:tcW w:w="476" w:type="pct"/>
                  <w:vMerge w:val="restart"/>
                  <w:tcBorders>
                    <w:tl2br w:val="nil"/>
                    <w:tr2bl w:val="nil"/>
                  </w:tcBorders>
                  <w:vAlign w:val="center"/>
                </w:tcPr>
                <w:p w14:paraId="27090C0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2F北侧</w:t>
                  </w:r>
                </w:p>
              </w:tc>
              <w:tc>
                <w:tcPr>
                  <w:tcW w:w="339" w:type="pct"/>
                  <w:vMerge w:val="restart"/>
                  <w:tcBorders>
                    <w:tl2br w:val="nil"/>
                    <w:tr2bl w:val="nil"/>
                  </w:tcBorders>
                  <w:vAlign w:val="center"/>
                </w:tcPr>
                <w:p w14:paraId="0455315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1m</w:t>
                  </w:r>
                  <w:r>
                    <w:rPr>
                      <w:rFonts w:hint="eastAsia" w:cs="Times New Roman"/>
                      <w:b w:val="0"/>
                      <w:bCs w:val="0"/>
                      <w:color w:val="000000" w:themeColor="text1"/>
                      <w:sz w:val="21"/>
                      <w:szCs w:val="21"/>
                      <w:highlight w:val="none"/>
                      <w:vertAlign w:val="superscript"/>
                      <w:lang w:val="en-US" w:eastAsia="zh-CN"/>
                      <w14:textFill>
                        <w14:solidFill>
                          <w14:schemeClr w14:val="tx1"/>
                        </w14:solidFill>
                      </w14:textFill>
                    </w:rPr>
                    <w:t>2</w:t>
                  </w:r>
                </w:p>
              </w:tc>
              <w:tc>
                <w:tcPr>
                  <w:tcW w:w="911" w:type="pct"/>
                  <w:tcBorders>
                    <w:tl2br w:val="nil"/>
                    <w:tr2bl w:val="nil"/>
                  </w:tcBorders>
                  <w:vAlign w:val="center"/>
                </w:tcPr>
                <w:p w14:paraId="141E683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t>采用医疗废物包装袋收集后暂存于专用的医疗废物桶内</w:t>
                  </w:r>
                </w:p>
              </w:tc>
              <w:tc>
                <w:tcPr>
                  <w:tcW w:w="334" w:type="pct"/>
                  <w:vMerge w:val="restart"/>
                  <w:tcBorders>
                    <w:tl2br w:val="nil"/>
                    <w:tr2bl w:val="nil"/>
                  </w:tcBorders>
                  <w:vAlign w:val="center"/>
                </w:tcPr>
                <w:p w14:paraId="1682219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0.05t</w:t>
                  </w:r>
                </w:p>
              </w:tc>
              <w:tc>
                <w:tcPr>
                  <w:tcW w:w="319" w:type="pct"/>
                  <w:vMerge w:val="restart"/>
                  <w:tcBorders>
                    <w:tl2br w:val="nil"/>
                    <w:tr2bl w:val="nil"/>
                  </w:tcBorders>
                  <w:vAlign w:val="center"/>
                </w:tcPr>
                <w:p w14:paraId="4B73D58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2d</w:t>
                  </w:r>
                </w:p>
              </w:tc>
            </w:tr>
            <w:tr w14:paraId="2BC553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3" w:type="pct"/>
                  <w:vMerge w:val="continue"/>
                  <w:tcBorders>
                    <w:tl2br w:val="nil"/>
                    <w:tr2bl w:val="nil"/>
                  </w:tcBorders>
                  <w:vAlign w:val="center"/>
                </w:tcPr>
                <w:p w14:paraId="10EF83E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p>
              </w:tc>
              <w:tc>
                <w:tcPr>
                  <w:tcW w:w="474" w:type="pct"/>
                  <w:vMerge w:val="continue"/>
                  <w:tcBorders>
                    <w:tl2br w:val="nil"/>
                    <w:tr2bl w:val="nil"/>
                  </w:tcBorders>
                  <w:vAlign w:val="center"/>
                </w:tcPr>
                <w:p w14:paraId="1CDE5C6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p>
              </w:tc>
              <w:tc>
                <w:tcPr>
                  <w:tcW w:w="476" w:type="pct"/>
                  <w:tcBorders>
                    <w:tl2br w:val="nil"/>
                    <w:tr2bl w:val="nil"/>
                  </w:tcBorders>
                  <w:shd w:val="clear" w:color="auto" w:fill="auto"/>
                  <w:vAlign w:val="center"/>
                </w:tcPr>
                <w:p w14:paraId="10EF606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损伤性废物</w:t>
                  </w:r>
                </w:p>
              </w:tc>
              <w:tc>
                <w:tcPr>
                  <w:tcW w:w="475" w:type="pct"/>
                  <w:vMerge w:val="continue"/>
                  <w:tcBorders>
                    <w:tl2br w:val="nil"/>
                    <w:tr2bl w:val="nil"/>
                  </w:tcBorders>
                  <w:vAlign w:val="center"/>
                </w:tcPr>
                <w:p w14:paraId="3D390C2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p>
              </w:tc>
              <w:tc>
                <w:tcPr>
                  <w:tcW w:w="719" w:type="pct"/>
                  <w:tcBorders>
                    <w:tl2br w:val="nil"/>
                    <w:tr2bl w:val="nil"/>
                  </w:tcBorders>
                  <w:shd w:val="clear" w:color="auto" w:fill="auto"/>
                  <w:vAlign w:val="center"/>
                </w:tcPr>
                <w:p w14:paraId="4B298A1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841-002-01</w:t>
                  </w:r>
                </w:p>
              </w:tc>
              <w:tc>
                <w:tcPr>
                  <w:tcW w:w="476" w:type="pct"/>
                  <w:vMerge w:val="continue"/>
                  <w:tcBorders>
                    <w:tl2br w:val="nil"/>
                    <w:tr2bl w:val="nil"/>
                  </w:tcBorders>
                  <w:vAlign w:val="center"/>
                </w:tcPr>
                <w:p w14:paraId="313DEE5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p>
              </w:tc>
              <w:tc>
                <w:tcPr>
                  <w:tcW w:w="339" w:type="pct"/>
                  <w:vMerge w:val="continue"/>
                  <w:tcBorders>
                    <w:tl2br w:val="nil"/>
                    <w:tr2bl w:val="nil"/>
                  </w:tcBorders>
                  <w:vAlign w:val="center"/>
                </w:tcPr>
                <w:p w14:paraId="5FA55F7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p>
              </w:tc>
              <w:tc>
                <w:tcPr>
                  <w:tcW w:w="911" w:type="pct"/>
                  <w:tcBorders>
                    <w:tl2br w:val="nil"/>
                    <w:tr2bl w:val="nil"/>
                  </w:tcBorders>
                  <w:vAlign w:val="center"/>
                </w:tcPr>
                <w:p w14:paraId="5AC7596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t>采用利器盒收集后，暂存于专用的医疗废物桶内</w:t>
                  </w:r>
                </w:p>
              </w:tc>
              <w:tc>
                <w:tcPr>
                  <w:tcW w:w="334" w:type="pct"/>
                  <w:vMerge w:val="continue"/>
                  <w:tcBorders>
                    <w:tl2br w:val="nil"/>
                    <w:tr2bl w:val="nil"/>
                  </w:tcBorders>
                  <w:vAlign w:val="center"/>
                </w:tcPr>
                <w:p w14:paraId="652009B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p>
              </w:tc>
              <w:tc>
                <w:tcPr>
                  <w:tcW w:w="319" w:type="pct"/>
                  <w:vMerge w:val="continue"/>
                  <w:tcBorders>
                    <w:tl2br w:val="nil"/>
                    <w:tr2bl w:val="nil"/>
                  </w:tcBorders>
                  <w:vAlign w:val="center"/>
                </w:tcPr>
                <w:p w14:paraId="2760AC4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p>
              </w:tc>
            </w:tr>
            <w:tr w14:paraId="36E65A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3" w:type="pct"/>
                  <w:vMerge w:val="continue"/>
                  <w:tcBorders>
                    <w:tl2br w:val="nil"/>
                    <w:tr2bl w:val="nil"/>
                  </w:tcBorders>
                  <w:vAlign w:val="center"/>
                </w:tcPr>
                <w:p w14:paraId="29F69B7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p>
              </w:tc>
              <w:tc>
                <w:tcPr>
                  <w:tcW w:w="474" w:type="pct"/>
                  <w:vMerge w:val="continue"/>
                  <w:tcBorders>
                    <w:tl2br w:val="nil"/>
                    <w:tr2bl w:val="nil"/>
                  </w:tcBorders>
                  <w:vAlign w:val="center"/>
                </w:tcPr>
                <w:p w14:paraId="75C7056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p>
              </w:tc>
              <w:tc>
                <w:tcPr>
                  <w:tcW w:w="476" w:type="pct"/>
                  <w:tcBorders>
                    <w:tl2br w:val="nil"/>
                    <w:tr2bl w:val="nil"/>
                  </w:tcBorders>
                  <w:shd w:val="clear" w:color="auto" w:fill="auto"/>
                  <w:vAlign w:val="center"/>
                </w:tcPr>
                <w:p w14:paraId="107EED3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病理性废物</w:t>
                  </w:r>
                </w:p>
              </w:tc>
              <w:tc>
                <w:tcPr>
                  <w:tcW w:w="475" w:type="pct"/>
                  <w:vMerge w:val="continue"/>
                  <w:tcBorders>
                    <w:tl2br w:val="nil"/>
                    <w:tr2bl w:val="nil"/>
                  </w:tcBorders>
                  <w:vAlign w:val="center"/>
                </w:tcPr>
                <w:p w14:paraId="78C75B0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p>
              </w:tc>
              <w:tc>
                <w:tcPr>
                  <w:tcW w:w="719" w:type="pct"/>
                  <w:tcBorders>
                    <w:tl2br w:val="nil"/>
                    <w:tr2bl w:val="nil"/>
                  </w:tcBorders>
                  <w:shd w:val="clear" w:color="auto" w:fill="auto"/>
                  <w:vAlign w:val="center"/>
                </w:tcPr>
                <w:p w14:paraId="5A6F264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841-003-01</w:t>
                  </w:r>
                </w:p>
              </w:tc>
              <w:tc>
                <w:tcPr>
                  <w:tcW w:w="476" w:type="pct"/>
                  <w:vMerge w:val="continue"/>
                  <w:tcBorders>
                    <w:tl2br w:val="nil"/>
                    <w:tr2bl w:val="nil"/>
                  </w:tcBorders>
                  <w:vAlign w:val="center"/>
                </w:tcPr>
                <w:p w14:paraId="17C1C27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p>
              </w:tc>
              <w:tc>
                <w:tcPr>
                  <w:tcW w:w="339" w:type="pct"/>
                  <w:vMerge w:val="continue"/>
                  <w:tcBorders>
                    <w:tl2br w:val="nil"/>
                    <w:tr2bl w:val="nil"/>
                  </w:tcBorders>
                  <w:vAlign w:val="center"/>
                </w:tcPr>
                <w:p w14:paraId="29F4C73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p>
              </w:tc>
              <w:tc>
                <w:tcPr>
                  <w:tcW w:w="911" w:type="pct"/>
                  <w:tcBorders>
                    <w:tl2br w:val="nil"/>
                    <w:tr2bl w:val="nil"/>
                  </w:tcBorders>
                  <w:vAlign w:val="center"/>
                </w:tcPr>
                <w:p w14:paraId="0F17655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t>采用医疗废物包装袋收集后暂存于专用的医疗废物桶内</w:t>
                  </w:r>
                </w:p>
              </w:tc>
              <w:tc>
                <w:tcPr>
                  <w:tcW w:w="334" w:type="pct"/>
                  <w:vMerge w:val="continue"/>
                  <w:tcBorders>
                    <w:tl2br w:val="nil"/>
                    <w:tr2bl w:val="nil"/>
                  </w:tcBorders>
                  <w:vAlign w:val="center"/>
                </w:tcPr>
                <w:p w14:paraId="2096B14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p>
              </w:tc>
              <w:tc>
                <w:tcPr>
                  <w:tcW w:w="319" w:type="pct"/>
                  <w:vMerge w:val="continue"/>
                  <w:tcBorders>
                    <w:tl2br w:val="nil"/>
                    <w:tr2bl w:val="nil"/>
                  </w:tcBorders>
                  <w:vAlign w:val="center"/>
                </w:tcPr>
                <w:p w14:paraId="34A90DB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p>
              </w:tc>
            </w:tr>
            <w:tr w14:paraId="2A6A63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3" w:type="pct"/>
                  <w:vMerge w:val="continue"/>
                  <w:tcBorders>
                    <w:tl2br w:val="nil"/>
                    <w:tr2bl w:val="nil"/>
                  </w:tcBorders>
                  <w:vAlign w:val="center"/>
                </w:tcPr>
                <w:p w14:paraId="3C82AAD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p>
              </w:tc>
              <w:tc>
                <w:tcPr>
                  <w:tcW w:w="474" w:type="pct"/>
                  <w:vMerge w:val="continue"/>
                  <w:tcBorders>
                    <w:tl2br w:val="nil"/>
                    <w:tr2bl w:val="nil"/>
                  </w:tcBorders>
                  <w:vAlign w:val="center"/>
                </w:tcPr>
                <w:p w14:paraId="26BC7D8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p>
              </w:tc>
              <w:tc>
                <w:tcPr>
                  <w:tcW w:w="476" w:type="pct"/>
                  <w:tcBorders>
                    <w:tl2br w:val="nil"/>
                    <w:tr2bl w:val="nil"/>
                  </w:tcBorders>
                  <w:shd w:val="clear" w:color="auto" w:fill="auto"/>
                  <w:vAlign w:val="center"/>
                </w:tcPr>
                <w:p w14:paraId="439AEAD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药理性废物</w:t>
                  </w:r>
                </w:p>
              </w:tc>
              <w:tc>
                <w:tcPr>
                  <w:tcW w:w="475" w:type="pct"/>
                  <w:vMerge w:val="continue"/>
                  <w:tcBorders>
                    <w:tl2br w:val="nil"/>
                    <w:tr2bl w:val="nil"/>
                  </w:tcBorders>
                  <w:vAlign w:val="center"/>
                </w:tcPr>
                <w:p w14:paraId="0189750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p>
              </w:tc>
              <w:tc>
                <w:tcPr>
                  <w:tcW w:w="719" w:type="pct"/>
                  <w:tcBorders>
                    <w:tl2br w:val="nil"/>
                    <w:tr2bl w:val="nil"/>
                  </w:tcBorders>
                  <w:shd w:val="clear" w:color="auto" w:fill="auto"/>
                  <w:vAlign w:val="center"/>
                </w:tcPr>
                <w:p w14:paraId="35D3E21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841-004-01</w:t>
                  </w:r>
                </w:p>
              </w:tc>
              <w:tc>
                <w:tcPr>
                  <w:tcW w:w="476" w:type="pct"/>
                  <w:vMerge w:val="continue"/>
                  <w:tcBorders>
                    <w:tl2br w:val="nil"/>
                    <w:tr2bl w:val="nil"/>
                  </w:tcBorders>
                  <w:vAlign w:val="center"/>
                </w:tcPr>
                <w:p w14:paraId="2A503EC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p>
              </w:tc>
              <w:tc>
                <w:tcPr>
                  <w:tcW w:w="339" w:type="pct"/>
                  <w:vMerge w:val="continue"/>
                  <w:tcBorders>
                    <w:tl2br w:val="nil"/>
                    <w:tr2bl w:val="nil"/>
                  </w:tcBorders>
                  <w:vAlign w:val="center"/>
                </w:tcPr>
                <w:p w14:paraId="0CA218B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p>
              </w:tc>
              <w:tc>
                <w:tcPr>
                  <w:tcW w:w="911" w:type="pct"/>
                  <w:tcBorders>
                    <w:tl2br w:val="nil"/>
                    <w:tr2bl w:val="nil"/>
                  </w:tcBorders>
                  <w:vAlign w:val="center"/>
                </w:tcPr>
                <w:p w14:paraId="7B4A919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t>采用医疗废物包装袋收集后</w:t>
                  </w:r>
                  <w:r>
                    <w:rPr>
                      <w:rFonts w:hint="eastAsia" w:cs="Times New Roman"/>
                      <w:b w:val="0"/>
                      <w:bCs w:val="0"/>
                      <w:color w:val="000000" w:themeColor="text1"/>
                      <w:sz w:val="21"/>
                      <w:szCs w:val="21"/>
                      <w:highlight w:val="none"/>
                      <w:vertAlign w:val="baseline"/>
                      <w:lang w:eastAsia="zh-CN"/>
                      <w14:textFill>
                        <w14:solidFill>
                          <w14:schemeClr w14:val="tx1"/>
                        </w14:solidFill>
                      </w14:textFill>
                    </w:rPr>
                    <w:t>，</w:t>
                  </w:r>
                  <w:r>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t>暂存于专用的医疗废物桶内</w:t>
                  </w:r>
                </w:p>
              </w:tc>
              <w:tc>
                <w:tcPr>
                  <w:tcW w:w="334" w:type="pct"/>
                  <w:vMerge w:val="continue"/>
                  <w:tcBorders>
                    <w:tl2br w:val="nil"/>
                    <w:tr2bl w:val="nil"/>
                  </w:tcBorders>
                  <w:vAlign w:val="center"/>
                </w:tcPr>
                <w:p w14:paraId="0DE91DD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p>
              </w:tc>
              <w:tc>
                <w:tcPr>
                  <w:tcW w:w="319" w:type="pct"/>
                  <w:vMerge w:val="continue"/>
                  <w:tcBorders>
                    <w:tl2br w:val="nil"/>
                    <w:tr2bl w:val="nil"/>
                  </w:tcBorders>
                  <w:vAlign w:val="center"/>
                </w:tcPr>
                <w:p w14:paraId="5F98D48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p>
              </w:tc>
            </w:tr>
            <w:tr w14:paraId="02F816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3" w:type="pct"/>
                  <w:vMerge w:val="continue"/>
                  <w:tcBorders>
                    <w:tl2br w:val="nil"/>
                    <w:tr2bl w:val="nil"/>
                  </w:tcBorders>
                  <w:vAlign w:val="center"/>
                </w:tcPr>
                <w:p w14:paraId="3A80E93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p>
              </w:tc>
              <w:tc>
                <w:tcPr>
                  <w:tcW w:w="474" w:type="pct"/>
                  <w:vMerge w:val="continue"/>
                  <w:tcBorders>
                    <w:tl2br w:val="nil"/>
                    <w:tr2bl w:val="nil"/>
                  </w:tcBorders>
                  <w:vAlign w:val="center"/>
                </w:tcPr>
                <w:p w14:paraId="23EEA75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p>
              </w:tc>
              <w:tc>
                <w:tcPr>
                  <w:tcW w:w="476" w:type="pct"/>
                  <w:tcBorders>
                    <w:tl2br w:val="nil"/>
                    <w:tr2bl w:val="nil"/>
                  </w:tcBorders>
                  <w:shd w:val="clear" w:color="auto" w:fill="auto"/>
                  <w:vAlign w:val="center"/>
                </w:tcPr>
                <w:p w14:paraId="76929F4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化学性废物</w:t>
                  </w:r>
                </w:p>
              </w:tc>
              <w:tc>
                <w:tcPr>
                  <w:tcW w:w="475" w:type="pct"/>
                  <w:vMerge w:val="continue"/>
                  <w:tcBorders>
                    <w:tl2br w:val="nil"/>
                    <w:tr2bl w:val="nil"/>
                  </w:tcBorders>
                  <w:vAlign w:val="center"/>
                </w:tcPr>
                <w:p w14:paraId="4B30BF1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p>
              </w:tc>
              <w:tc>
                <w:tcPr>
                  <w:tcW w:w="719" w:type="pct"/>
                  <w:tcBorders>
                    <w:tl2br w:val="nil"/>
                    <w:tr2bl w:val="nil"/>
                  </w:tcBorders>
                  <w:shd w:val="clear" w:color="auto" w:fill="auto"/>
                  <w:vAlign w:val="center"/>
                </w:tcPr>
                <w:p w14:paraId="40E1E75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841-005-01</w:t>
                  </w:r>
                </w:p>
              </w:tc>
              <w:tc>
                <w:tcPr>
                  <w:tcW w:w="476" w:type="pct"/>
                  <w:vMerge w:val="continue"/>
                  <w:tcBorders>
                    <w:tl2br w:val="nil"/>
                    <w:tr2bl w:val="nil"/>
                  </w:tcBorders>
                  <w:vAlign w:val="center"/>
                </w:tcPr>
                <w:p w14:paraId="65FB168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p>
              </w:tc>
              <w:tc>
                <w:tcPr>
                  <w:tcW w:w="339" w:type="pct"/>
                  <w:vMerge w:val="continue"/>
                  <w:tcBorders>
                    <w:tl2br w:val="nil"/>
                    <w:tr2bl w:val="nil"/>
                  </w:tcBorders>
                  <w:vAlign w:val="center"/>
                </w:tcPr>
                <w:p w14:paraId="1C84BC8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p>
              </w:tc>
              <w:tc>
                <w:tcPr>
                  <w:tcW w:w="911" w:type="pct"/>
                  <w:tcBorders>
                    <w:tl2br w:val="nil"/>
                    <w:tr2bl w:val="nil"/>
                  </w:tcBorders>
                  <w:vAlign w:val="center"/>
                </w:tcPr>
                <w:p w14:paraId="37F8B0E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t>收集于容器中暂存于专用的医疗废物桶内</w:t>
                  </w:r>
                </w:p>
              </w:tc>
              <w:tc>
                <w:tcPr>
                  <w:tcW w:w="334" w:type="pct"/>
                  <w:vMerge w:val="continue"/>
                  <w:tcBorders>
                    <w:tl2br w:val="nil"/>
                    <w:tr2bl w:val="nil"/>
                  </w:tcBorders>
                  <w:vAlign w:val="center"/>
                </w:tcPr>
                <w:p w14:paraId="3D17103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p>
              </w:tc>
              <w:tc>
                <w:tcPr>
                  <w:tcW w:w="319" w:type="pct"/>
                  <w:vMerge w:val="continue"/>
                  <w:tcBorders>
                    <w:tl2br w:val="nil"/>
                    <w:tr2bl w:val="nil"/>
                  </w:tcBorders>
                  <w:vAlign w:val="center"/>
                </w:tcPr>
                <w:p w14:paraId="289A497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p>
              </w:tc>
            </w:tr>
            <w:tr w14:paraId="467734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3" w:type="pct"/>
                  <w:vMerge w:val="continue"/>
                  <w:tcBorders>
                    <w:tl2br w:val="nil"/>
                    <w:tr2bl w:val="nil"/>
                  </w:tcBorders>
                  <w:vAlign w:val="center"/>
                </w:tcPr>
                <w:p w14:paraId="50A0BE6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p>
              </w:tc>
              <w:tc>
                <w:tcPr>
                  <w:tcW w:w="950" w:type="pct"/>
                  <w:gridSpan w:val="2"/>
                  <w:tcBorders>
                    <w:tl2br w:val="nil"/>
                    <w:tr2bl w:val="nil"/>
                  </w:tcBorders>
                  <w:vAlign w:val="center"/>
                </w:tcPr>
                <w:p w14:paraId="6644203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t>废紫外线灯管</w:t>
                  </w:r>
                </w:p>
              </w:tc>
              <w:tc>
                <w:tcPr>
                  <w:tcW w:w="475" w:type="pct"/>
                  <w:tcBorders>
                    <w:tl2br w:val="nil"/>
                    <w:tr2bl w:val="nil"/>
                  </w:tcBorders>
                  <w:vAlign w:val="center"/>
                </w:tcPr>
                <w:p w14:paraId="6482069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HW29</w:t>
                  </w:r>
                </w:p>
              </w:tc>
              <w:tc>
                <w:tcPr>
                  <w:tcW w:w="719" w:type="pct"/>
                  <w:tcBorders>
                    <w:tl2br w:val="nil"/>
                    <w:tr2bl w:val="nil"/>
                  </w:tcBorders>
                  <w:vAlign w:val="center"/>
                </w:tcPr>
                <w:p w14:paraId="13C9898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t>900-023-29</w:t>
                  </w:r>
                </w:p>
              </w:tc>
              <w:tc>
                <w:tcPr>
                  <w:tcW w:w="476" w:type="pct"/>
                  <w:vMerge w:val="continue"/>
                  <w:tcBorders>
                    <w:tl2br w:val="nil"/>
                    <w:tr2bl w:val="nil"/>
                  </w:tcBorders>
                  <w:vAlign w:val="center"/>
                </w:tcPr>
                <w:p w14:paraId="7F5D540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p>
              </w:tc>
              <w:tc>
                <w:tcPr>
                  <w:tcW w:w="339" w:type="pct"/>
                  <w:vMerge w:val="continue"/>
                  <w:tcBorders>
                    <w:tl2br w:val="nil"/>
                    <w:tr2bl w:val="nil"/>
                  </w:tcBorders>
                  <w:vAlign w:val="center"/>
                </w:tcPr>
                <w:p w14:paraId="278C45F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p>
              </w:tc>
              <w:tc>
                <w:tcPr>
                  <w:tcW w:w="911" w:type="pct"/>
                  <w:tcBorders>
                    <w:tl2br w:val="nil"/>
                    <w:tr2bl w:val="nil"/>
                  </w:tcBorders>
                  <w:vAlign w:val="center"/>
                </w:tcPr>
                <w:p w14:paraId="38DBB89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t>暂存于危废袋内，放置于收集桶内</w:t>
                  </w:r>
                </w:p>
              </w:tc>
              <w:tc>
                <w:tcPr>
                  <w:tcW w:w="334" w:type="pct"/>
                  <w:vMerge w:val="continue"/>
                  <w:tcBorders>
                    <w:tl2br w:val="nil"/>
                    <w:tr2bl w:val="nil"/>
                  </w:tcBorders>
                  <w:vAlign w:val="center"/>
                </w:tcPr>
                <w:p w14:paraId="447BF30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p>
              </w:tc>
              <w:tc>
                <w:tcPr>
                  <w:tcW w:w="319" w:type="pct"/>
                  <w:vMerge w:val="continue"/>
                  <w:tcBorders>
                    <w:tl2br w:val="nil"/>
                    <w:tr2bl w:val="nil"/>
                  </w:tcBorders>
                  <w:vAlign w:val="center"/>
                </w:tcPr>
                <w:p w14:paraId="044E6AA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p>
              </w:tc>
            </w:tr>
          </w:tbl>
          <w:p w14:paraId="455A83B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000000" w:themeColor="text1"/>
                <w:sz w:val="24"/>
                <w:highlight w:val="none"/>
                <w:lang w:eastAsia="zh-CN"/>
                <w14:textFill>
                  <w14:solidFill>
                    <w14:schemeClr w14:val="tx1"/>
                  </w14:solidFill>
                </w14:textFill>
              </w:rPr>
            </w:pPr>
            <w:r>
              <w:rPr>
                <w:rFonts w:hint="default" w:ascii="Times New Roman" w:hAnsi="Times New Roman" w:cs="Times New Roman"/>
                <w:b w:val="0"/>
                <w:bCs w:val="0"/>
                <w:color w:val="000000" w:themeColor="text1"/>
                <w:sz w:val="24"/>
                <w:highlight w:val="none"/>
                <w:lang w:eastAsia="zh-CN"/>
                <w14:textFill>
                  <w14:solidFill>
                    <w14:schemeClr w14:val="tx1"/>
                  </w14:solidFill>
                </w14:textFill>
              </w:rPr>
              <w:t>经上述措施妥善处置后，固体废物对环境的影响较小。</w:t>
            </w:r>
          </w:p>
          <w:p w14:paraId="4109D901">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cs="Times New Roman"/>
                <w:b/>
                <w:bCs/>
                <w:color w:val="000000" w:themeColor="text1"/>
                <w:sz w:val="24"/>
                <w:highlight w:val="none"/>
                <w:lang w:eastAsia="zh-CN"/>
                <w14:textFill>
                  <w14:solidFill>
                    <w14:schemeClr w14:val="tx1"/>
                  </w14:solidFill>
                </w14:textFill>
              </w:rPr>
            </w:pPr>
            <w:r>
              <w:rPr>
                <w:rFonts w:hint="default" w:ascii="Times New Roman" w:hAnsi="Times New Roman" w:cs="Times New Roman"/>
                <w:b/>
                <w:bCs/>
                <w:color w:val="000000" w:themeColor="text1"/>
                <w:sz w:val="24"/>
                <w:highlight w:val="none"/>
                <w:lang w:eastAsia="zh-CN"/>
                <w14:textFill>
                  <w14:solidFill>
                    <w14:schemeClr w14:val="tx1"/>
                  </w14:solidFill>
                </w14:textFill>
              </w:rPr>
              <w:t>4.2.</w:t>
            </w:r>
            <w:r>
              <w:rPr>
                <w:rFonts w:hint="eastAsia" w:cs="Times New Roman"/>
                <w:b/>
                <w:bCs/>
                <w:color w:val="000000" w:themeColor="text1"/>
                <w:sz w:val="24"/>
                <w:highlight w:val="none"/>
                <w:lang w:val="en-US" w:eastAsia="zh-CN"/>
                <w14:textFill>
                  <w14:solidFill>
                    <w14:schemeClr w14:val="tx1"/>
                  </w14:solidFill>
                </w14:textFill>
              </w:rPr>
              <w:t>5</w:t>
            </w:r>
            <w:r>
              <w:rPr>
                <w:rFonts w:hint="default" w:ascii="Times New Roman" w:hAnsi="Times New Roman" w:cs="Times New Roman"/>
                <w:b/>
                <w:bCs/>
                <w:color w:val="000000" w:themeColor="text1"/>
                <w:sz w:val="24"/>
                <w:highlight w:val="none"/>
                <w:lang w:eastAsia="zh-CN"/>
                <w14:textFill>
                  <w14:solidFill>
                    <w14:schemeClr w14:val="tx1"/>
                  </w14:solidFill>
                </w14:textFill>
              </w:rPr>
              <w:t xml:space="preserve"> 环境风险</w:t>
            </w:r>
          </w:p>
          <w:p w14:paraId="4D82623B">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cs="Times New Roman"/>
                <w:b/>
                <w:bCs/>
                <w:color w:val="000000" w:themeColor="text1"/>
                <w:sz w:val="24"/>
                <w:highlight w:val="none"/>
                <w:lang w:eastAsia="zh-CN"/>
                <w14:textFill>
                  <w14:solidFill>
                    <w14:schemeClr w14:val="tx1"/>
                  </w14:solidFill>
                </w14:textFill>
              </w:rPr>
            </w:pPr>
            <w:r>
              <w:rPr>
                <w:rFonts w:hint="default" w:ascii="Times New Roman" w:hAnsi="Times New Roman" w:cs="Times New Roman"/>
                <w:b/>
                <w:bCs/>
                <w:color w:val="000000" w:themeColor="text1"/>
                <w:sz w:val="24"/>
                <w:highlight w:val="none"/>
                <w:lang w:eastAsia="zh-CN"/>
                <w14:textFill>
                  <w14:solidFill>
                    <w14:schemeClr w14:val="tx1"/>
                  </w14:solidFill>
                </w14:textFill>
              </w:rPr>
              <w:t>4.2.</w:t>
            </w:r>
            <w:r>
              <w:rPr>
                <w:rFonts w:hint="eastAsia" w:cs="Times New Roman"/>
                <w:b/>
                <w:bCs/>
                <w:color w:val="000000" w:themeColor="text1"/>
                <w:sz w:val="24"/>
                <w:highlight w:val="none"/>
                <w:lang w:val="en-US" w:eastAsia="zh-CN"/>
                <w14:textFill>
                  <w14:solidFill>
                    <w14:schemeClr w14:val="tx1"/>
                  </w14:solidFill>
                </w14:textFill>
              </w:rPr>
              <w:t>5</w:t>
            </w:r>
            <w:r>
              <w:rPr>
                <w:rFonts w:hint="default" w:ascii="Times New Roman" w:hAnsi="Times New Roman" w:cs="Times New Roman"/>
                <w:b/>
                <w:bCs/>
                <w:color w:val="000000" w:themeColor="text1"/>
                <w:sz w:val="24"/>
                <w:highlight w:val="none"/>
                <w:lang w:eastAsia="zh-CN"/>
                <w14:textFill>
                  <w14:solidFill>
                    <w14:schemeClr w14:val="tx1"/>
                  </w14:solidFill>
                </w14:textFill>
              </w:rPr>
              <w:t>.1 环境风险物质及风险源分布</w:t>
            </w:r>
          </w:p>
          <w:p w14:paraId="227E9D2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000000" w:themeColor="text1"/>
                <w:sz w:val="24"/>
                <w:highlight w:val="none"/>
                <w:lang w:eastAsia="zh-CN"/>
                <w14:textFill>
                  <w14:solidFill>
                    <w14:schemeClr w14:val="tx1"/>
                  </w14:solidFill>
                </w14:textFill>
              </w:rPr>
            </w:pPr>
            <w:r>
              <w:rPr>
                <w:rFonts w:hint="default" w:ascii="Times New Roman" w:hAnsi="Times New Roman" w:cs="Times New Roman"/>
                <w:b w:val="0"/>
                <w:bCs w:val="0"/>
                <w:color w:val="000000" w:themeColor="text1"/>
                <w:sz w:val="24"/>
                <w:highlight w:val="none"/>
                <w:lang w:eastAsia="zh-CN"/>
                <w14:textFill>
                  <w14:solidFill>
                    <w14:schemeClr w14:val="tx1"/>
                  </w14:solidFill>
                </w14:textFill>
              </w:rPr>
              <w:t>按照《建设项目环境风险评价技术导则》（HJ169-2018）附录中附录B中</w:t>
            </w:r>
            <w:r>
              <w:rPr>
                <w:rFonts w:hint="eastAsia" w:cs="Times New Roman"/>
                <w:b w:val="0"/>
                <w:bCs w:val="0"/>
                <w:color w:val="000000" w:themeColor="text1"/>
                <w:sz w:val="24"/>
                <w:highlight w:val="none"/>
                <w:lang w:eastAsia="zh-CN"/>
                <w14:textFill>
                  <w14:solidFill>
                    <w14:schemeClr w14:val="tx1"/>
                  </w14:solidFill>
                </w14:textFill>
              </w:rPr>
              <w:t>“</w:t>
            </w:r>
            <w:r>
              <w:rPr>
                <w:rFonts w:hint="default" w:ascii="Times New Roman" w:hAnsi="Times New Roman" w:cs="Times New Roman"/>
                <w:b w:val="0"/>
                <w:bCs w:val="0"/>
                <w:color w:val="000000" w:themeColor="text1"/>
                <w:sz w:val="24"/>
                <w:highlight w:val="none"/>
                <w:lang w:eastAsia="zh-CN"/>
                <w14:textFill>
                  <w14:solidFill>
                    <w14:schemeClr w14:val="tx1"/>
                  </w14:solidFill>
                </w14:textFill>
              </w:rPr>
              <w:t>附录A 突发环境事件风险物质及临界量清单</w:t>
            </w:r>
            <w:r>
              <w:rPr>
                <w:rFonts w:hint="eastAsia" w:cs="Times New Roman"/>
                <w:b w:val="0"/>
                <w:bCs w:val="0"/>
                <w:color w:val="000000" w:themeColor="text1"/>
                <w:sz w:val="24"/>
                <w:highlight w:val="none"/>
                <w:lang w:eastAsia="zh-CN"/>
                <w14:textFill>
                  <w14:solidFill>
                    <w14:schemeClr w14:val="tx1"/>
                  </w14:solidFill>
                </w14:textFill>
              </w:rPr>
              <w:t>”</w:t>
            </w:r>
            <w:r>
              <w:rPr>
                <w:rFonts w:hint="default" w:ascii="Times New Roman" w:hAnsi="Times New Roman" w:cs="Times New Roman"/>
                <w:b w:val="0"/>
                <w:bCs w:val="0"/>
                <w:color w:val="000000" w:themeColor="text1"/>
                <w:sz w:val="24"/>
                <w:highlight w:val="none"/>
                <w:lang w:eastAsia="zh-CN"/>
                <w14:textFill>
                  <w14:solidFill>
                    <w14:schemeClr w14:val="tx1"/>
                  </w14:solidFill>
                </w14:textFill>
              </w:rPr>
              <w:t>。项目风险物质及储存量见下表。</w:t>
            </w:r>
          </w:p>
          <w:p w14:paraId="60B5795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bCs/>
                <w:color w:val="000000" w:themeColor="text1"/>
                <w:sz w:val="24"/>
                <w:highlight w:val="none"/>
                <w:lang w:eastAsia="zh-CN"/>
                <w14:textFill>
                  <w14:solidFill>
                    <w14:schemeClr w14:val="tx1"/>
                  </w14:solidFill>
                </w14:textFill>
              </w:rPr>
            </w:pPr>
            <w:r>
              <w:rPr>
                <w:rFonts w:hint="default" w:ascii="Times New Roman" w:hAnsi="Times New Roman" w:cs="Times New Roman"/>
                <w:b/>
                <w:bCs/>
                <w:color w:val="000000" w:themeColor="text1"/>
                <w:sz w:val="24"/>
                <w:highlight w:val="none"/>
                <w:lang w:eastAsia="zh-CN"/>
                <w14:textFill>
                  <w14:solidFill>
                    <w14:schemeClr w14:val="tx1"/>
                  </w14:solidFill>
                </w14:textFill>
              </w:rPr>
              <w:t>表4.2-</w:t>
            </w:r>
            <w:r>
              <w:rPr>
                <w:rFonts w:hint="eastAsia" w:cs="Times New Roman"/>
                <w:b/>
                <w:bCs/>
                <w:color w:val="000000" w:themeColor="text1"/>
                <w:sz w:val="24"/>
                <w:highlight w:val="none"/>
                <w:lang w:val="en-US" w:eastAsia="zh-CN"/>
                <w14:textFill>
                  <w14:solidFill>
                    <w14:schemeClr w14:val="tx1"/>
                  </w14:solidFill>
                </w14:textFill>
              </w:rPr>
              <w:t>14</w:t>
            </w:r>
            <w:r>
              <w:rPr>
                <w:rFonts w:hint="default" w:ascii="Times New Roman" w:hAnsi="Times New Roman" w:cs="Times New Roman"/>
                <w:b/>
                <w:bCs/>
                <w:color w:val="000000" w:themeColor="text1"/>
                <w:sz w:val="24"/>
                <w:highlight w:val="none"/>
                <w:lang w:eastAsia="zh-CN"/>
                <w14:textFill>
                  <w14:solidFill>
                    <w14:schemeClr w14:val="tx1"/>
                  </w14:solidFill>
                </w14:textFill>
              </w:rPr>
              <w:t xml:space="preserve"> 项目风险物质储存情况见下表</w:t>
            </w:r>
          </w:p>
          <w:tbl>
            <w:tblPr>
              <w:tblStyle w:val="2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37"/>
              <w:gridCol w:w="3123"/>
              <w:gridCol w:w="2081"/>
              <w:gridCol w:w="2081"/>
            </w:tblGrid>
            <w:tr w14:paraId="0A0ED6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23" w:type="pct"/>
                  <w:tcBorders>
                    <w:tl2br w:val="nil"/>
                    <w:tr2bl w:val="nil"/>
                  </w:tcBorders>
                  <w:vAlign w:val="center"/>
                </w:tcPr>
                <w:p w14:paraId="34AEBBC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序号</w:t>
                  </w:r>
                </w:p>
              </w:tc>
              <w:tc>
                <w:tcPr>
                  <w:tcW w:w="1876" w:type="pct"/>
                  <w:tcBorders>
                    <w:tl2br w:val="nil"/>
                    <w:tr2bl w:val="nil"/>
                  </w:tcBorders>
                  <w:vAlign w:val="center"/>
                </w:tcPr>
                <w:p w14:paraId="6138051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名称</w:t>
                  </w:r>
                </w:p>
              </w:tc>
              <w:tc>
                <w:tcPr>
                  <w:tcW w:w="1250" w:type="pct"/>
                  <w:tcBorders>
                    <w:tl2br w:val="nil"/>
                    <w:tr2bl w:val="nil"/>
                  </w:tcBorders>
                  <w:vAlign w:val="center"/>
                </w:tcPr>
                <w:p w14:paraId="1D36F3D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储存位置</w:t>
                  </w:r>
                </w:p>
              </w:tc>
              <w:tc>
                <w:tcPr>
                  <w:tcW w:w="1250" w:type="pct"/>
                  <w:tcBorders>
                    <w:tl2br w:val="nil"/>
                    <w:tr2bl w:val="nil"/>
                  </w:tcBorders>
                  <w:vAlign w:val="center"/>
                </w:tcPr>
                <w:p w14:paraId="0189F01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最大储存量（t）</w:t>
                  </w:r>
                </w:p>
              </w:tc>
            </w:tr>
            <w:tr w14:paraId="72B5AF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23" w:type="pct"/>
                  <w:tcBorders>
                    <w:tl2br w:val="nil"/>
                    <w:tr2bl w:val="nil"/>
                  </w:tcBorders>
                  <w:vAlign w:val="center"/>
                </w:tcPr>
                <w:p w14:paraId="654A115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1</w:t>
                  </w:r>
                </w:p>
              </w:tc>
              <w:tc>
                <w:tcPr>
                  <w:tcW w:w="1876" w:type="pct"/>
                  <w:tcBorders>
                    <w:tl2br w:val="nil"/>
                    <w:tr2bl w:val="nil"/>
                  </w:tcBorders>
                  <w:vAlign w:val="center"/>
                </w:tcPr>
                <w:p w14:paraId="46AE81A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二氧化氯</w:t>
                  </w:r>
                  <w:r>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t>消毒片</w:t>
                  </w:r>
                </w:p>
              </w:tc>
              <w:tc>
                <w:tcPr>
                  <w:tcW w:w="1250" w:type="pct"/>
                  <w:tcBorders>
                    <w:tl2br w:val="nil"/>
                    <w:tr2bl w:val="nil"/>
                  </w:tcBorders>
                  <w:vAlign w:val="center"/>
                </w:tcPr>
                <w:p w14:paraId="0AEB96D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药房</w:t>
                  </w:r>
                </w:p>
              </w:tc>
              <w:tc>
                <w:tcPr>
                  <w:tcW w:w="2081" w:type="dxa"/>
                  <w:tcBorders>
                    <w:tl2br w:val="nil"/>
                    <w:tr2bl w:val="nil"/>
                  </w:tcBorders>
                  <w:vAlign w:val="center"/>
                </w:tcPr>
                <w:p w14:paraId="5973249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0.0001</w:t>
                  </w:r>
                </w:p>
              </w:tc>
            </w:tr>
            <w:tr w14:paraId="2E1EB4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23" w:type="pct"/>
                  <w:tcBorders>
                    <w:tl2br w:val="nil"/>
                    <w:tr2bl w:val="nil"/>
                  </w:tcBorders>
                  <w:vAlign w:val="center"/>
                </w:tcPr>
                <w:p w14:paraId="7CBB100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2</w:t>
                  </w:r>
                </w:p>
              </w:tc>
              <w:tc>
                <w:tcPr>
                  <w:tcW w:w="1876" w:type="pct"/>
                  <w:tcBorders>
                    <w:tl2br w:val="nil"/>
                    <w:tr2bl w:val="nil"/>
                  </w:tcBorders>
                  <w:vAlign w:val="center"/>
                </w:tcPr>
                <w:p w14:paraId="3D2A998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color w:val="auto"/>
                      <w:sz w:val="21"/>
                      <w:lang w:val="en-US" w:eastAsia="zh-CN" w:bidi="ar-SA"/>
                    </w:rPr>
                    <w:t>三氯异氰尿酸消毒片</w:t>
                  </w:r>
                </w:p>
              </w:tc>
              <w:tc>
                <w:tcPr>
                  <w:tcW w:w="1250" w:type="pct"/>
                  <w:tcBorders>
                    <w:tl2br w:val="nil"/>
                    <w:tr2bl w:val="nil"/>
                  </w:tcBorders>
                  <w:vAlign w:val="center"/>
                </w:tcPr>
                <w:p w14:paraId="405F021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药房</w:t>
                  </w:r>
                </w:p>
              </w:tc>
              <w:tc>
                <w:tcPr>
                  <w:tcW w:w="2081" w:type="dxa"/>
                  <w:tcBorders>
                    <w:tl2br w:val="nil"/>
                    <w:tr2bl w:val="nil"/>
                  </w:tcBorders>
                  <w:vAlign w:val="center"/>
                </w:tcPr>
                <w:p w14:paraId="69FCC1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0.001</w:t>
                  </w:r>
                </w:p>
              </w:tc>
            </w:tr>
            <w:tr w14:paraId="5C1009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623" w:type="pct"/>
                  <w:tcBorders>
                    <w:tl2br w:val="nil"/>
                    <w:tr2bl w:val="nil"/>
                  </w:tcBorders>
                  <w:vAlign w:val="center"/>
                </w:tcPr>
                <w:p w14:paraId="22625F1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2</w:t>
                  </w:r>
                </w:p>
              </w:tc>
              <w:tc>
                <w:tcPr>
                  <w:tcW w:w="1876" w:type="pct"/>
                  <w:tcBorders>
                    <w:tl2br w:val="nil"/>
                    <w:tr2bl w:val="nil"/>
                  </w:tcBorders>
                  <w:vAlign w:val="center"/>
                </w:tcPr>
                <w:p w14:paraId="2DF1CE7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t>84消毒液（次氯酸钠）</w:t>
                  </w:r>
                </w:p>
              </w:tc>
              <w:tc>
                <w:tcPr>
                  <w:tcW w:w="1250" w:type="pct"/>
                  <w:tcBorders>
                    <w:tl2br w:val="nil"/>
                    <w:tr2bl w:val="nil"/>
                  </w:tcBorders>
                  <w:vAlign w:val="center"/>
                </w:tcPr>
                <w:p w14:paraId="1AFAAA9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药房</w:t>
                  </w:r>
                </w:p>
              </w:tc>
              <w:tc>
                <w:tcPr>
                  <w:tcW w:w="2081" w:type="dxa"/>
                  <w:tcBorders>
                    <w:tl2br w:val="nil"/>
                    <w:tr2bl w:val="nil"/>
                  </w:tcBorders>
                  <w:vAlign w:val="center"/>
                </w:tcPr>
                <w:p w14:paraId="61470F1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0.000</w:t>
                  </w: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1625</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（折纯）</w:t>
                  </w:r>
                </w:p>
              </w:tc>
            </w:tr>
            <w:tr w14:paraId="5B521A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23" w:type="pct"/>
                  <w:tcBorders>
                    <w:tl2br w:val="nil"/>
                    <w:tr2bl w:val="nil"/>
                  </w:tcBorders>
                  <w:vAlign w:val="center"/>
                </w:tcPr>
                <w:p w14:paraId="3C618CB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3</w:t>
                  </w:r>
                </w:p>
              </w:tc>
              <w:tc>
                <w:tcPr>
                  <w:tcW w:w="1876" w:type="pct"/>
                  <w:tcBorders>
                    <w:tl2br w:val="nil"/>
                    <w:tr2bl w:val="nil"/>
                  </w:tcBorders>
                  <w:vAlign w:val="center"/>
                </w:tcPr>
                <w:p w14:paraId="282776B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医用酒精</w:t>
                  </w:r>
                </w:p>
              </w:tc>
              <w:tc>
                <w:tcPr>
                  <w:tcW w:w="1250" w:type="pct"/>
                  <w:tcBorders>
                    <w:tl2br w:val="nil"/>
                    <w:tr2bl w:val="nil"/>
                  </w:tcBorders>
                  <w:vAlign w:val="center"/>
                </w:tcPr>
                <w:p w14:paraId="231B5E2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药房</w:t>
                  </w:r>
                </w:p>
              </w:tc>
              <w:tc>
                <w:tcPr>
                  <w:tcW w:w="2081" w:type="dxa"/>
                  <w:tcBorders>
                    <w:tl2br w:val="nil"/>
                    <w:tr2bl w:val="nil"/>
                  </w:tcBorders>
                  <w:vAlign w:val="center"/>
                </w:tcPr>
                <w:p w14:paraId="5E1BF6B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0.04125</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（折纯）</w:t>
                  </w:r>
                </w:p>
              </w:tc>
            </w:tr>
          </w:tbl>
          <w:p w14:paraId="3E13D513">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t>（1）临界量Q值计算</w:t>
            </w:r>
          </w:p>
          <w:p w14:paraId="48EC2A4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sz w:val="24"/>
                <w:highlight w:val="none"/>
                <w:lang w:eastAsia="zh-CN"/>
                <w14:textFill>
                  <w14:solidFill>
                    <w14:schemeClr w14:val="tx1"/>
                  </w14:solidFill>
                </w14:textFill>
              </w:rPr>
              <w:t>根据《建设项目环境风险评价技术导则》（HJ169-2018），计算Q值。Q值计算有两种情况：当只涉及一种危险物质时，计算该物质的总量及与其临界量比值，即为Q</w:t>
            </w:r>
            <w:r>
              <w:rPr>
                <w:rFonts w:hint="eastAsia" w:cs="Times New Roman"/>
                <w:b w:val="0"/>
                <w:bCs w:val="0"/>
                <w:color w:val="000000" w:themeColor="text1"/>
                <w:sz w:val="24"/>
                <w:highlight w:val="none"/>
                <w:lang w:eastAsia="zh-CN"/>
                <w14:textFill>
                  <w14:solidFill>
                    <w14:schemeClr w14:val="tx1"/>
                  </w14:solidFill>
                </w14:textFill>
              </w:rPr>
              <w:t>；</w:t>
            </w:r>
            <w:r>
              <w:rPr>
                <w:rFonts w:hint="default" w:ascii="Times New Roman" w:hAnsi="Times New Roman" w:cs="Times New Roman"/>
                <w:b w:val="0"/>
                <w:bCs w:val="0"/>
                <w:color w:val="000000" w:themeColor="text1"/>
                <w:sz w:val="24"/>
                <w:highlight w:val="none"/>
                <w:lang w:eastAsia="zh-CN"/>
                <w14:textFill>
                  <w14:solidFill>
                    <w14:schemeClr w14:val="tx1"/>
                  </w14:solidFill>
                </w14:textFill>
              </w:rPr>
              <w:t>当存在多种危险物质时，则按下式计算物质总量与其临界量比值</w:t>
            </w:r>
            <w:r>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t>（Q）：</w:t>
            </w:r>
          </w:p>
          <w:p w14:paraId="41816784">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drawing>
                <wp:inline distT="0" distB="0" distL="114300" distR="114300">
                  <wp:extent cx="2457450" cy="371475"/>
                  <wp:effectExtent l="0" t="0" r="0" b="9525"/>
                  <wp:docPr id="16" name="图片 16" descr="dd81be10106d6cb56e6edfe6fdc0d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d81be10106d6cb56e6edfe6fdc0d04"/>
                          <pic:cNvPicPr>
                            <a:picLocks noChangeAspect="1"/>
                          </pic:cNvPicPr>
                        </pic:nvPicPr>
                        <pic:blipFill>
                          <a:blip r:embed="rId31"/>
                          <a:stretch>
                            <a:fillRect/>
                          </a:stretch>
                        </pic:blipFill>
                        <pic:spPr>
                          <a:xfrm>
                            <a:off x="0" y="0"/>
                            <a:ext cx="2457450" cy="371475"/>
                          </a:xfrm>
                          <a:prstGeom prst="rect">
                            <a:avLst/>
                          </a:prstGeom>
                        </pic:spPr>
                      </pic:pic>
                    </a:graphicData>
                  </a:graphic>
                </wp:inline>
              </w:drawing>
            </w:r>
          </w:p>
          <w:p w14:paraId="3DB6503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式中：ql，q2，…，qn—每种危险物质的最大存在总量，t</w:t>
            </w:r>
            <w:r>
              <w:rPr>
                <w:rFonts w:hint="eastAsia" w:cs="Times New Roman"/>
                <w:b w:val="0"/>
                <w:bCs/>
                <w:color w:val="000000" w:themeColor="text1"/>
                <w:sz w:val="24"/>
                <w:szCs w:val="24"/>
                <w:highlight w:val="none"/>
                <w:lang w:val="en-US" w:eastAsia="zh-CN"/>
                <w14:textFill>
                  <w14:solidFill>
                    <w14:schemeClr w14:val="tx1"/>
                  </w14:solidFill>
                </w14:textFill>
              </w:rPr>
              <w:t>；</w:t>
            </w:r>
          </w:p>
          <w:p w14:paraId="071B540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Q1，Q2，…，Qn—每种危险物质的临界量，t。</w:t>
            </w:r>
          </w:p>
          <w:p w14:paraId="3E6007D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t>项目风险物质临界量比值Q详见下表：</w:t>
            </w:r>
          </w:p>
          <w:p w14:paraId="5DF9A8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000000" w:themeColor="text1"/>
                <w:sz w:val="24"/>
                <w:highlight w:val="none"/>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4"/>
                <w:highlight w:val="none"/>
                <w:lang w:val="en-US" w:eastAsia="zh-CN"/>
                <w14:textFill>
                  <w14:solidFill>
                    <w14:schemeClr w14:val="tx1"/>
                  </w14:solidFill>
                </w14:textFill>
              </w:rPr>
              <w:t>表4.2-</w:t>
            </w:r>
            <w:r>
              <w:rPr>
                <w:rFonts w:hint="eastAsia" w:cs="Times New Roman"/>
                <w:b/>
                <w:bCs/>
                <w:color w:val="000000" w:themeColor="text1"/>
                <w:sz w:val="24"/>
                <w:highlight w:val="none"/>
                <w:lang w:val="en-US" w:eastAsia="zh-CN"/>
                <w14:textFill>
                  <w14:solidFill>
                    <w14:schemeClr w14:val="tx1"/>
                  </w14:solidFill>
                </w14:textFill>
              </w:rPr>
              <w:t>15</w:t>
            </w:r>
            <w:r>
              <w:rPr>
                <w:rFonts w:hint="default" w:ascii="Times New Roman" w:hAnsi="Times New Roman" w:cs="Times New Roman"/>
                <w:b/>
                <w:bCs/>
                <w:color w:val="000000" w:themeColor="text1"/>
                <w:sz w:val="24"/>
                <w:highlight w:val="none"/>
                <w:lang w:val="en-US" w:eastAsia="zh-CN"/>
                <w14:textFill>
                  <w14:solidFill>
                    <w14:schemeClr w14:val="tx1"/>
                  </w14:solidFill>
                </w14:textFill>
              </w:rPr>
              <w:t xml:space="preserve"> 环境风险物质单元、设施及物质情况</w:t>
            </w:r>
          </w:p>
          <w:tbl>
            <w:tblPr>
              <w:tblStyle w:val="2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71"/>
              <w:gridCol w:w="1386"/>
              <w:gridCol w:w="1386"/>
              <w:gridCol w:w="1390"/>
              <w:gridCol w:w="1389"/>
            </w:tblGrid>
            <w:tr w14:paraId="1AB414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64" w:type="pct"/>
                  <w:tcBorders>
                    <w:tl2br w:val="nil"/>
                    <w:tr2bl w:val="nil"/>
                  </w:tcBorders>
                  <w:vAlign w:val="center"/>
                </w:tcPr>
                <w:p w14:paraId="5257846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物质名称</w:t>
                  </w:r>
                </w:p>
              </w:tc>
              <w:tc>
                <w:tcPr>
                  <w:tcW w:w="832" w:type="pct"/>
                  <w:tcBorders>
                    <w:tl2br w:val="nil"/>
                    <w:tr2bl w:val="nil"/>
                  </w:tcBorders>
                  <w:vAlign w:val="center"/>
                </w:tcPr>
                <w:p w14:paraId="6841ABD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事故类型</w:t>
                  </w:r>
                </w:p>
              </w:tc>
              <w:tc>
                <w:tcPr>
                  <w:tcW w:w="832" w:type="pct"/>
                  <w:tcBorders>
                    <w:tl2br w:val="nil"/>
                    <w:tr2bl w:val="nil"/>
                  </w:tcBorders>
                  <w:vAlign w:val="center"/>
                </w:tcPr>
                <w:p w14:paraId="6A37D7A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最大储存量q（t）</w:t>
                  </w:r>
                </w:p>
              </w:tc>
              <w:tc>
                <w:tcPr>
                  <w:tcW w:w="835" w:type="pct"/>
                  <w:tcBorders>
                    <w:tl2br w:val="nil"/>
                    <w:tr2bl w:val="nil"/>
                  </w:tcBorders>
                  <w:vAlign w:val="center"/>
                </w:tcPr>
                <w:p w14:paraId="3FA98A7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临界量Q（t）</w:t>
                  </w:r>
                </w:p>
              </w:tc>
              <w:tc>
                <w:tcPr>
                  <w:tcW w:w="834" w:type="pct"/>
                  <w:tcBorders>
                    <w:tl2br w:val="nil"/>
                    <w:tr2bl w:val="nil"/>
                  </w:tcBorders>
                  <w:vAlign w:val="center"/>
                </w:tcPr>
                <w:p w14:paraId="493934C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q/Q</w:t>
                  </w:r>
                </w:p>
              </w:tc>
            </w:tr>
            <w:tr w14:paraId="626AC8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64" w:type="pct"/>
                  <w:tcBorders>
                    <w:tl2br w:val="nil"/>
                    <w:tr2bl w:val="nil"/>
                  </w:tcBorders>
                  <w:shd w:val="clear" w:color="auto" w:fill="auto"/>
                  <w:vAlign w:val="center"/>
                </w:tcPr>
                <w:p w14:paraId="0CB3C35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二氧化氯</w:t>
                  </w:r>
                  <w:r>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t>消毒片</w:t>
                  </w:r>
                </w:p>
              </w:tc>
              <w:tc>
                <w:tcPr>
                  <w:tcW w:w="832" w:type="pct"/>
                  <w:tcBorders>
                    <w:tl2br w:val="nil"/>
                    <w:tr2bl w:val="nil"/>
                  </w:tcBorders>
                  <w:vAlign w:val="center"/>
                </w:tcPr>
                <w:p w14:paraId="5949B11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泄露、火灾</w:t>
                  </w:r>
                </w:p>
              </w:tc>
              <w:tc>
                <w:tcPr>
                  <w:tcW w:w="832" w:type="pct"/>
                  <w:tcBorders>
                    <w:tl2br w:val="nil"/>
                    <w:tr2bl w:val="nil"/>
                  </w:tcBorders>
                  <w:vAlign w:val="center"/>
                </w:tcPr>
                <w:p w14:paraId="75EC29E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0.0001</w:t>
                  </w:r>
                </w:p>
              </w:tc>
              <w:tc>
                <w:tcPr>
                  <w:tcW w:w="835" w:type="pct"/>
                  <w:tcBorders>
                    <w:tl2br w:val="nil"/>
                    <w:tr2bl w:val="nil"/>
                  </w:tcBorders>
                  <w:vAlign w:val="center"/>
                </w:tcPr>
                <w:p w14:paraId="2EE773F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0.5</w:t>
                  </w:r>
                </w:p>
              </w:tc>
              <w:tc>
                <w:tcPr>
                  <w:tcW w:w="1389" w:type="dxa"/>
                  <w:tcBorders>
                    <w:tl2br w:val="nil"/>
                    <w:tr2bl w:val="nil"/>
                  </w:tcBorders>
                  <w:vAlign w:val="center"/>
                </w:tcPr>
                <w:p w14:paraId="22DCA962">
                  <w:pPr>
                    <w:bidi w:val="0"/>
                    <w:jc w:val="center"/>
                    <w:rPr>
                      <w:rFonts w:hint="default"/>
                      <w:lang w:val="en-US" w:eastAsia="zh-CN"/>
                    </w:rPr>
                  </w:pPr>
                  <w:r>
                    <w:rPr>
                      <w:rFonts w:hint="eastAsia"/>
                      <w:lang w:val="en-US" w:eastAsia="zh-CN"/>
                    </w:rPr>
                    <w:t>0.0002</w:t>
                  </w:r>
                </w:p>
              </w:tc>
            </w:tr>
            <w:tr w14:paraId="7FE60F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64" w:type="pct"/>
                  <w:tcBorders>
                    <w:tl2br w:val="nil"/>
                    <w:tr2bl w:val="nil"/>
                  </w:tcBorders>
                  <w:shd w:val="clear" w:color="auto" w:fill="auto"/>
                  <w:vAlign w:val="center"/>
                </w:tcPr>
                <w:p w14:paraId="49E30E1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color w:val="auto"/>
                      <w:sz w:val="21"/>
                      <w:lang w:val="en-US" w:eastAsia="zh-CN" w:bidi="ar-SA"/>
                    </w:rPr>
                    <w:t>三氯异氰尿酸消毒片</w:t>
                  </w:r>
                </w:p>
              </w:tc>
              <w:tc>
                <w:tcPr>
                  <w:tcW w:w="832" w:type="pct"/>
                  <w:tcBorders>
                    <w:tl2br w:val="nil"/>
                    <w:tr2bl w:val="nil"/>
                  </w:tcBorders>
                  <w:vAlign w:val="center"/>
                </w:tcPr>
                <w:p w14:paraId="0B64D45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泄露、火灾</w:t>
                  </w:r>
                </w:p>
              </w:tc>
              <w:tc>
                <w:tcPr>
                  <w:tcW w:w="832" w:type="pct"/>
                  <w:tcBorders>
                    <w:tl2br w:val="nil"/>
                    <w:tr2bl w:val="nil"/>
                  </w:tcBorders>
                  <w:vAlign w:val="center"/>
                </w:tcPr>
                <w:p w14:paraId="2B91A89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0.001</w:t>
                  </w:r>
                </w:p>
              </w:tc>
              <w:tc>
                <w:tcPr>
                  <w:tcW w:w="835" w:type="pct"/>
                  <w:tcBorders>
                    <w:tl2br w:val="nil"/>
                    <w:tr2bl w:val="nil"/>
                  </w:tcBorders>
                  <w:vAlign w:val="center"/>
                </w:tcPr>
                <w:p w14:paraId="4D15132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5</w:t>
                  </w:r>
                </w:p>
              </w:tc>
              <w:tc>
                <w:tcPr>
                  <w:tcW w:w="1389" w:type="dxa"/>
                  <w:tcBorders>
                    <w:tl2br w:val="nil"/>
                    <w:tr2bl w:val="nil"/>
                  </w:tcBorders>
                  <w:vAlign w:val="center"/>
                </w:tcPr>
                <w:p w14:paraId="6ADB0E82">
                  <w:pPr>
                    <w:bidi w:val="0"/>
                    <w:jc w:val="center"/>
                    <w:rPr>
                      <w:rFonts w:hint="default"/>
                      <w:lang w:val="en-US" w:eastAsia="zh-CN"/>
                    </w:rPr>
                  </w:pPr>
                  <w:r>
                    <w:rPr>
                      <w:rFonts w:hint="eastAsia"/>
                      <w:lang w:val="en-US" w:eastAsia="zh-CN"/>
                    </w:rPr>
                    <w:t>0.0002</w:t>
                  </w:r>
                </w:p>
              </w:tc>
            </w:tr>
            <w:tr w14:paraId="79FF6E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64" w:type="pct"/>
                  <w:tcBorders>
                    <w:tl2br w:val="nil"/>
                    <w:tr2bl w:val="nil"/>
                  </w:tcBorders>
                  <w:shd w:val="clear" w:color="auto" w:fill="auto"/>
                  <w:vAlign w:val="center"/>
                </w:tcPr>
                <w:p w14:paraId="587F9DE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t>84消毒液（次氯酸钠）</w:t>
                  </w:r>
                </w:p>
              </w:tc>
              <w:tc>
                <w:tcPr>
                  <w:tcW w:w="832" w:type="pct"/>
                  <w:tcBorders>
                    <w:tl2br w:val="nil"/>
                    <w:tr2bl w:val="nil"/>
                  </w:tcBorders>
                  <w:vAlign w:val="center"/>
                </w:tcPr>
                <w:p w14:paraId="01DE873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有毒</w:t>
                  </w:r>
                </w:p>
              </w:tc>
              <w:tc>
                <w:tcPr>
                  <w:tcW w:w="832" w:type="pct"/>
                  <w:tcBorders>
                    <w:tl2br w:val="nil"/>
                    <w:tr2bl w:val="nil"/>
                  </w:tcBorders>
                  <w:vAlign w:val="center"/>
                </w:tcPr>
                <w:p w14:paraId="5F78D03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0.000</w:t>
                  </w: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1625</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（折纯）</w:t>
                  </w:r>
                </w:p>
              </w:tc>
              <w:tc>
                <w:tcPr>
                  <w:tcW w:w="835" w:type="pct"/>
                  <w:tcBorders>
                    <w:tl2br w:val="nil"/>
                    <w:tr2bl w:val="nil"/>
                  </w:tcBorders>
                  <w:vAlign w:val="center"/>
                </w:tcPr>
                <w:p w14:paraId="53D1209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5</w:t>
                  </w:r>
                </w:p>
              </w:tc>
              <w:tc>
                <w:tcPr>
                  <w:tcW w:w="1389" w:type="dxa"/>
                  <w:tcBorders>
                    <w:tl2br w:val="nil"/>
                    <w:tr2bl w:val="nil"/>
                  </w:tcBorders>
                  <w:vAlign w:val="center"/>
                </w:tcPr>
                <w:p w14:paraId="02997F19">
                  <w:pPr>
                    <w:bidi w:val="0"/>
                    <w:jc w:val="center"/>
                    <w:rPr>
                      <w:rFonts w:hint="default"/>
                      <w:lang w:val="en-US" w:eastAsia="zh-CN"/>
                    </w:rPr>
                  </w:pPr>
                  <w:r>
                    <w:rPr>
                      <w:rFonts w:hint="eastAsia"/>
                      <w:lang w:val="en-US" w:eastAsia="zh-CN"/>
                    </w:rPr>
                    <w:t>0.0000325</w:t>
                  </w:r>
                </w:p>
              </w:tc>
            </w:tr>
            <w:tr w14:paraId="686EEC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64" w:type="pct"/>
                  <w:tcBorders>
                    <w:tl2br w:val="nil"/>
                    <w:tr2bl w:val="nil"/>
                  </w:tcBorders>
                  <w:shd w:val="clear" w:color="auto" w:fill="auto"/>
                  <w:vAlign w:val="center"/>
                </w:tcPr>
                <w:p w14:paraId="0979AFD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医用酒精</w:t>
                  </w:r>
                </w:p>
              </w:tc>
              <w:tc>
                <w:tcPr>
                  <w:tcW w:w="832" w:type="pct"/>
                  <w:tcBorders>
                    <w:tl2br w:val="nil"/>
                    <w:tr2bl w:val="nil"/>
                  </w:tcBorders>
                  <w:vAlign w:val="center"/>
                </w:tcPr>
                <w:p w14:paraId="6830C47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泄露、火灾</w:t>
                  </w:r>
                </w:p>
              </w:tc>
              <w:tc>
                <w:tcPr>
                  <w:tcW w:w="832" w:type="pct"/>
                  <w:tcBorders>
                    <w:tl2br w:val="nil"/>
                    <w:tr2bl w:val="nil"/>
                  </w:tcBorders>
                  <w:vAlign w:val="center"/>
                </w:tcPr>
                <w:p w14:paraId="6DAC9DE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0.04125</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（折纯）</w:t>
                  </w:r>
                </w:p>
              </w:tc>
              <w:tc>
                <w:tcPr>
                  <w:tcW w:w="835" w:type="pct"/>
                  <w:tcBorders>
                    <w:tl2br w:val="nil"/>
                    <w:tr2bl w:val="nil"/>
                  </w:tcBorders>
                  <w:vAlign w:val="center"/>
                </w:tcPr>
                <w:p w14:paraId="08B5338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500</w:t>
                  </w:r>
                </w:p>
              </w:tc>
              <w:tc>
                <w:tcPr>
                  <w:tcW w:w="1389" w:type="dxa"/>
                  <w:tcBorders>
                    <w:tl2br w:val="nil"/>
                    <w:tr2bl w:val="nil"/>
                  </w:tcBorders>
                  <w:vAlign w:val="center"/>
                </w:tcPr>
                <w:p w14:paraId="7A4B2329">
                  <w:pPr>
                    <w:bidi w:val="0"/>
                    <w:jc w:val="center"/>
                    <w:rPr>
                      <w:rFonts w:hint="default"/>
                      <w:lang w:val="en-US" w:eastAsia="zh-CN"/>
                    </w:rPr>
                  </w:pPr>
                  <w:r>
                    <w:rPr>
                      <w:rFonts w:hint="eastAsia"/>
                      <w:lang w:val="en-US" w:eastAsia="zh-CN"/>
                    </w:rPr>
                    <w:t>0.0000825</w:t>
                  </w:r>
                </w:p>
              </w:tc>
            </w:tr>
            <w:tr w14:paraId="167AF6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65" w:type="pct"/>
                  <w:gridSpan w:val="4"/>
                  <w:tcBorders>
                    <w:tl2br w:val="nil"/>
                    <w:tr2bl w:val="nil"/>
                  </w:tcBorders>
                  <w:vAlign w:val="center"/>
                </w:tcPr>
                <w:p w14:paraId="4CDF492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合计</w:t>
                  </w:r>
                </w:p>
              </w:tc>
              <w:tc>
                <w:tcPr>
                  <w:tcW w:w="1389" w:type="dxa"/>
                  <w:tcBorders>
                    <w:tl2br w:val="nil"/>
                    <w:tr2bl w:val="nil"/>
                  </w:tcBorders>
                  <w:vAlign w:val="center"/>
                </w:tcPr>
                <w:p w14:paraId="3F0680D9">
                  <w:pPr>
                    <w:bidi w:val="0"/>
                    <w:jc w:val="center"/>
                    <w:rPr>
                      <w:rFonts w:hint="default"/>
                      <w:lang w:val="en-US" w:eastAsia="zh-CN"/>
                    </w:rPr>
                  </w:pPr>
                  <w:r>
                    <w:rPr>
                      <w:rFonts w:hint="eastAsia"/>
                      <w:lang w:val="en-US" w:eastAsia="zh-CN"/>
                    </w:rPr>
                    <w:t>0.000515</w:t>
                  </w:r>
                </w:p>
              </w:tc>
            </w:tr>
            <w:tr w14:paraId="0FB0C7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5"/>
                  <w:tcBorders>
                    <w:tl2br w:val="nil"/>
                    <w:tr2bl w:val="nil"/>
                  </w:tcBorders>
                  <w:vAlign w:val="center"/>
                </w:tcPr>
                <w:p w14:paraId="7961100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注：84消毒液的浓度在5.5%~6.5%，本次评价取6.5%进行折纯</w:t>
                  </w: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w:t>
                  </w:r>
                </w:p>
              </w:tc>
            </w:tr>
          </w:tbl>
          <w:p w14:paraId="6AFBE9B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t>由上表可知：项目危险物质最大储存量不超过临界量，未构成重大危险源</w:t>
            </w:r>
            <w:r>
              <w:rPr>
                <w:rFonts w:hint="eastAsia" w:cs="Times New Roman"/>
                <w:b w:val="0"/>
                <w:bCs w:val="0"/>
                <w:color w:val="000000" w:themeColor="text1"/>
                <w:sz w:val="24"/>
                <w:highlight w:val="none"/>
                <w:lang w:val="en-US" w:eastAsia="zh-CN"/>
                <w14:textFill>
                  <w14:solidFill>
                    <w14:schemeClr w14:val="tx1"/>
                  </w14:solidFill>
                </w14:textFill>
              </w:rPr>
              <w:t>；</w:t>
            </w:r>
            <w:r>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t>Q&lt;1，风险潜势为I，仅进行简单分析并提出风险防控措施。</w:t>
            </w:r>
          </w:p>
          <w:p w14:paraId="0ACD72B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t>（2）环境风险识别</w:t>
            </w:r>
          </w:p>
          <w:p w14:paraId="28660C6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项目环境风险识别一览表见表4.2-1</w:t>
            </w:r>
            <w:r>
              <w:rPr>
                <w:rFonts w:hint="eastAsia" w:cs="Times New Roman"/>
                <w:b w:val="0"/>
                <w:bCs w:val="0"/>
                <w:color w:val="000000" w:themeColor="text1"/>
                <w:sz w:val="24"/>
                <w:highlight w:val="none"/>
                <w:lang w:val="en-US" w:eastAsia="zh-CN"/>
                <w14:textFill>
                  <w14:solidFill>
                    <w14:schemeClr w14:val="tx1"/>
                  </w14:solidFill>
                </w14:textFill>
              </w:rPr>
              <w:t>6</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w:t>
            </w:r>
          </w:p>
          <w:p w14:paraId="4229AFF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表4.2-1</w:t>
            </w:r>
            <w:r>
              <w:rPr>
                <w:rFonts w:hint="eastAsia" w:cs="Times New Roman"/>
                <w:b/>
                <w:bCs/>
                <w:color w:val="000000" w:themeColor="text1"/>
                <w:sz w:val="24"/>
                <w:highlight w:val="none"/>
                <w:lang w:val="en-US" w:eastAsia="zh-CN"/>
                <w14:textFill>
                  <w14:solidFill>
                    <w14:schemeClr w14:val="tx1"/>
                  </w14:solidFill>
                </w14:textFill>
              </w:rPr>
              <w:t xml:space="preserve">6 </w:t>
            </w: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环境风险识别一览表</w:t>
            </w:r>
          </w:p>
          <w:tbl>
            <w:tblPr>
              <w:tblStyle w:val="2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36"/>
              <w:gridCol w:w="1772"/>
              <w:gridCol w:w="2249"/>
              <w:gridCol w:w="2265"/>
            </w:tblGrid>
            <w:tr w14:paraId="44C1CF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trPr>
              <w:tc>
                <w:tcPr>
                  <w:tcW w:w="2287" w:type="pct"/>
                  <w:gridSpan w:val="2"/>
                  <w:tcBorders>
                    <w:tl2br w:val="nil"/>
                    <w:tr2bl w:val="nil"/>
                  </w:tcBorders>
                  <w:vAlign w:val="center"/>
                </w:tcPr>
                <w:p w14:paraId="4B50E7E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风险设施</w:t>
                  </w:r>
                </w:p>
              </w:tc>
              <w:tc>
                <w:tcPr>
                  <w:tcW w:w="1351" w:type="pct"/>
                  <w:tcBorders>
                    <w:tl2br w:val="nil"/>
                    <w:tr2bl w:val="nil"/>
                  </w:tcBorders>
                  <w:vAlign w:val="center"/>
                </w:tcPr>
                <w:p w14:paraId="5266DEC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风险因素</w:t>
                  </w:r>
                </w:p>
              </w:tc>
              <w:tc>
                <w:tcPr>
                  <w:tcW w:w="1360" w:type="pct"/>
                  <w:tcBorders>
                    <w:tl2br w:val="nil"/>
                    <w:tr2bl w:val="nil"/>
                  </w:tcBorders>
                  <w:vAlign w:val="center"/>
                </w:tcPr>
                <w:p w14:paraId="4B6281E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风险类型及后果</w:t>
                  </w:r>
                </w:p>
              </w:tc>
            </w:tr>
            <w:tr w14:paraId="01FD36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23" w:type="pct"/>
                  <w:tcBorders>
                    <w:tl2br w:val="nil"/>
                    <w:tr2bl w:val="nil"/>
                  </w:tcBorders>
                  <w:vAlign w:val="center"/>
                </w:tcPr>
                <w:p w14:paraId="4C0143A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医院</w:t>
                  </w: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消毒设施</w:t>
                  </w:r>
                </w:p>
              </w:tc>
              <w:tc>
                <w:tcPr>
                  <w:tcW w:w="1064" w:type="pct"/>
                  <w:tcBorders>
                    <w:tl2br w:val="nil"/>
                    <w:tr2bl w:val="nil"/>
                  </w:tcBorders>
                  <w:vAlign w:val="center"/>
                </w:tcPr>
                <w:p w14:paraId="3576CCF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处理设施</w:t>
                  </w:r>
                </w:p>
              </w:tc>
              <w:tc>
                <w:tcPr>
                  <w:tcW w:w="1351" w:type="pct"/>
                  <w:tcBorders>
                    <w:tl2br w:val="nil"/>
                    <w:tr2bl w:val="nil"/>
                  </w:tcBorders>
                  <w:vAlign w:val="center"/>
                </w:tcPr>
                <w:p w14:paraId="7E43480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停电、设备事故</w:t>
                  </w:r>
                </w:p>
              </w:tc>
              <w:tc>
                <w:tcPr>
                  <w:tcW w:w="1360" w:type="pct"/>
                  <w:tcBorders>
                    <w:tl2br w:val="nil"/>
                    <w:tr2bl w:val="nil"/>
                  </w:tcBorders>
                  <w:vAlign w:val="center"/>
                </w:tcPr>
                <w:p w14:paraId="2E8C726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医院污水超标排放</w:t>
                  </w:r>
                </w:p>
              </w:tc>
            </w:tr>
            <w:tr w14:paraId="285343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23" w:type="pct"/>
                  <w:tcBorders>
                    <w:tl2br w:val="nil"/>
                    <w:tr2bl w:val="nil"/>
                  </w:tcBorders>
                  <w:vAlign w:val="center"/>
                </w:tcPr>
                <w:p w14:paraId="11DFFA0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药房</w:t>
                  </w:r>
                </w:p>
              </w:tc>
              <w:tc>
                <w:tcPr>
                  <w:tcW w:w="1064" w:type="pct"/>
                  <w:tcBorders>
                    <w:tl2br w:val="nil"/>
                    <w:tr2bl w:val="nil"/>
                  </w:tcBorders>
                  <w:vAlign w:val="center"/>
                </w:tcPr>
                <w:p w14:paraId="3A4C420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二氧化氯消毒片</w:t>
                  </w: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三氯异氰尿酸消毒片</w:t>
                  </w: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84消毒液（次氯酸钠）</w:t>
                  </w: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医用酒精</w:t>
                  </w:r>
                </w:p>
              </w:tc>
              <w:tc>
                <w:tcPr>
                  <w:tcW w:w="1351" w:type="pct"/>
                  <w:tcBorders>
                    <w:tl2br w:val="nil"/>
                    <w:tr2bl w:val="nil"/>
                  </w:tcBorders>
                  <w:vAlign w:val="center"/>
                </w:tcPr>
                <w:p w14:paraId="477C7FB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贮存不当、容器破裂</w:t>
                  </w:r>
                </w:p>
              </w:tc>
              <w:tc>
                <w:tcPr>
                  <w:tcW w:w="1360" w:type="pct"/>
                  <w:tcBorders>
                    <w:tl2br w:val="nil"/>
                    <w:tr2bl w:val="nil"/>
                  </w:tcBorders>
                  <w:vAlign w:val="center"/>
                </w:tcPr>
                <w:p w14:paraId="09297E2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地表流经污染环境、对员工产生健康危害</w:t>
                  </w: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容易引发火灾，对员工健康产生危害</w:t>
                  </w: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遇明火，容易引发爆炸</w:t>
                  </w:r>
                </w:p>
              </w:tc>
            </w:tr>
          </w:tbl>
          <w:p w14:paraId="34123986">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4.2.5.2 环境风险防范措施</w:t>
            </w:r>
          </w:p>
          <w:p w14:paraId="1F68AEE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（1）医疗废水事故排放防范及应急措施</w:t>
            </w:r>
          </w:p>
          <w:p w14:paraId="18232A2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为减轻污染负荷，应避免出现医疗废水未消毒排放情况，项目采取以下防范及应急措施：</w:t>
            </w:r>
          </w:p>
          <w:p w14:paraId="66FF568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①加强项目消毒设备、管线、阀门等设备元器件的维护保养，对系统的薄弱环节，加强检查、维护保养，及时更新。对处理设备故障要及时维修处理，防止因处理设备故障维修处理不及时而造成污水超标排放。</w:t>
            </w:r>
          </w:p>
          <w:p w14:paraId="67B3EF3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 xml:space="preserve">②加强对操作人员的岗位培训，建立健全的环保管理机制和各项环保规章制度，落实岗位环保责任制，加强环境风险防范工作，防止事故排放导致环境问题。  </w:t>
            </w:r>
          </w:p>
          <w:p w14:paraId="7C46DD5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③</w:t>
            </w:r>
            <w:r>
              <w:rPr>
                <w:rFonts w:hint="eastAsia" w:cs="Times New Roman"/>
                <w:b w:val="0"/>
                <w:bCs w:val="0"/>
                <w:color w:val="000000" w:themeColor="text1"/>
                <w:sz w:val="24"/>
                <w:highlight w:val="none"/>
                <w:lang w:val="en-US" w:eastAsia="zh-CN"/>
                <w14:textFill>
                  <w14:solidFill>
                    <w14:schemeClr w14:val="tx1"/>
                  </w14:solidFill>
                </w14:textFill>
              </w:rPr>
              <w:t>消毒设施设置一个收集桶，</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有效容积为1m</w:t>
            </w:r>
            <w:r>
              <w:rPr>
                <w:rFonts w:hint="default" w:ascii="Times New Roman" w:hAnsi="Times New Roman" w:eastAsia="宋体" w:cs="Times New Roman"/>
                <w:b w:val="0"/>
                <w:bCs w:val="0"/>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，若</w:t>
            </w:r>
            <w:r>
              <w:rPr>
                <w:rFonts w:hint="eastAsia" w:cs="Times New Roman"/>
                <w:b w:val="0"/>
                <w:bCs w:val="0"/>
                <w:color w:val="000000" w:themeColor="text1"/>
                <w:sz w:val="24"/>
                <w:highlight w:val="none"/>
                <w:lang w:val="en-US" w:eastAsia="zh-CN"/>
                <w14:textFill>
                  <w14:solidFill>
                    <w14:schemeClr w14:val="tx1"/>
                  </w14:solidFill>
                </w14:textFill>
              </w:rPr>
              <w:t>消毒设施</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发生突发情况下，可将项目废水收集至收集桶，待事故结束后再分批次将收集内的污废水引入</w:t>
            </w:r>
            <w:r>
              <w:rPr>
                <w:rFonts w:hint="eastAsia" w:cs="Times New Roman"/>
                <w:b w:val="0"/>
                <w:bCs w:val="0"/>
                <w:color w:val="000000" w:themeColor="text1"/>
                <w:sz w:val="24"/>
                <w:highlight w:val="none"/>
                <w:lang w:val="en-US" w:eastAsia="zh-CN"/>
                <w14:textFill>
                  <w14:solidFill>
                    <w14:schemeClr w14:val="tx1"/>
                  </w14:solidFill>
                </w14:textFill>
              </w:rPr>
              <w:t>消毒设施</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进行处理，直到事故解除。</w:t>
            </w:r>
          </w:p>
          <w:p w14:paraId="7C1384F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（2）医疗废物收集、贮存和运输风险防范措施</w:t>
            </w:r>
          </w:p>
          <w:p w14:paraId="75DF310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项目运营期产生的医疗废物，根据《国家危险废物名录》、《医疗废物分类目录》等相关规定，合理分类并严格按照有关规定进行运转及暂时存放前提下，项目医疗废物经预消毒后统一交由有资质的单位集中处置，不会对周围环境产生大的影响。</w:t>
            </w:r>
          </w:p>
          <w:p w14:paraId="5F30E4B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医院设置负责医疗废物管理的监控部门或者专（兼）职人员，负责检查、督促落实本单位医疗废物的管理工作，建立医疗废物管理责任制</w:t>
            </w:r>
            <w:r>
              <w:rPr>
                <w:rFonts w:hint="eastAsia" w:cs="Times New Roman"/>
                <w:b w:val="0"/>
                <w:bCs w:val="0"/>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制定并落实相应的规章制度、工作程序和要求、有关人员的工作职责;对本单位从事医疗废物收集、运送、贮存等工作的人员和管理人员，进行相关法律和专业技术、安全防护以及紧急处理等知识的培训。</w:t>
            </w:r>
          </w:p>
          <w:p w14:paraId="2EB9AF4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根据中华人民共和国卫生部48号令《医院感染管理办法》医院感染管理部门的职责中对医疗废物管理工作提供指导的要求，如发生医疗废物流失、泄漏、扩散和意外事故时，应当按照以下要求及时采取紧急处理措施：</w:t>
            </w:r>
          </w:p>
          <w:p w14:paraId="00651CA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①医院发生医疗废物流失、泄漏、扩散和意外事故时，应当在48小时内向当地相关部门报告</w:t>
            </w:r>
            <w:r>
              <w:rPr>
                <w:rFonts w:hint="eastAsia" w:cs="Times New Roman"/>
                <w:b w:val="0"/>
                <w:bCs w:val="0"/>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发生因医疗废物管理不当导致1人以上死亡或者3人以上健康损害，需要对致病人员提供医疗救护和现场救援时，应当在24小时内向相关部门报告，并按以下规定采取紧急处理措施：</w:t>
            </w:r>
          </w:p>
          <w:p w14:paraId="00AE599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A、确定流失、泄漏、扩散的医疗废物的类别、数量、发生时间、影响范围及严重程度</w:t>
            </w:r>
            <w:r>
              <w:rPr>
                <w:rFonts w:hint="eastAsia" w:cs="Times New Roman"/>
                <w:b w:val="0"/>
                <w:bCs w:val="0"/>
                <w:color w:val="000000" w:themeColor="text1"/>
                <w:sz w:val="24"/>
                <w:highlight w:val="none"/>
                <w:lang w:val="en-US" w:eastAsia="zh-CN"/>
                <w14:textFill>
                  <w14:solidFill>
                    <w14:schemeClr w14:val="tx1"/>
                  </w14:solidFill>
                </w14:textFill>
              </w:rPr>
              <w:t>；</w:t>
            </w:r>
          </w:p>
          <w:p w14:paraId="474D684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B、组织有关人员尽快按照应急方案，对发生医疗废物泄漏、扩散的现场进行处理</w:t>
            </w:r>
            <w:r>
              <w:rPr>
                <w:rFonts w:hint="eastAsia" w:cs="Times New Roman"/>
                <w:b w:val="0"/>
                <w:bCs w:val="0"/>
                <w:color w:val="000000" w:themeColor="text1"/>
                <w:sz w:val="24"/>
                <w:highlight w:val="none"/>
                <w:lang w:val="en-US" w:eastAsia="zh-CN"/>
                <w14:textFill>
                  <w14:solidFill>
                    <w14:schemeClr w14:val="tx1"/>
                  </w14:solidFill>
                </w14:textFill>
              </w:rPr>
              <w:t>；</w:t>
            </w:r>
          </w:p>
          <w:p w14:paraId="3B433A0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C、对被医疗废物污染的区域进行处理时，应当尽可能减少对病例、医务人员、其它现场人员及环境的影响</w:t>
            </w:r>
            <w:r>
              <w:rPr>
                <w:rFonts w:hint="eastAsia" w:cs="Times New Roman"/>
                <w:b w:val="0"/>
                <w:bCs w:val="0"/>
                <w:color w:val="000000" w:themeColor="text1"/>
                <w:sz w:val="24"/>
                <w:highlight w:val="none"/>
                <w:lang w:val="en-US" w:eastAsia="zh-CN"/>
                <w14:textFill>
                  <w14:solidFill>
                    <w14:schemeClr w14:val="tx1"/>
                  </w14:solidFill>
                </w14:textFill>
              </w:rPr>
              <w:t>；</w:t>
            </w:r>
          </w:p>
          <w:p w14:paraId="0407E3B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D、采取适当的安全处置措施，对泄漏物及受污染的区域、物品进行消毒或者其他无害化处置，污染或可疑污染处用2000mg含氯消毒剂喷洒消毒，停留30 分钟后再做处理。必要时封锁污染区域，以防扩大污染</w:t>
            </w:r>
            <w:r>
              <w:rPr>
                <w:rFonts w:hint="eastAsia" w:cs="Times New Roman"/>
                <w:b w:val="0"/>
                <w:bCs w:val="0"/>
                <w:color w:val="000000" w:themeColor="text1"/>
                <w:sz w:val="24"/>
                <w:highlight w:val="none"/>
                <w:lang w:val="en-US" w:eastAsia="zh-CN"/>
                <w14:textFill>
                  <w14:solidFill>
                    <w14:schemeClr w14:val="tx1"/>
                  </w14:solidFill>
                </w14:textFill>
              </w:rPr>
              <w:t>；</w:t>
            </w:r>
          </w:p>
          <w:p w14:paraId="142D37F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E、对感染性废物污染区域进行消毒时，消毒工作从污染最轻区域向污染最严重区域进行，对可能被污染的所有使用过的工具也应当用2000mg/L 含氯消毒剂喷酒消毒</w:t>
            </w:r>
            <w:r>
              <w:rPr>
                <w:rFonts w:hint="eastAsia" w:cs="Times New Roman"/>
                <w:b w:val="0"/>
                <w:bCs w:val="0"/>
                <w:color w:val="000000" w:themeColor="text1"/>
                <w:sz w:val="24"/>
                <w:highlight w:val="none"/>
                <w:lang w:val="en-US" w:eastAsia="zh-CN"/>
                <w14:textFill>
                  <w14:solidFill>
                    <w14:schemeClr w14:val="tx1"/>
                  </w14:solidFill>
                </w14:textFill>
              </w:rPr>
              <w:t>；</w:t>
            </w:r>
          </w:p>
          <w:p w14:paraId="44AE708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F、工作人员应当做好卫生安全防护后进行工作，戴口罩、帽子和手套，进行工作时应避免用污染的手套接触其他物品，以避免污染环境。</w:t>
            </w:r>
          </w:p>
          <w:p w14:paraId="72CCBBF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②调查处理工作结束后，及时将处理结果报告相关部门。</w:t>
            </w:r>
          </w:p>
          <w:p w14:paraId="0E07CD1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③处理工作结束后，及时对事件的起因进行调查，并采取有效的防范措施预防类似事件的发生。</w:t>
            </w:r>
          </w:p>
          <w:p w14:paraId="23DCBC8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（3）医用危险化学品事故性泄漏防范及应急措施</w:t>
            </w:r>
          </w:p>
          <w:p w14:paraId="5CC363D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项目不涉及配制试剂，故项目风险管理主要为药品、消毒剂的风险管理。项目为正规动物医院，其药品专门放置在药房内，试剂存放于化验室内。项目参照实验室药品管理要求：所有试剂应摆放至相应位置，贴上相应标签</w:t>
            </w:r>
            <w:r>
              <w:rPr>
                <w:rFonts w:hint="eastAsia" w:cs="Times New Roman"/>
                <w:b w:val="0"/>
                <w:bCs w:val="0"/>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有效期已过的试剂、药品，由化验室负责人按照</w:t>
            </w:r>
            <w:r>
              <w:rPr>
                <w:rFonts w:hint="eastAsia" w:cs="Times New Roman"/>
                <w:b w:val="0"/>
                <w:bCs w:val="0"/>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危险废弃物及其包装物管理</w:t>
            </w:r>
            <w:r>
              <w:rPr>
                <w:rFonts w:hint="eastAsia" w:cs="Times New Roman"/>
                <w:b w:val="0"/>
                <w:bCs w:val="0"/>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进行处理并负责清洗容器</w:t>
            </w:r>
            <w:r>
              <w:rPr>
                <w:rFonts w:hint="eastAsia" w:cs="Times New Roman"/>
                <w:b w:val="0"/>
                <w:bCs w:val="0"/>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检测人员应不断增强自我保护意识，加强学习，避免出现试剂混装的现象。消毒间的消毒剂均为瓶装贮存，项目建议各储存瓶放置在托盘内，托盘容积能够保证最大瓶容器泄漏的需求。若发生少量泄漏，则用毛巾蘸取吸收后作为危废处置，若发生大量泄漏事故，利用托盘对泄漏的物料进行收集，看能否回收利用，若不能则作为危废处置，交有资质单位处置。</w:t>
            </w:r>
          </w:p>
          <w:p w14:paraId="18FE891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医用酒精等医用危险化学品的购买、储存、保管和使用，以及运输应当按照《危险化学品安全管理条例》的规定进行管理。危险化学品必须储存在专用的储存室内，其存储方式、方法和数量必须符合国家标准，并由专人管理，危险化学品出入库应进行核查登记，并定期检查库存，实行双人双发、双人保管制度。</w:t>
            </w:r>
          </w:p>
          <w:p w14:paraId="52F3085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（4）动物疫病风险防控措施</w:t>
            </w:r>
          </w:p>
          <w:p w14:paraId="41B9040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项目为宠物医院，主要接待患病猫犬，发病且传染的可能性较高。医院仅对一般宠物感染病症进行隔离治疗，并设置了隔离病房;医院不接收经诊断患人畜交叉感染传染病的宠物，若本医院诊断有疑似人畜共患传染病，及时报当地动物卫生监督部门，严格按照《</w:t>
            </w:r>
            <w:r>
              <w:rPr>
                <w:rFonts w:hint="eastAsia" w:cs="Times New Roman"/>
                <w:b w:val="0"/>
                <w:bCs w:val="0"/>
                <w:color w:val="000000" w:themeColor="text1"/>
                <w:sz w:val="24"/>
                <w:highlight w:val="none"/>
                <w:lang w:val="en-US" w:eastAsia="zh-CN"/>
                <w14:textFill>
                  <w14:solidFill>
                    <w14:schemeClr w14:val="tx1"/>
                  </w14:solidFill>
                </w14:textFill>
              </w:rPr>
              <w:t>重庆市动物防疫条例</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》、《重庆市无规定动物疫病区管理办法》的相关规定进行管理。</w:t>
            </w:r>
          </w:p>
          <w:p w14:paraId="5CFD04A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为预防动物疫情的风险，主要采取的措施包括：</w:t>
            </w:r>
          </w:p>
          <w:p w14:paraId="0C4E83E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建立突发动物疫情预防控制体系，做好日常预防准备工作，及时向本级兽医主管部门通报可能导致疫情的信息，做到信息互通、资源共享。发现动物群体发病或者死亡的，应当以电话或书面等形式，立即向当地兽医部门报告。</w:t>
            </w:r>
          </w:p>
          <w:p w14:paraId="30588AA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根据《病死及病害动物无害化处理技术规范》（农医发[2017]25号），发生动物疫情或自然灾害等突发事件时病死及病害动物的应急无害化处理方式为深埋法，本项目送资质单位无害化处理。</w:t>
            </w:r>
          </w:p>
          <w:p w14:paraId="2CD5BEA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建立严格的卫生防疫制度，要认真贯彻</w:t>
            </w:r>
            <w:r>
              <w:rPr>
                <w:rFonts w:hint="eastAsia" w:cs="Times New Roman"/>
                <w:b w:val="0"/>
                <w:bCs w:val="0"/>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防重于治</w:t>
            </w:r>
            <w:r>
              <w:rPr>
                <w:rFonts w:hint="eastAsia" w:cs="Times New Roman"/>
                <w:b w:val="0"/>
                <w:bCs w:val="0"/>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的方针，必须建立严格的卫生防疫制度、健全卫生防疫设施，以确保安全生产。建立正常的卫生防疫制度，按计划进行清扫、消毒，按计划对宠物实施免疫程序，建立免疫档案。营运过程中一旦发生宠物带有传染性病变的可能时，立即进行隔离并采取安全清洁措施。治疗医生同样采取清洁安全化操作，防止在诊疗过程中传染其他动物甚至人群。</w:t>
            </w:r>
          </w:p>
          <w:p w14:paraId="66E2771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（5）酒精风险防范措施</w:t>
            </w:r>
          </w:p>
          <w:p w14:paraId="755B5F8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项目存放的酒精每次取用后应立即将容器上盖封闭，严禁敞开放置</w:t>
            </w:r>
            <w:r>
              <w:rPr>
                <w:rFonts w:hint="eastAsia" w:cs="Times New Roman"/>
                <w:b w:val="0"/>
                <w:bCs w:val="0"/>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酒精应避免用玻璃瓶存放，防止跌落破损</w:t>
            </w:r>
            <w:r>
              <w:rPr>
                <w:rFonts w:hint="eastAsia" w:cs="Times New Roman"/>
                <w:b w:val="0"/>
                <w:bCs w:val="0"/>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酒精应远离火种、热源，温度不宜超过30℃，防止阳光直射。</w:t>
            </w:r>
          </w:p>
          <w:p w14:paraId="2F9BEB5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FF0000"/>
                <w:sz w:val="24"/>
                <w:highlight w:val="none"/>
                <w:lang w:val="en-US" w:eastAsia="zh-CN"/>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若酒精着火后，着火面积较大时，应第一时间拨打119，使用干粉灭火器或二氧化碳灭火器进行灭火。如果有沙子或土，可使用沙子或土进行灭火。不能使用水进行泼洒灭火。</w:t>
            </w:r>
          </w:p>
        </w:tc>
      </w:tr>
    </w:tbl>
    <w:p w14:paraId="3FC4BACA">
      <w:pPr>
        <w:adjustRightInd w:val="0"/>
        <w:snapToGrid w:val="0"/>
        <w:spacing w:line="360" w:lineRule="auto"/>
        <w:rPr>
          <w:rFonts w:hint="default" w:ascii="Times New Roman" w:hAnsi="Times New Roman" w:cs="Times New Roman"/>
          <w:b/>
          <w:color w:val="FF0000"/>
          <w:kern w:val="0"/>
          <w:sz w:val="28"/>
          <w:szCs w:val="28"/>
          <w:highlight w:val="none"/>
        </w:rPr>
        <w:sectPr>
          <w:footerReference r:id="rId9" w:type="default"/>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5BC1D963">
      <w:pPr>
        <w:pStyle w:val="16"/>
        <w:jc w:val="center"/>
        <w:outlineLvl w:val="0"/>
        <w:rPr>
          <w:rFonts w:hint="default" w:ascii="Times New Roman" w:hAnsi="Times New Roman" w:eastAsia="黑体" w:cs="Times New Roman"/>
          <w:snapToGrid w:val="0"/>
          <w:color w:val="000000" w:themeColor="text1"/>
          <w:sz w:val="30"/>
          <w:szCs w:val="30"/>
          <w:highlight w:val="none"/>
          <w14:textFill>
            <w14:solidFill>
              <w14:schemeClr w14:val="tx1"/>
            </w14:solidFill>
          </w14:textFill>
        </w:rPr>
      </w:pPr>
      <w:r>
        <w:rPr>
          <w:rFonts w:hint="default" w:ascii="Times New Roman" w:hAnsi="Times New Roman" w:eastAsia="黑体" w:cs="Times New Roman"/>
          <w:snapToGrid w:val="0"/>
          <w:color w:val="000000" w:themeColor="text1"/>
          <w:sz w:val="30"/>
          <w:szCs w:val="30"/>
          <w:highlight w:val="none"/>
          <w14:textFill>
            <w14:solidFill>
              <w14:schemeClr w14:val="tx1"/>
            </w14:solidFill>
          </w14:textFill>
        </w:rPr>
        <w:t>五、</w:t>
      </w:r>
      <w:bookmarkStart w:id="0" w:name="_Hlk54167917"/>
      <w:r>
        <w:rPr>
          <w:rFonts w:hint="default" w:ascii="Times New Roman" w:hAnsi="Times New Roman" w:eastAsia="黑体" w:cs="Times New Roman"/>
          <w:snapToGrid w:val="0"/>
          <w:color w:val="000000" w:themeColor="text1"/>
          <w:sz w:val="30"/>
          <w:szCs w:val="30"/>
          <w:highlight w:val="none"/>
          <w14:textFill>
            <w14:solidFill>
              <w14:schemeClr w14:val="tx1"/>
            </w14:solidFill>
          </w14:textFill>
        </w:rPr>
        <w:t>环境保护措施监督检查清单</w:t>
      </w:r>
      <w:bookmarkEnd w:id="0"/>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8"/>
        <w:gridCol w:w="1755"/>
        <w:gridCol w:w="1755"/>
        <w:gridCol w:w="1755"/>
        <w:gridCol w:w="1757"/>
      </w:tblGrid>
      <w:tr w14:paraId="793517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tcBorders>
              <w:tl2br w:val="single" w:color="auto" w:sz="4" w:space="0"/>
            </w:tcBorders>
            <w:noWrap w:val="0"/>
            <w:vAlign w:val="top"/>
          </w:tcPr>
          <w:p w14:paraId="367EA316">
            <w:pPr>
              <w:adjustRightInd w:val="0"/>
              <w:snapToGrid w:val="0"/>
              <w:ind w:firstLine="840"/>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内容</w:t>
            </w:r>
          </w:p>
          <w:p w14:paraId="04BBD39C">
            <w:pPr>
              <w:adjustRightInd w:val="0"/>
              <w:snapToGrid w:val="0"/>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要素</w:t>
            </w:r>
          </w:p>
        </w:tc>
        <w:tc>
          <w:tcPr>
            <w:tcW w:w="1755" w:type="dxa"/>
            <w:noWrap w:val="0"/>
            <w:vAlign w:val="center"/>
          </w:tcPr>
          <w:p w14:paraId="2CF25472">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排放口(编号、</w:t>
            </w:r>
          </w:p>
          <w:p w14:paraId="5185947C">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名称)/污染源</w:t>
            </w:r>
          </w:p>
        </w:tc>
        <w:tc>
          <w:tcPr>
            <w:tcW w:w="1755" w:type="dxa"/>
            <w:noWrap w:val="0"/>
            <w:vAlign w:val="center"/>
          </w:tcPr>
          <w:p w14:paraId="0EACDB13">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污染物项目</w:t>
            </w:r>
          </w:p>
        </w:tc>
        <w:tc>
          <w:tcPr>
            <w:tcW w:w="1755" w:type="dxa"/>
            <w:noWrap w:val="0"/>
            <w:vAlign w:val="center"/>
          </w:tcPr>
          <w:p w14:paraId="62F6AF63">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环境保护措施</w:t>
            </w:r>
          </w:p>
        </w:tc>
        <w:tc>
          <w:tcPr>
            <w:tcW w:w="1757" w:type="dxa"/>
            <w:noWrap w:val="0"/>
            <w:vAlign w:val="center"/>
          </w:tcPr>
          <w:p w14:paraId="0F1014F0">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执行标准</w:t>
            </w:r>
          </w:p>
        </w:tc>
      </w:tr>
      <w:tr w14:paraId="4A2DC1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noWrap w:val="0"/>
            <w:vAlign w:val="center"/>
          </w:tcPr>
          <w:p w14:paraId="3459694B">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大气环境</w:t>
            </w:r>
          </w:p>
        </w:tc>
        <w:tc>
          <w:tcPr>
            <w:tcW w:w="1755" w:type="dxa"/>
            <w:noWrap w:val="0"/>
            <w:vAlign w:val="center"/>
          </w:tcPr>
          <w:p w14:paraId="29637B89">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诊疗、住院、</w:t>
            </w:r>
            <w:r>
              <w:rPr>
                <w:rFonts w:hint="eastAsia" w:cs="Times New Roman"/>
                <w:color w:val="000000" w:themeColor="text1"/>
                <w:szCs w:val="21"/>
                <w:highlight w:val="none"/>
                <w:lang w:eastAsia="zh-CN"/>
                <w14:textFill>
                  <w14:solidFill>
                    <w14:schemeClr w14:val="tx1"/>
                  </w14:solidFill>
                </w14:textFill>
              </w:rPr>
              <w:t>消毒设施</w:t>
            </w:r>
            <w:r>
              <w:rPr>
                <w:rFonts w:hint="default" w:ascii="Times New Roman" w:hAnsi="Times New Roman" w:cs="Times New Roman"/>
                <w:color w:val="000000" w:themeColor="text1"/>
                <w:szCs w:val="21"/>
                <w:highlight w:val="none"/>
                <w14:textFill>
                  <w14:solidFill>
                    <w14:schemeClr w14:val="tx1"/>
                  </w14:solidFill>
                </w14:textFill>
              </w:rPr>
              <w:t>等</w:t>
            </w:r>
          </w:p>
        </w:tc>
        <w:tc>
          <w:tcPr>
            <w:tcW w:w="1755" w:type="dxa"/>
            <w:noWrap w:val="0"/>
            <w:vAlign w:val="center"/>
          </w:tcPr>
          <w:p w14:paraId="04E6B059">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臭气</w:t>
            </w:r>
            <w:r>
              <w:rPr>
                <w:rFonts w:hint="default" w:ascii="Times New Roman" w:hAnsi="Times New Roman" w:cs="Times New Roman"/>
                <w:color w:val="000000" w:themeColor="text1"/>
                <w:szCs w:val="21"/>
                <w:highlight w:val="none"/>
                <w14:textFill>
                  <w14:solidFill>
                    <w14:schemeClr w14:val="tx1"/>
                  </w14:solidFill>
                </w14:textFill>
              </w:rPr>
              <w:t>、非甲烷总</w:t>
            </w:r>
          </w:p>
          <w:p w14:paraId="4EC4E568">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烃</w:t>
            </w:r>
          </w:p>
        </w:tc>
        <w:tc>
          <w:tcPr>
            <w:tcW w:w="1755" w:type="dxa"/>
            <w:noWrap w:val="0"/>
            <w:vAlign w:val="center"/>
          </w:tcPr>
          <w:p w14:paraId="61CEA4D2">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采用自然通风和空调系统结合的形式进行通风</w:t>
            </w:r>
            <w:r>
              <w:rPr>
                <w:rFonts w:hint="eastAsia"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病房设有紫外线灯管消毒杀菌</w:t>
            </w:r>
            <w:r>
              <w:rPr>
                <w:rFonts w:hint="eastAsia"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每天使用84消毒液等对医院进</w:t>
            </w:r>
          </w:p>
          <w:p w14:paraId="461E034B">
            <w:pPr>
              <w:adjustRightInd w:val="0"/>
              <w:snapToGrid w:val="0"/>
              <w:jc w:val="center"/>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行消毒</w:t>
            </w:r>
            <w:r>
              <w:rPr>
                <w:rFonts w:hint="eastAsia" w:cs="Times New Roman"/>
                <w:color w:val="000000" w:themeColor="text1"/>
                <w:szCs w:val="21"/>
                <w:highlight w:val="none"/>
                <w:lang w:eastAsia="zh-CN"/>
                <w14:textFill>
                  <w14:solidFill>
                    <w14:schemeClr w14:val="tx1"/>
                  </w14:solidFill>
                </w14:textFill>
              </w:rPr>
              <w:t>；</w:t>
            </w:r>
          </w:p>
        </w:tc>
        <w:tc>
          <w:tcPr>
            <w:tcW w:w="1757" w:type="dxa"/>
            <w:noWrap w:val="0"/>
            <w:vAlign w:val="center"/>
          </w:tcPr>
          <w:p w14:paraId="37FCF9E6">
            <w:pPr>
              <w:adjustRightInd w:val="0"/>
              <w:snapToGrid w:val="0"/>
              <w:jc w:val="center"/>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恶臭污染物排放标准》</w:t>
            </w: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GB14554-93</w:t>
            </w: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eastAsia"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《大气污染物综合排放标准》</w:t>
            </w: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(DB50/418-2016</w:t>
            </w: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eastAsia" w:cs="Times New Roman"/>
                <w:color w:val="000000" w:themeColor="text1"/>
                <w:szCs w:val="21"/>
                <w:highlight w:val="none"/>
                <w:lang w:eastAsia="zh-CN"/>
                <w14:textFill>
                  <w14:solidFill>
                    <w14:schemeClr w14:val="tx1"/>
                  </w14:solidFill>
                </w14:textFill>
              </w:rPr>
              <w:t>；</w:t>
            </w:r>
          </w:p>
        </w:tc>
      </w:tr>
      <w:tr w14:paraId="081D5C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restart"/>
            <w:noWrap w:val="0"/>
            <w:vAlign w:val="center"/>
          </w:tcPr>
          <w:p w14:paraId="332E6E37">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地表水环境</w:t>
            </w:r>
          </w:p>
        </w:tc>
        <w:tc>
          <w:tcPr>
            <w:tcW w:w="1755" w:type="dxa"/>
            <w:noWrap w:val="0"/>
            <w:vAlign w:val="center"/>
          </w:tcPr>
          <w:p w14:paraId="6C5E8199">
            <w:pPr>
              <w:adjustRightInd w:val="0"/>
              <w:snapToGri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生化池排放口（DW001）</w:t>
            </w:r>
          </w:p>
        </w:tc>
        <w:tc>
          <w:tcPr>
            <w:tcW w:w="1755" w:type="dxa"/>
            <w:noWrap w:val="0"/>
            <w:vAlign w:val="center"/>
          </w:tcPr>
          <w:p w14:paraId="5226BCBB">
            <w:pPr>
              <w:adjustRightInd w:val="0"/>
              <w:snapToGri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pH、COD、BOD</w:t>
            </w:r>
            <w:r>
              <w:rPr>
                <w:rFonts w:hint="default" w:ascii="Times New Roman" w:hAnsi="Times New Roman" w:cs="Times New Roman"/>
                <w:color w:val="000000" w:themeColor="text1"/>
                <w:szCs w:val="21"/>
                <w:highlight w:val="none"/>
                <w:vertAlign w:val="subscript"/>
                <w:lang w:val="en-US" w:eastAsia="zh-CN"/>
                <w14:textFill>
                  <w14:solidFill>
                    <w14:schemeClr w14:val="tx1"/>
                  </w14:solidFill>
                </w14:textFill>
              </w:rPr>
              <w:t>5</w:t>
            </w:r>
            <w:r>
              <w:rPr>
                <w:rFonts w:hint="default" w:ascii="Times New Roman" w:hAnsi="Times New Roman" w:cs="Times New Roman"/>
                <w:color w:val="000000" w:themeColor="text1"/>
                <w:szCs w:val="21"/>
                <w:highlight w:val="none"/>
                <w:lang w:val="en-US" w:eastAsia="zh-CN"/>
                <w14:textFill>
                  <w14:solidFill>
                    <w14:schemeClr w14:val="tx1"/>
                  </w14:solidFill>
                </w14:textFill>
              </w:rPr>
              <w:t>、SS、氨氮、总磷、LAS、粪大肠菌群</w:t>
            </w:r>
          </w:p>
        </w:tc>
        <w:tc>
          <w:tcPr>
            <w:tcW w:w="1755" w:type="dxa"/>
            <w:vMerge w:val="restart"/>
            <w:noWrap w:val="0"/>
            <w:vAlign w:val="center"/>
          </w:tcPr>
          <w:p w14:paraId="30E74C3E">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项目设置</w:t>
            </w:r>
            <w:r>
              <w:rPr>
                <w:rFonts w:hint="eastAsia" w:cs="Times New Roman"/>
                <w:color w:val="000000" w:themeColor="text1"/>
                <w:szCs w:val="21"/>
                <w:highlight w:val="none"/>
                <w:lang w:val="en-US" w:eastAsia="zh-CN"/>
                <w14:textFill>
                  <w14:solidFill>
                    <w14:schemeClr w14:val="tx1"/>
                  </w14:solidFill>
                </w14:textFill>
              </w:rPr>
              <w:t>有2</w:t>
            </w:r>
            <w:r>
              <w:rPr>
                <w:rFonts w:hint="default" w:ascii="Times New Roman" w:hAnsi="Times New Roman" w:cs="Times New Roman"/>
                <w:color w:val="000000" w:themeColor="text1"/>
                <w:szCs w:val="21"/>
                <w:highlight w:val="none"/>
                <w14:textFill>
                  <w14:solidFill>
                    <w14:schemeClr w14:val="tx1"/>
                  </w14:solidFill>
                </w14:textFill>
              </w:rPr>
              <w:t>台医疗废水</w:t>
            </w:r>
            <w:r>
              <w:rPr>
                <w:rFonts w:hint="eastAsia" w:cs="Times New Roman"/>
                <w:color w:val="000000" w:themeColor="text1"/>
                <w:szCs w:val="21"/>
                <w:highlight w:val="none"/>
                <w:lang w:eastAsia="zh-CN"/>
                <w14:textFill>
                  <w14:solidFill>
                    <w14:schemeClr w14:val="tx1"/>
                  </w14:solidFill>
                </w14:textFill>
              </w:rPr>
              <w:t>消毒设施</w:t>
            </w:r>
            <w:r>
              <w:rPr>
                <w:rFonts w:hint="default" w:ascii="Times New Roman" w:hAnsi="Times New Roman" w:cs="Times New Roman"/>
                <w:color w:val="000000" w:themeColor="text1"/>
                <w:szCs w:val="21"/>
                <w:highlight w:val="none"/>
                <w14:textFill>
                  <w14:solidFill>
                    <w14:schemeClr w14:val="tx1"/>
                  </w14:solidFill>
                </w14:textFill>
              </w:rPr>
              <w:t>，医疗废水经</w:t>
            </w:r>
            <w:r>
              <w:rPr>
                <w:rFonts w:hint="eastAsia" w:cs="Times New Roman"/>
                <w:color w:val="000000" w:themeColor="text1"/>
                <w:szCs w:val="21"/>
                <w:highlight w:val="none"/>
                <w:lang w:eastAsia="zh-CN"/>
                <w14:textFill>
                  <w14:solidFill>
                    <w14:schemeClr w14:val="tx1"/>
                  </w14:solidFill>
                </w14:textFill>
              </w:rPr>
              <w:t>消毒设施消毒</w:t>
            </w:r>
            <w:r>
              <w:rPr>
                <w:rFonts w:hint="eastAsia" w:ascii="Times New Roman" w:hAnsi="Times New Roman" w:cs="Times New Roman"/>
                <w:color w:val="000000" w:themeColor="text1"/>
                <w:szCs w:val="21"/>
                <w:highlight w:val="none"/>
                <w:lang w:val="en-US" w:eastAsia="zh-CN"/>
                <w14:textFill>
                  <w14:solidFill>
                    <w14:schemeClr w14:val="tx1"/>
                  </w14:solidFill>
                </w14:textFill>
              </w:rPr>
              <w:t>（本项目使用</w:t>
            </w:r>
            <w:r>
              <w:rPr>
                <w:rFonts w:hint="eastAsia" w:cs="Times New Roman"/>
                <w:color w:val="000000" w:themeColor="text1"/>
                <w:szCs w:val="21"/>
                <w:highlight w:val="none"/>
                <w:lang w:val="en-US" w:eastAsia="zh-CN"/>
                <w14:textFill>
                  <w14:solidFill>
                    <w14:schemeClr w14:val="tx1"/>
                  </w14:solidFill>
                </w14:textFill>
              </w:rPr>
              <w:t>二氧化氯</w:t>
            </w:r>
            <w:r>
              <w:rPr>
                <w:rFonts w:hint="eastAsia" w:ascii="Times New Roman" w:hAnsi="Times New Roman" w:cs="Times New Roman"/>
                <w:color w:val="000000" w:themeColor="text1"/>
                <w:szCs w:val="21"/>
                <w:highlight w:val="none"/>
                <w:lang w:val="en-US" w:eastAsia="zh-CN"/>
                <w14:textFill>
                  <w14:solidFill>
                    <w14:schemeClr w14:val="tx1"/>
                  </w14:solidFill>
                </w14:textFill>
              </w:rPr>
              <w:t>消毒片</w:t>
            </w:r>
            <w:r>
              <w:rPr>
                <w:rFonts w:hint="eastAsia" w:cs="Times New Roman"/>
                <w:color w:val="000000" w:themeColor="text1"/>
                <w:szCs w:val="21"/>
                <w:highlight w:val="none"/>
                <w:lang w:val="en-US" w:eastAsia="zh-CN"/>
                <w14:textFill>
                  <w14:solidFill>
                    <w14:schemeClr w14:val="tx1"/>
                  </w14:solidFill>
                </w14:textFill>
              </w:rPr>
              <w:t>、</w:t>
            </w:r>
            <w:r>
              <w:rPr>
                <w:rFonts w:hint="eastAsia" w:ascii="Times New Roman" w:hAnsi="Times New Roman" w:eastAsia="宋体" w:cs="Times New Roman"/>
                <w:b w:val="0"/>
                <w:color w:val="auto"/>
                <w:sz w:val="21"/>
                <w:lang w:val="en-US" w:eastAsia="zh-CN" w:bidi="ar-SA"/>
              </w:rPr>
              <w:t>三氯异氰尿酸消毒片</w:t>
            </w:r>
            <w:r>
              <w:rPr>
                <w:rFonts w:hint="eastAsia" w:ascii="Times New Roman" w:hAnsi="Times New Roman" w:cs="Times New Roman"/>
                <w:color w:val="000000" w:themeColor="text1"/>
                <w:szCs w:val="21"/>
                <w:highlight w:val="none"/>
                <w:lang w:val="en-US" w:eastAsia="zh-CN"/>
                <w14:textFill>
                  <w14:solidFill>
                    <w14:schemeClr w14:val="tx1"/>
                  </w14:solidFill>
                </w14:textFill>
              </w:rPr>
              <w:t>对医疗废水进行消毒处理，对消毒设施出口粪大肠菌群、总余氯排放限值作出要求，粪大肠菌群、总余氯参照《医疗机构水污染物排放标准》（GB 18466-2005）表2预处理标准）</w:t>
            </w:r>
            <w:r>
              <w:rPr>
                <w:rFonts w:hint="eastAsia" w:cs="Times New Roman"/>
                <w:color w:val="000000" w:themeColor="text1"/>
                <w:szCs w:val="21"/>
                <w:highlight w:val="none"/>
                <w:lang w:eastAsia="zh-CN"/>
                <w14:textFill>
                  <w14:solidFill>
                    <w14:schemeClr w14:val="tx1"/>
                  </w14:solidFill>
                </w14:textFill>
              </w:rPr>
              <w:t>，</w:t>
            </w:r>
            <w:r>
              <w:rPr>
                <w:rFonts w:hint="eastAsia" w:cs="Times New Roman"/>
                <w:color w:val="000000" w:themeColor="text1"/>
                <w:szCs w:val="21"/>
                <w:highlight w:val="none"/>
                <w:lang w:val="en-US" w:eastAsia="zh-CN"/>
                <w14:textFill>
                  <w14:solidFill>
                    <w14:schemeClr w14:val="tx1"/>
                  </w14:solidFill>
                </w14:textFill>
              </w:rPr>
              <w:t>美容洗浴废水经滤网过滤</w:t>
            </w:r>
            <w:r>
              <w:rPr>
                <w:rFonts w:hint="default" w:ascii="Times New Roman" w:hAnsi="Times New Roman" w:cs="Times New Roman"/>
                <w:color w:val="000000" w:themeColor="text1"/>
                <w:szCs w:val="21"/>
                <w:highlight w:val="none"/>
                <w14:textFill>
                  <w14:solidFill>
                    <w14:schemeClr w14:val="tx1"/>
                  </w14:solidFill>
                </w14:textFill>
              </w:rPr>
              <w:t>后与生活污水、</w:t>
            </w:r>
            <w:r>
              <w:rPr>
                <w:rFonts w:hint="eastAsia" w:cs="Times New Roman"/>
                <w:color w:val="000000" w:themeColor="text1"/>
                <w:szCs w:val="21"/>
                <w:highlight w:val="none"/>
                <w:lang w:val="en-US" w:eastAsia="zh-CN"/>
                <w14:textFill>
                  <w14:solidFill>
                    <w14:schemeClr w14:val="tx1"/>
                  </w14:solidFill>
                </w14:textFill>
              </w:rPr>
              <w:t>其他废水</w:t>
            </w:r>
            <w:r>
              <w:rPr>
                <w:rFonts w:hint="default" w:ascii="Times New Roman" w:hAnsi="Times New Roman" w:cs="Times New Roman"/>
                <w:color w:val="000000" w:themeColor="text1"/>
                <w:szCs w:val="21"/>
                <w:highlight w:val="none"/>
                <w14:textFill>
                  <w14:solidFill>
                    <w14:schemeClr w14:val="tx1"/>
                  </w14:solidFill>
                </w14:textFill>
              </w:rPr>
              <w:t>一并进入生化池，处理达标后排入市政污水管网</w:t>
            </w:r>
          </w:p>
        </w:tc>
        <w:tc>
          <w:tcPr>
            <w:tcW w:w="1757" w:type="dxa"/>
            <w:noWrap w:val="0"/>
            <w:vAlign w:val="center"/>
          </w:tcPr>
          <w:p w14:paraId="1DEB553D">
            <w:pPr>
              <w:adjustRightInd w:val="0"/>
              <w:snapToGrid w:val="0"/>
              <w:jc w:val="center"/>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《污水综合排放标准》</w:t>
            </w: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GB8978-1996</w:t>
            </w: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三级标准</w:t>
            </w:r>
            <w:r>
              <w:rPr>
                <w:rFonts w:hint="eastAsia" w:cs="Times New Roman"/>
                <w:color w:val="000000" w:themeColor="text1"/>
                <w:szCs w:val="21"/>
                <w:highlight w:val="none"/>
                <w:lang w:eastAsia="zh-CN"/>
                <w14:textFill>
                  <w14:solidFill>
                    <w14:schemeClr w14:val="tx1"/>
                  </w14:solidFill>
                </w14:textFill>
              </w:rPr>
              <w:t>；</w:t>
            </w:r>
          </w:p>
        </w:tc>
      </w:tr>
      <w:tr w14:paraId="68B1EA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noWrap w:val="0"/>
            <w:vAlign w:val="center"/>
          </w:tcPr>
          <w:p w14:paraId="66496CEE">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p>
        </w:tc>
        <w:tc>
          <w:tcPr>
            <w:tcW w:w="1755" w:type="dxa"/>
            <w:noWrap w:val="0"/>
            <w:vAlign w:val="center"/>
          </w:tcPr>
          <w:p w14:paraId="4C26CC54">
            <w:pPr>
              <w:adjustRightInd w:val="0"/>
              <w:snapToGri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消毒设施</w:t>
            </w:r>
            <w:r>
              <w:rPr>
                <w:rFonts w:hint="default" w:ascii="Times New Roman" w:hAnsi="Times New Roman" w:cs="Times New Roman"/>
                <w:color w:val="000000" w:themeColor="text1"/>
                <w:szCs w:val="21"/>
                <w:highlight w:val="none"/>
                <w:lang w:val="en-US" w:eastAsia="zh-CN"/>
                <w14:textFill>
                  <w14:solidFill>
                    <w14:schemeClr w14:val="tx1"/>
                  </w14:solidFill>
                </w14:textFill>
              </w:rPr>
              <w:t>排放口（DW002）</w:t>
            </w:r>
          </w:p>
        </w:tc>
        <w:tc>
          <w:tcPr>
            <w:tcW w:w="1755" w:type="dxa"/>
            <w:noWrap w:val="0"/>
            <w:vAlign w:val="center"/>
          </w:tcPr>
          <w:p w14:paraId="1EBCB450">
            <w:pPr>
              <w:adjustRightInd w:val="0"/>
              <w:snapToGrid w:val="0"/>
              <w:jc w:val="center"/>
              <w:rPr>
                <w:rFonts w:hint="default" w:ascii="Times New Roman" w:hAnsi="Times New Roman" w:cs="Times New Roman"/>
                <w:color w:val="000000" w:themeColor="text1"/>
                <w:szCs w:val="21"/>
                <w:highlight w:val="none"/>
                <w:lang w:val="en-US"/>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粪大肠菌群、总余氯</w:t>
            </w:r>
          </w:p>
        </w:tc>
        <w:tc>
          <w:tcPr>
            <w:tcW w:w="1755" w:type="dxa"/>
            <w:vMerge w:val="continue"/>
            <w:noWrap w:val="0"/>
            <w:vAlign w:val="center"/>
          </w:tcPr>
          <w:p w14:paraId="05AB5E99">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p>
        </w:tc>
        <w:tc>
          <w:tcPr>
            <w:tcW w:w="1757" w:type="dxa"/>
            <w:noWrap w:val="0"/>
            <w:vAlign w:val="center"/>
          </w:tcPr>
          <w:p w14:paraId="056C299D">
            <w:pPr>
              <w:adjustRightInd w:val="0"/>
              <w:snapToGrid w:val="0"/>
              <w:jc w:val="center"/>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总余氯在</w:t>
            </w:r>
            <w:r>
              <w:rPr>
                <w:rFonts w:hint="eastAsia" w:cs="Times New Roman"/>
                <w:color w:val="000000" w:themeColor="text1"/>
                <w:szCs w:val="21"/>
                <w:highlight w:val="none"/>
                <w:lang w:eastAsia="zh-CN"/>
                <w14:textFill>
                  <w14:solidFill>
                    <w14:schemeClr w14:val="tx1"/>
                  </w14:solidFill>
                </w14:textFill>
              </w:rPr>
              <w:t>消毒设施</w:t>
            </w:r>
            <w:r>
              <w:rPr>
                <w:rFonts w:hint="default" w:ascii="Times New Roman" w:hAnsi="Times New Roman" w:cs="Times New Roman"/>
                <w:color w:val="000000" w:themeColor="text1"/>
                <w:szCs w:val="21"/>
                <w:highlight w:val="none"/>
                <w14:textFill>
                  <w14:solidFill>
                    <w14:schemeClr w14:val="tx1"/>
                  </w14:solidFill>
                </w14:textFill>
              </w:rPr>
              <w:t>排放口进行控制，医疗废水</w:t>
            </w:r>
            <w:r>
              <w:rPr>
                <w:rFonts w:hint="eastAsia" w:cs="Times New Roman"/>
                <w:color w:val="000000" w:themeColor="text1"/>
                <w:szCs w:val="21"/>
                <w:highlight w:val="none"/>
                <w:lang w:eastAsia="zh-CN"/>
                <w14:textFill>
                  <w14:solidFill>
                    <w14:schemeClr w14:val="tx1"/>
                  </w14:solidFill>
                </w14:textFill>
              </w:rPr>
              <w:t>消毒设施</w:t>
            </w:r>
            <w:r>
              <w:rPr>
                <w:rFonts w:hint="default" w:ascii="Times New Roman" w:hAnsi="Times New Roman" w:cs="Times New Roman"/>
                <w:color w:val="000000" w:themeColor="text1"/>
                <w:szCs w:val="21"/>
                <w:highlight w:val="none"/>
                <w14:textFill>
                  <w14:solidFill>
                    <w14:schemeClr w14:val="tx1"/>
                  </w14:solidFill>
                </w14:textFill>
              </w:rPr>
              <w:t>排放口出水参照执行《医疗机构水污染物排放标准》</w:t>
            </w: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GB18466-2005</w:t>
            </w: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预处理标准</w:t>
            </w:r>
            <w:r>
              <w:rPr>
                <w:rFonts w:hint="eastAsia" w:cs="Times New Roman"/>
                <w:color w:val="000000" w:themeColor="text1"/>
                <w:szCs w:val="21"/>
                <w:highlight w:val="none"/>
                <w:lang w:eastAsia="zh-CN"/>
                <w14:textFill>
                  <w14:solidFill>
                    <w14:schemeClr w14:val="tx1"/>
                  </w14:solidFill>
                </w14:textFill>
              </w:rPr>
              <w:t>；</w:t>
            </w:r>
          </w:p>
        </w:tc>
      </w:tr>
      <w:tr w14:paraId="5C5733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noWrap w:val="0"/>
            <w:vAlign w:val="center"/>
          </w:tcPr>
          <w:p w14:paraId="3A256C9B">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声环境</w:t>
            </w:r>
          </w:p>
        </w:tc>
        <w:tc>
          <w:tcPr>
            <w:tcW w:w="1755" w:type="dxa"/>
            <w:noWrap w:val="0"/>
            <w:vAlign w:val="center"/>
          </w:tcPr>
          <w:p w14:paraId="0A12C194">
            <w:pPr>
              <w:adjustRightInd w:val="0"/>
              <w:snapToGri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场界</w:t>
            </w:r>
          </w:p>
        </w:tc>
        <w:tc>
          <w:tcPr>
            <w:tcW w:w="1755" w:type="dxa"/>
            <w:noWrap w:val="0"/>
            <w:vAlign w:val="center"/>
          </w:tcPr>
          <w:p w14:paraId="26AEA386">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动物叫声等</w:t>
            </w:r>
          </w:p>
        </w:tc>
        <w:tc>
          <w:tcPr>
            <w:tcW w:w="1755" w:type="dxa"/>
            <w:noWrap w:val="0"/>
            <w:vAlign w:val="center"/>
          </w:tcPr>
          <w:p w14:paraId="428FDF72">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加强管理，避免动物乱叫</w:t>
            </w:r>
          </w:p>
        </w:tc>
        <w:tc>
          <w:tcPr>
            <w:tcW w:w="1757" w:type="dxa"/>
            <w:noWrap w:val="0"/>
            <w:vAlign w:val="center"/>
          </w:tcPr>
          <w:p w14:paraId="04A791F8">
            <w:pPr>
              <w:adjustRightInd w:val="0"/>
              <w:snapToGrid w:val="0"/>
              <w:jc w:val="center"/>
              <w:rPr>
                <w:rFonts w:hint="eastAsia"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《工业企业厂界环境噪声排放标准》</w:t>
            </w: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GB</w:t>
            </w:r>
            <w:r>
              <w:rPr>
                <w:rFonts w:hint="default" w:ascii="Times New Roman" w:hAnsi="Times New Roman" w:cs="Times New Roman"/>
                <w:color w:val="auto"/>
                <w:szCs w:val="21"/>
                <w:highlight w:val="none"/>
              </w:rPr>
              <w:t>12348-2008</w:t>
            </w:r>
            <w:r>
              <w:rPr>
                <w:rFonts w:hint="default" w:ascii="Times New Roman" w:hAnsi="Times New Roman" w:cs="Times New Roman"/>
                <w:color w:val="auto"/>
                <w:szCs w:val="21"/>
                <w:highlight w:val="none"/>
                <w:lang w:eastAsia="zh-CN"/>
              </w:rPr>
              <w:t>）</w:t>
            </w:r>
            <w:r>
              <w:rPr>
                <w:rFonts w:hint="eastAsia" w:cs="Times New Roman"/>
                <w:color w:val="auto"/>
                <w:szCs w:val="21"/>
                <w:highlight w:val="none"/>
                <w:lang w:val="en-US" w:eastAsia="zh-CN"/>
              </w:rPr>
              <w:t>2</w:t>
            </w:r>
            <w:r>
              <w:rPr>
                <w:rFonts w:hint="default" w:ascii="Times New Roman" w:hAnsi="Times New Roman" w:cs="Times New Roman"/>
                <w:color w:val="auto"/>
                <w:szCs w:val="21"/>
                <w:highlight w:val="none"/>
              </w:rPr>
              <w:t>类</w:t>
            </w:r>
            <w:r>
              <w:rPr>
                <w:rFonts w:hint="eastAsia" w:cs="Times New Roman"/>
                <w:color w:val="auto"/>
                <w:szCs w:val="21"/>
                <w:highlight w:val="none"/>
                <w:lang w:eastAsia="zh-CN"/>
              </w:rPr>
              <w:t>、</w:t>
            </w:r>
            <w:r>
              <w:rPr>
                <w:rFonts w:hint="eastAsia" w:cs="Times New Roman"/>
                <w:color w:val="auto"/>
                <w:szCs w:val="21"/>
                <w:highlight w:val="none"/>
                <w:lang w:val="en-US" w:eastAsia="zh-CN"/>
              </w:rPr>
              <w:t>4类</w:t>
            </w:r>
            <w:r>
              <w:rPr>
                <w:rFonts w:hint="default" w:ascii="Times New Roman" w:hAnsi="Times New Roman" w:cs="Times New Roman"/>
                <w:color w:val="auto"/>
                <w:szCs w:val="21"/>
                <w:highlight w:val="none"/>
              </w:rPr>
              <w:t>标准</w:t>
            </w:r>
          </w:p>
        </w:tc>
      </w:tr>
      <w:tr w14:paraId="1C799F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noWrap w:val="0"/>
            <w:vAlign w:val="center"/>
          </w:tcPr>
          <w:p w14:paraId="01C8057B">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电磁辐射</w:t>
            </w:r>
          </w:p>
        </w:tc>
        <w:tc>
          <w:tcPr>
            <w:tcW w:w="1755" w:type="dxa"/>
            <w:noWrap w:val="0"/>
            <w:vAlign w:val="center"/>
          </w:tcPr>
          <w:p w14:paraId="6C63479F">
            <w:pPr>
              <w:adjustRightInd w:val="0"/>
              <w:snapToGri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w:t>
            </w:r>
          </w:p>
        </w:tc>
        <w:tc>
          <w:tcPr>
            <w:tcW w:w="1755" w:type="dxa"/>
            <w:noWrap w:val="0"/>
            <w:vAlign w:val="center"/>
          </w:tcPr>
          <w:p w14:paraId="5FCE6813">
            <w:pPr>
              <w:adjustRightInd w:val="0"/>
              <w:snapToGri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w:t>
            </w:r>
          </w:p>
        </w:tc>
        <w:tc>
          <w:tcPr>
            <w:tcW w:w="1755" w:type="dxa"/>
            <w:noWrap w:val="0"/>
            <w:vAlign w:val="center"/>
          </w:tcPr>
          <w:p w14:paraId="4CABE080">
            <w:pPr>
              <w:adjustRightInd w:val="0"/>
              <w:snapToGri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w:t>
            </w:r>
          </w:p>
        </w:tc>
        <w:tc>
          <w:tcPr>
            <w:tcW w:w="1757" w:type="dxa"/>
            <w:noWrap w:val="0"/>
            <w:vAlign w:val="center"/>
          </w:tcPr>
          <w:p w14:paraId="6372526F">
            <w:pPr>
              <w:adjustRightInd w:val="0"/>
              <w:snapToGri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w:t>
            </w:r>
          </w:p>
        </w:tc>
      </w:tr>
      <w:tr w14:paraId="62D6B4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778" w:type="dxa"/>
            <w:noWrap w:val="0"/>
            <w:vAlign w:val="center"/>
          </w:tcPr>
          <w:p w14:paraId="1C299F70">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固体废物</w:t>
            </w:r>
          </w:p>
        </w:tc>
        <w:tc>
          <w:tcPr>
            <w:tcW w:w="7022" w:type="dxa"/>
            <w:gridSpan w:val="4"/>
            <w:noWrap w:val="0"/>
            <w:vAlign w:val="center"/>
          </w:tcPr>
          <w:p w14:paraId="6354CA38">
            <w:pPr>
              <w:adjustRightInd w:val="0"/>
              <w:snapToGri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猫住院、诊疗产生的猫砂及犬住院、门诊产生的动物粪污经消毒后交市政环卫部门处置</w:t>
            </w:r>
            <w:r>
              <w:rPr>
                <w:rFonts w:hint="eastAsia" w:cs="Times New Roman"/>
                <w:color w:val="000000" w:themeColor="text1"/>
                <w:szCs w:val="21"/>
                <w:highlight w:val="none"/>
                <w:lang w:val="en-US" w:eastAsia="zh-CN"/>
                <w14:textFill>
                  <w14:solidFill>
                    <w14:schemeClr w14:val="tx1"/>
                  </w14:solidFill>
                </w14:textFill>
              </w:rPr>
              <w:t>；</w:t>
            </w:r>
            <w:r>
              <w:rPr>
                <w:rFonts w:hint="eastAsia" w:ascii="Times New Roman" w:hAnsi="Times New Roman" w:cs="Times New Roman"/>
                <w:color w:val="000000" w:themeColor="text1"/>
                <w:szCs w:val="21"/>
                <w:highlight w:val="none"/>
                <w:lang w:val="en-US" w:eastAsia="zh-CN"/>
                <w14:textFill>
                  <w14:solidFill>
                    <w14:schemeClr w14:val="tx1"/>
                  </w14:solidFill>
                </w14:textFill>
              </w:rPr>
              <w:t>动物毛发</w:t>
            </w:r>
            <w:r>
              <w:rPr>
                <w:rFonts w:hint="default" w:ascii="Times New Roman" w:hAnsi="Times New Roman" w:cs="Times New Roman"/>
                <w:color w:val="000000" w:themeColor="text1"/>
                <w:szCs w:val="21"/>
                <w:highlight w:val="none"/>
                <w:lang w:val="en-US" w:eastAsia="zh-CN"/>
                <w14:textFill>
                  <w14:solidFill>
                    <w14:schemeClr w14:val="tx1"/>
                  </w14:solidFill>
                </w14:textFill>
              </w:rPr>
              <w:t>交市政环卫部门</w:t>
            </w:r>
            <w:r>
              <w:rPr>
                <w:rFonts w:hint="eastAsia" w:cs="Times New Roman"/>
                <w:color w:val="000000" w:themeColor="text1"/>
                <w:szCs w:val="21"/>
                <w:highlight w:val="none"/>
                <w:lang w:val="en-US" w:eastAsia="zh-CN"/>
                <w14:textFill>
                  <w14:solidFill>
                    <w14:schemeClr w14:val="tx1"/>
                  </w14:solidFill>
                </w14:textFill>
              </w:rPr>
              <w:t>；</w:t>
            </w:r>
            <w:r>
              <w:rPr>
                <w:rFonts w:hint="default" w:ascii="Times New Roman" w:hAnsi="Times New Roman" w:cs="Times New Roman"/>
                <w:color w:val="000000" w:themeColor="text1"/>
                <w:szCs w:val="21"/>
                <w:highlight w:val="none"/>
                <w:lang w:val="en-US" w:eastAsia="zh-CN"/>
                <w14:textFill>
                  <w14:solidFill>
                    <w14:schemeClr w14:val="tx1"/>
                  </w14:solidFill>
                </w14:textFill>
              </w:rPr>
              <w:t>动物尸体交由有资质单位进行无害化处理</w:t>
            </w:r>
            <w:r>
              <w:rPr>
                <w:rFonts w:hint="eastAsia" w:cs="Times New Roman"/>
                <w:color w:val="000000" w:themeColor="text1"/>
                <w:szCs w:val="21"/>
                <w:highlight w:val="none"/>
                <w:lang w:val="en-US" w:eastAsia="zh-CN"/>
                <w14:textFill>
                  <w14:solidFill>
                    <w14:schemeClr w14:val="tx1"/>
                  </w14:solidFill>
                </w14:textFill>
              </w:rPr>
              <w:t>；</w:t>
            </w:r>
            <w:r>
              <w:rPr>
                <w:rFonts w:hint="default" w:ascii="Times New Roman" w:hAnsi="Times New Roman" w:cs="Times New Roman"/>
                <w:color w:val="000000" w:themeColor="text1"/>
                <w:szCs w:val="21"/>
                <w:highlight w:val="none"/>
                <w:lang w:val="en-US" w:eastAsia="zh-CN"/>
                <w14:textFill>
                  <w14:solidFill>
                    <w14:schemeClr w14:val="tx1"/>
                  </w14:solidFill>
                </w14:textFill>
              </w:rPr>
              <w:t>废紫外线灯管定期交有资质单位处置</w:t>
            </w:r>
            <w:r>
              <w:rPr>
                <w:rFonts w:hint="eastAsia" w:cs="Times New Roman"/>
                <w:color w:val="000000" w:themeColor="text1"/>
                <w:szCs w:val="21"/>
                <w:highlight w:val="none"/>
                <w:lang w:val="en-US" w:eastAsia="zh-CN"/>
                <w14:textFill>
                  <w14:solidFill>
                    <w14:schemeClr w14:val="tx1"/>
                  </w14:solidFill>
                </w14:textFill>
              </w:rPr>
              <w:t>；</w:t>
            </w:r>
            <w:r>
              <w:rPr>
                <w:rFonts w:hint="default" w:ascii="Times New Roman" w:hAnsi="Times New Roman" w:cs="Times New Roman"/>
                <w:color w:val="000000" w:themeColor="text1"/>
                <w:szCs w:val="21"/>
                <w:highlight w:val="none"/>
                <w:lang w:val="en-US" w:eastAsia="zh-CN"/>
                <w14:textFill>
                  <w14:solidFill>
                    <w14:schemeClr w14:val="tx1"/>
                  </w14:solidFill>
                </w14:textFill>
              </w:rPr>
              <w:t>医疗废物交有资质单位处置。生活垃圾经垃圾桶分类收集后交由环卫部门统一清运处理。</w:t>
            </w:r>
          </w:p>
        </w:tc>
      </w:tr>
      <w:tr w14:paraId="3B262D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778" w:type="dxa"/>
            <w:noWrap w:val="0"/>
            <w:vAlign w:val="center"/>
          </w:tcPr>
          <w:p w14:paraId="13CFB73D">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土壤及地下水</w:t>
            </w:r>
          </w:p>
          <w:p w14:paraId="6BCCCAA7">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污染防治措施</w:t>
            </w:r>
          </w:p>
        </w:tc>
        <w:tc>
          <w:tcPr>
            <w:tcW w:w="7022" w:type="dxa"/>
            <w:gridSpan w:val="4"/>
            <w:noWrap w:val="0"/>
            <w:vAlign w:val="center"/>
          </w:tcPr>
          <w:p w14:paraId="2ED4CD0C">
            <w:pPr>
              <w:adjustRightInd w:val="0"/>
              <w:snapToGri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w:t>
            </w:r>
          </w:p>
        </w:tc>
      </w:tr>
      <w:tr w14:paraId="5ED344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778" w:type="dxa"/>
            <w:noWrap w:val="0"/>
            <w:vAlign w:val="center"/>
          </w:tcPr>
          <w:p w14:paraId="4AD37C47">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生态保护措施</w:t>
            </w:r>
          </w:p>
        </w:tc>
        <w:tc>
          <w:tcPr>
            <w:tcW w:w="7022" w:type="dxa"/>
            <w:gridSpan w:val="4"/>
            <w:noWrap w:val="0"/>
            <w:vAlign w:val="center"/>
          </w:tcPr>
          <w:p w14:paraId="2CA4FCC0">
            <w:pPr>
              <w:adjustRightInd w:val="0"/>
              <w:snapToGri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w:t>
            </w:r>
          </w:p>
        </w:tc>
      </w:tr>
      <w:tr w14:paraId="2B0F66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778" w:type="dxa"/>
            <w:noWrap w:val="0"/>
            <w:vAlign w:val="center"/>
          </w:tcPr>
          <w:p w14:paraId="4C5E6305">
            <w:pPr>
              <w:adjustRightInd w:val="0"/>
              <w:snapToGrid w:val="0"/>
              <w:jc w:val="center"/>
              <w:rPr>
                <w:rFonts w:hint="default" w:ascii="Times New Roman" w:hAnsi="Times New Roman" w:cs="Times New Roman"/>
                <w:color w:val="000000" w:themeColor="text1"/>
                <w:spacing w:val="-8"/>
                <w:szCs w:val="21"/>
                <w:highlight w:val="none"/>
                <w14:textFill>
                  <w14:solidFill>
                    <w14:schemeClr w14:val="tx1"/>
                  </w14:solidFill>
                </w14:textFill>
              </w:rPr>
            </w:pPr>
            <w:r>
              <w:rPr>
                <w:rFonts w:hint="default" w:ascii="Times New Roman" w:hAnsi="Times New Roman" w:cs="Times New Roman"/>
                <w:color w:val="000000" w:themeColor="text1"/>
                <w:spacing w:val="-8"/>
                <w:szCs w:val="21"/>
                <w:highlight w:val="none"/>
                <w14:textFill>
                  <w14:solidFill>
                    <w14:schemeClr w14:val="tx1"/>
                  </w14:solidFill>
                </w14:textFill>
              </w:rPr>
              <w:t>环境风险</w:t>
            </w:r>
          </w:p>
          <w:p w14:paraId="5F5402D6">
            <w:pPr>
              <w:adjustRightInd w:val="0"/>
              <w:snapToGrid w:val="0"/>
              <w:jc w:val="center"/>
              <w:rPr>
                <w:rFonts w:hint="default" w:ascii="Times New Roman" w:hAnsi="Times New Roman" w:cs="Times New Roman"/>
                <w:color w:val="000000" w:themeColor="text1"/>
                <w:spacing w:val="-8"/>
                <w:szCs w:val="21"/>
                <w:highlight w:val="none"/>
                <w14:textFill>
                  <w14:solidFill>
                    <w14:schemeClr w14:val="tx1"/>
                  </w14:solidFill>
                </w14:textFill>
              </w:rPr>
            </w:pPr>
            <w:r>
              <w:rPr>
                <w:rFonts w:hint="default" w:ascii="Times New Roman" w:hAnsi="Times New Roman" w:cs="Times New Roman"/>
                <w:color w:val="000000" w:themeColor="text1"/>
                <w:spacing w:val="-8"/>
                <w:szCs w:val="21"/>
                <w:highlight w:val="none"/>
                <w14:textFill>
                  <w14:solidFill>
                    <w14:schemeClr w14:val="tx1"/>
                  </w14:solidFill>
                </w14:textFill>
              </w:rPr>
              <w:t>防范措施</w:t>
            </w:r>
          </w:p>
        </w:tc>
        <w:tc>
          <w:tcPr>
            <w:tcW w:w="7022" w:type="dxa"/>
            <w:gridSpan w:val="4"/>
            <w:noWrap w:val="0"/>
            <w:vAlign w:val="center"/>
          </w:tcPr>
          <w:p w14:paraId="2F77C404">
            <w:pPr>
              <w:adjustRightInd w:val="0"/>
              <w:snapToGrid w:val="0"/>
              <w:jc w:val="lef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项目潜在环境事故为医疗废物泄漏、医疗废水未消毒排放、动物疫情风险等。应加强医院管理，搞好劳动保护，落实设备、管件的维修管理工作，采取积极的风险防范措施以及应急体系，降低事故发生的概率，设置应急桶。评价认为只要采取适当的防范措施，在事故发生时采取正确的风险防范措施，项目造成的风险是可控制的。</w:t>
            </w:r>
          </w:p>
        </w:tc>
      </w:tr>
      <w:tr w14:paraId="6E840E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778" w:type="dxa"/>
            <w:noWrap w:val="0"/>
            <w:vAlign w:val="center"/>
          </w:tcPr>
          <w:p w14:paraId="0B372343">
            <w:pPr>
              <w:adjustRightInd w:val="0"/>
              <w:snapToGrid w:val="0"/>
              <w:jc w:val="center"/>
              <w:rPr>
                <w:rFonts w:hint="default" w:ascii="Times New Roman" w:hAnsi="Times New Roman" w:cs="Times New Roman"/>
                <w:color w:val="000000" w:themeColor="text1"/>
                <w:spacing w:val="-8"/>
                <w:szCs w:val="21"/>
                <w:highlight w:val="none"/>
                <w14:textFill>
                  <w14:solidFill>
                    <w14:schemeClr w14:val="tx1"/>
                  </w14:solidFill>
                </w14:textFill>
              </w:rPr>
            </w:pPr>
            <w:r>
              <w:rPr>
                <w:rFonts w:hint="default" w:ascii="Times New Roman" w:hAnsi="Times New Roman" w:cs="Times New Roman"/>
                <w:color w:val="000000" w:themeColor="text1"/>
                <w:spacing w:val="-8"/>
                <w:szCs w:val="21"/>
                <w:highlight w:val="none"/>
                <w14:textFill>
                  <w14:solidFill>
                    <w14:schemeClr w14:val="tx1"/>
                  </w14:solidFill>
                </w14:textFill>
              </w:rPr>
              <w:t>其他环境</w:t>
            </w:r>
          </w:p>
          <w:p w14:paraId="30D1DE97">
            <w:pPr>
              <w:adjustRightInd w:val="0"/>
              <w:snapToGrid w:val="0"/>
              <w:jc w:val="center"/>
              <w:rPr>
                <w:rFonts w:hint="default" w:ascii="Times New Roman" w:hAnsi="Times New Roman" w:cs="Times New Roman"/>
                <w:color w:val="000000" w:themeColor="text1"/>
                <w:spacing w:val="-8"/>
                <w:szCs w:val="21"/>
                <w:highlight w:val="none"/>
                <w14:textFill>
                  <w14:solidFill>
                    <w14:schemeClr w14:val="tx1"/>
                  </w14:solidFill>
                </w14:textFill>
              </w:rPr>
            </w:pPr>
            <w:r>
              <w:rPr>
                <w:rFonts w:hint="default" w:ascii="Times New Roman" w:hAnsi="Times New Roman" w:cs="Times New Roman"/>
                <w:color w:val="000000" w:themeColor="text1"/>
                <w:spacing w:val="-8"/>
                <w:szCs w:val="21"/>
                <w:highlight w:val="none"/>
                <w14:textFill>
                  <w14:solidFill>
                    <w14:schemeClr w14:val="tx1"/>
                  </w14:solidFill>
                </w14:textFill>
              </w:rPr>
              <w:t>管理要求</w:t>
            </w:r>
          </w:p>
        </w:tc>
        <w:tc>
          <w:tcPr>
            <w:tcW w:w="7022" w:type="dxa"/>
            <w:gridSpan w:val="4"/>
            <w:noWrap w:val="0"/>
            <w:vAlign w:val="center"/>
          </w:tcPr>
          <w:p w14:paraId="79643B48">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lang w:val="en-US" w:eastAsia="zh-CN"/>
                <w14:textFill>
                  <w14:solidFill>
                    <w14:schemeClr w14:val="tx1"/>
                  </w14:solidFill>
                </w14:textFill>
              </w:rPr>
              <w:t>1</w:t>
            </w: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环境管理</w:t>
            </w:r>
          </w:p>
          <w:p w14:paraId="74782C15">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为保证项目建设的社会经济效益与环境效益相协调，实现可持续发展的目标，应加强对工程的环境管理工作，由建设单位安排专人负责项目日常的环境管理工作，配合环境保护行政主管部门做好施工期和营运期的环保工作。其主要职责是</w:t>
            </w:r>
            <w:r>
              <w:rPr>
                <w:rFonts w:hint="default" w:ascii="Times New Roman" w:hAnsi="Times New Roman" w:cs="Times New Roman"/>
                <w:color w:val="000000" w:themeColor="text1"/>
                <w:szCs w:val="21"/>
                <w:highlight w:val="none"/>
                <w:lang w:eastAsia="zh-CN"/>
                <w14:textFill>
                  <w14:solidFill>
                    <w14:schemeClr w14:val="tx1"/>
                  </w14:solidFill>
                </w14:textFill>
              </w:rPr>
              <w:t>：</w:t>
            </w:r>
          </w:p>
          <w:p w14:paraId="3DE82079">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①执行国家及地方的环保方针、政策和有关法律、法规，协助制订与实施项目环境保护计划，配合有关部门审查落实项目设计中的环保设施设计内容及项目环保设施的竣工验收。</w:t>
            </w:r>
          </w:p>
          <w:p w14:paraId="563F19DC">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②在项目建设过程中，负责项目的环境监理，监督检查施工期环保设施落实和运行情况。落实好施工期环保措施，做到不破坏环境、不扰民。</w:t>
            </w:r>
          </w:p>
          <w:p w14:paraId="03EAD1B5">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③根据地方环保部门提出的环境质量要求，制定项目环境管理条例，对因项目引发或增加的环境污染进行严格控制，并提出改善环境质量的措施和计划。</w:t>
            </w:r>
          </w:p>
          <w:p w14:paraId="3DBF79B2">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④做好危险废物管理台账等记录。</w:t>
            </w:r>
          </w:p>
          <w:p w14:paraId="57302153">
            <w:pPr>
              <w:keepNext w:val="0"/>
              <w:keepLines w:val="0"/>
              <w:pageBreakBefore w:val="0"/>
              <w:widowControl w:val="0"/>
              <w:numPr>
                <w:ilvl w:val="0"/>
                <w:numId w:val="8"/>
              </w:numPr>
              <w:kinsoku/>
              <w:wordWrap/>
              <w:overflowPunct/>
              <w:topLinePunct w:val="0"/>
              <w:autoSpaceDE/>
              <w:autoSpaceDN/>
              <w:bidi w:val="0"/>
              <w:adjustRightInd w:val="0"/>
              <w:snapToGrid w:val="0"/>
              <w:ind w:firstLine="420" w:firstLineChars="200"/>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验收管理要求</w:t>
            </w:r>
          </w:p>
          <w:p w14:paraId="7D24F02B">
            <w:pPr>
              <w:keepNext w:val="0"/>
              <w:keepLines w:val="0"/>
              <w:pageBreakBefore w:val="0"/>
              <w:widowControl w:val="0"/>
              <w:numPr>
                <w:ilvl w:val="0"/>
                <w:numId w:val="0"/>
              </w:numPr>
              <w:kinsoku/>
              <w:wordWrap/>
              <w:overflowPunct/>
              <w:topLinePunct w:val="0"/>
              <w:autoSpaceDE/>
              <w:autoSpaceDN/>
              <w:bidi w:val="0"/>
              <w:adjustRightInd w:val="0"/>
              <w:snapToGrid w:val="0"/>
              <w:ind w:firstLine="420" w:firstLineChars="200"/>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依据《建设项目竣工环境保护验收暂行办法》文件要求。</w:t>
            </w:r>
          </w:p>
          <w:p w14:paraId="1CC73F66">
            <w:pPr>
              <w:keepNext w:val="0"/>
              <w:keepLines w:val="0"/>
              <w:pageBreakBefore w:val="0"/>
              <w:widowControl w:val="0"/>
              <w:numPr>
                <w:ilvl w:val="0"/>
                <w:numId w:val="0"/>
              </w:numPr>
              <w:kinsoku/>
              <w:wordWrap/>
              <w:overflowPunct/>
              <w:topLinePunct w:val="0"/>
              <w:autoSpaceDE/>
              <w:autoSpaceDN/>
              <w:bidi w:val="0"/>
              <w:adjustRightInd w:val="0"/>
              <w:snapToGrid w:val="0"/>
              <w:ind w:firstLine="420" w:firstLineChars="200"/>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验收时间</w:t>
            </w: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项目竣工后</w:t>
            </w:r>
          </w:p>
          <w:p w14:paraId="180078DB">
            <w:pPr>
              <w:keepNext w:val="0"/>
              <w:keepLines w:val="0"/>
              <w:pageBreakBefore w:val="0"/>
              <w:widowControl w:val="0"/>
              <w:numPr>
                <w:ilvl w:val="0"/>
                <w:numId w:val="0"/>
              </w:numPr>
              <w:kinsoku/>
              <w:wordWrap/>
              <w:overflowPunct/>
              <w:topLinePunct w:val="0"/>
              <w:autoSpaceDE/>
              <w:autoSpaceDN/>
              <w:bidi w:val="0"/>
              <w:adjustRightInd w:val="0"/>
              <w:snapToGrid w:val="0"/>
              <w:ind w:firstLine="420" w:firstLineChars="200"/>
              <w:textAlignment w:val="auto"/>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验收内容</w:t>
            </w:r>
            <w:r>
              <w:rPr>
                <w:rFonts w:hint="default" w:ascii="Times New Roman" w:hAnsi="Times New Roman" w:cs="Times New Roman"/>
                <w:color w:val="000000" w:themeColor="text1"/>
                <w:szCs w:val="21"/>
                <w:highlight w:val="none"/>
                <w:lang w:eastAsia="zh-CN"/>
                <w14:textFill>
                  <w14:solidFill>
                    <w14:schemeClr w14:val="tx1"/>
                  </w14:solidFill>
                </w14:textFill>
              </w:rPr>
              <w:t>：</w:t>
            </w:r>
          </w:p>
          <w:p w14:paraId="3E358F6D">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lang w:val="en-US" w:eastAsia="zh-CN"/>
                <w14:textFill>
                  <w14:solidFill>
                    <w14:schemeClr w14:val="tx1"/>
                  </w14:solidFill>
                </w14:textFill>
              </w:rPr>
              <w:t>1</w:t>
            </w: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建设单位应当如实查验、监测、记载建设项目环境保护设施的建设和调试情况，参照《建设项目竣工环境保护验收技术指南污染影响类》</w:t>
            </w: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公告 2018 年第9号</w:t>
            </w: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编制验收监测报告。</w:t>
            </w:r>
          </w:p>
          <w:p w14:paraId="2EF1453D">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lang w:val="en-US" w:eastAsia="zh-CN"/>
                <w14:textFill>
                  <w14:solidFill>
                    <w14:schemeClr w14:val="tx1"/>
                  </w14:solidFill>
                </w14:textFill>
              </w:rPr>
              <w:t>2</w:t>
            </w: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在全国建设项目环境影响评价管理信息平台进行自主验收公示。</w:t>
            </w:r>
          </w:p>
        </w:tc>
      </w:tr>
    </w:tbl>
    <w:p w14:paraId="695933C0">
      <w:pPr>
        <w:pStyle w:val="16"/>
        <w:jc w:val="center"/>
        <w:outlineLvl w:val="0"/>
        <w:rPr>
          <w:rFonts w:hint="default" w:ascii="Times New Roman" w:hAnsi="Times New Roman" w:cs="Times New Roman"/>
          <w:snapToGrid w:val="0"/>
          <w:color w:val="FF0000"/>
          <w:highlight w:val="none"/>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087B728B">
      <w:pPr>
        <w:pStyle w:val="16"/>
        <w:jc w:val="center"/>
        <w:outlineLvl w:val="0"/>
        <w:rPr>
          <w:rFonts w:hint="default" w:ascii="Times New Roman" w:hAnsi="Times New Roman" w:eastAsia="黑体" w:cs="Times New Roman"/>
          <w:snapToGrid w:val="0"/>
          <w:color w:val="000000" w:themeColor="text1"/>
          <w:sz w:val="30"/>
          <w:szCs w:val="30"/>
          <w:highlight w:val="none"/>
          <w14:textFill>
            <w14:solidFill>
              <w14:schemeClr w14:val="tx1"/>
            </w14:solidFill>
          </w14:textFill>
        </w:rPr>
      </w:pPr>
      <w:r>
        <w:rPr>
          <w:rFonts w:hint="default" w:ascii="Times New Roman" w:hAnsi="Times New Roman" w:eastAsia="黑体" w:cs="Times New Roman"/>
          <w:snapToGrid w:val="0"/>
          <w:color w:val="000000" w:themeColor="text1"/>
          <w:sz w:val="30"/>
          <w:szCs w:val="30"/>
          <w:highlight w:val="none"/>
          <w14:textFill>
            <w14:solidFill>
              <w14:schemeClr w14:val="tx1"/>
            </w14:solidFill>
          </w14:textFill>
        </w:rPr>
        <w:t>六、结论</w:t>
      </w:r>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273E9B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14:paraId="44B29DA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FF0000"/>
                <w:sz w:val="24"/>
                <w:highlight w:val="none"/>
              </w:rPr>
            </w:pPr>
            <w:r>
              <w:rPr>
                <w:rFonts w:hint="eastAsia" w:cs="Times New Roman"/>
                <w:b w:val="0"/>
                <w:bCs/>
                <w:color w:val="000000" w:themeColor="text1"/>
                <w:sz w:val="24"/>
                <w:szCs w:val="24"/>
                <w:highlight w:val="none"/>
                <w:lang w:val="en-US" w:eastAsia="zh-CN"/>
                <w14:textFill>
                  <w14:solidFill>
                    <w14:schemeClr w14:val="tx1"/>
                  </w14:solidFill>
                </w14:textFill>
              </w:rPr>
              <w:t>九龙坡区渝爱动物医院店</w:t>
            </w:r>
            <w:r>
              <w:rPr>
                <w:rFonts w:hint="eastAsia" w:cs="Times New Roman"/>
                <w:b w:val="0"/>
                <w:bCs/>
                <w:color w:val="auto"/>
                <w:sz w:val="24"/>
                <w:szCs w:val="24"/>
                <w:highlight w:val="none"/>
                <w:lang w:val="en-US" w:eastAsia="zh-CN"/>
              </w:rPr>
              <w:t>（个体工商户）</w:t>
            </w:r>
            <w:r>
              <w:rPr>
                <w:rFonts w:hint="eastAsia" w:cs="Times New Roman"/>
                <w:b w:val="0"/>
                <w:bCs/>
                <w:color w:val="000000" w:themeColor="text1"/>
                <w:sz w:val="24"/>
                <w:szCs w:val="24"/>
                <w:highlight w:val="none"/>
                <w:lang w:val="en-US" w:eastAsia="zh-CN"/>
                <w14:textFill>
                  <w14:solidFill>
                    <w14:schemeClr w14:val="tx1"/>
                  </w14:solidFill>
                </w14:textFill>
              </w:rPr>
              <w:t>渝爱动物医院建设项目</w:t>
            </w:r>
            <w:r>
              <w:rPr>
                <w:rFonts w:hint="default" w:ascii="Times New Roman" w:hAnsi="Times New Roman" w:cs="Times New Roman"/>
                <w:color w:val="000000" w:themeColor="text1"/>
                <w:sz w:val="24"/>
                <w:highlight w:val="none"/>
                <w14:textFill>
                  <w14:solidFill>
                    <w14:schemeClr w14:val="tx1"/>
                  </w14:solidFill>
                </w14:textFill>
              </w:rPr>
              <w:t>符合国家及地方相关政策要求，其建设过程和营运期产生的各类污染物在采取污染防治措施后可得到有效的控制，外排污染物对环境影响小，能为环境所接受。从环境保护角度，建设项目环境影响可行。</w:t>
            </w:r>
          </w:p>
        </w:tc>
      </w:tr>
    </w:tbl>
    <w:p w14:paraId="76664F46">
      <w:pPr>
        <w:rPr>
          <w:rFonts w:hint="default" w:ascii="Times New Roman" w:hAnsi="Times New Roman" w:cs="Times New Roman"/>
          <w:color w:val="FF0000"/>
          <w:highlight w:val="none"/>
        </w:rPr>
        <w:sectPr>
          <w:footerReference r:id="rId10" w:type="default"/>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681FBB6F">
      <w:pPr>
        <w:pStyle w:val="16"/>
        <w:adjustRightInd w:val="0"/>
        <w:snapToGrid w:val="0"/>
        <w:spacing w:before="0" w:beforeAutospacing="0" w:after="0" w:afterAutospacing="0" w:line="240" w:lineRule="auto"/>
        <w:outlineLvl w:val="0"/>
        <w:rPr>
          <w:rFonts w:hint="default" w:ascii="Times New Roman" w:hAnsi="Times New Roman" w:eastAsia="黑体" w:cs="Times New Roman"/>
          <w:snapToGrid w:val="0"/>
          <w:color w:val="000000" w:themeColor="text1"/>
          <w:sz w:val="32"/>
          <w:szCs w:val="32"/>
          <w:highlight w:val="none"/>
          <w14:textFill>
            <w14:solidFill>
              <w14:schemeClr w14:val="tx1"/>
            </w14:solidFill>
          </w14:textFill>
        </w:rPr>
      </w:pPr>
      <w:r>
        <w:rPr>
          <w:rFonts w:hint="default" w:ascii="Times New Roman" w:hAnsi="Times New Roman" w:eastAsia="黑体" w:cs="Times New Roman"/>
          <w:snapToGrid w:val="0"/>
          <w:color w:val="000000" w:themeColor="text1"/>
          <w:sz w:val="32"/>
          <w:szCs w:val="32"/>
          <w:highlight w:val="none"/>
          <w14:textFill>
            <w14:solidFill>
              <w14:schemeClr w14:val="tx1"/>
            </w14:solidFill>
          </w14:textFill>
        </w:rPr>
        <w:t>附表</w:t>
      </w:r>
    </w:p>
    <w:p w14:paraId="7BC2FF54">
      <w:pPr>
        <w:bidi w:val="0"/>
        <w:jc w:val="center"/>
        <w:rPr>
          <w:rFonts w:hint="default"/>
          <w:b/>
          <w:bCs/>
          <w:sz w:val="30"/>
          <w:szCs w:val="30"/>
        </w:rPr>
      </w:pPr>
      <w:r>
        <w:rPr>
          <w:rFonts w:hint="default"/>
          <w:b/>
          <w:bCs/>
          <w:sz w:val="30"/>
          <w:szCs w:val="30"/>
        </w:rPr>
        <w:t>建设项目污染物排放量汇总表</w:t>
      </w:r>
    </w:p>
    <w:tbl>
      <w:tblPr>
        <w:tblStyle w:val="20"/>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02"/>
        <w:gridCol w:w="86"/>
        <w:gridCol w:w="1417"/>
        <w:gridCol w:w="1701"/>
        <w:gridCol w:w="1276"/>
        <w:gridCol w:w="1701"/>
        <w:gridCol w:w="1559"/>
        <w:gridCol w:w="1761"/>
        <w:gridCol w:w="1959"/>
        <w:gridCol w:w="826"/>
      </w:tblGrid>
      <w:tr w14:paraId="2ACF1D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8" w:type="dxa"/>
            <w:gridSpan w:val="2"/>
            <w:tcBorders>
              <w:tl2br w:val="single" w:color="auto" w:sz="4" w:space="0"/>
            </w:tcBorders>
            <w:noWrap w:val="0"/>
            <w:tcMar>
              <w:left w:w="28" w:type="dxa"/>
              <w:right w:w="28" w:type="dxa"/>
            </w:tcMar>
            <w:vAlign w:val="center"/>
          </w:tcPr>
          <w:p w14:paraId="6A028594">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990" w:firstLineChars="500"/>
              <w:jc w:val="both"/>
              <w:textAlignment w:val="auto"/>
              <w:rPr>
                <w:rFonts w:hint="default" w:ascii="Times New Roman" w:hAnsi="Times New Roman" w:eastAsia="黑体" w:cs="Times New Roman"/>
                <w:snapToGrid w:val="0"/>
                <w:color w:val="000000" w:themeColor="text1"/>
                <w:spacing w:val="-6"/>
                <w:kern w:val="21"/>
                <w:szCs w:val="21"/>
                <w:highlight w:val="none"/>
                <w14:textFill>
                  <w14:solidFill>
                    <w14:schemeClr w14:val="tx1"/>
                  </w14:solidFill>
                </w14:textFill>
              </w:rPr>
            </w:pPr>
            <w:r>
              <w:rPr>
                <w:rFonts w:hint="default" w:ascii="Times New Roman" w:hAnsi="Times New Roman" w:eastAsia="黑体" w:cs="Times New Roman"/>
                <w:snapToGrid w:val="0"/>
                <w:color w:val="000000" w:themeColor="text1"/>
                <w:spacing w:val="-6"/>
                <w:kern w:val="21"/>
                <w:szCs w:val="21"/>
                <w:highlight w:val="none"/>
                <w14:textFill>
                  <w14:solidFill>
                    <w14:schemeClr w14:val="tx1"/>
                  </w14:solidFill>
                </w14:textFill>
              </w:rPr>
              <w:t>项目</w:t>
            </w:r>
          </w:p>
          <w:p w14:paraId="1910DD12">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both"/>
              <w:textAlignment w:val="auto"/>
              <w:rPr>
                <w:rFonts w:hint="default" w:ascii="Times New Roman" w:hAnsi="Times New Roman" w:eastAsia="黑体" w:cs="Times New Roman"/>
                <w:snapToGrid w:val="0"/>
                <w:color w:val="000000" w:themeColor="text1"/>
                <w:spacing w:val="-6"/>
                <w:kern w:val="21"/>
                <w:szCs w:val="21"/>
                <w:highlight w:val="none"/>
                <w14:textFill>
                  <w14:solidFill>
                    <w14:schemeClr w14:val="tx1"/>
                  </w14:solidFill>
                </w14:textFill>
              </w:rPr>
            </w:pPr>
            <w:r>
              <w:rPr>
                <w:rFonts w:hint="default" w:ascii="Times New Roman" w:hAnsi="Times New Roman" w:eastAsia="黑体" w:cs="Times New Roman"/>
                <w:snapToGrid w:val="0"/>
                <w:color w:val="000000" w:themeColor="text1"/>
                <w:spacing w:val="-6"/>
                <w:kern w:val="21"/>
                <w:szCs w:val="21"/>
                <w:highlight w:val="none"/>
                <w14:textFill>
                  <w14:solidFill>
                    <w14:schemeClr w14:val="tx1"/>
                  </w14:solidFill>
                </w14:textFill>
              </w:rPr>
              <w:t>分类</w:t>
            </w:r>
          </w:p>
        </w:tc>
        <w:tc>
          <w:tcPr>
            <w:tcW w:w="1417" w:type="dxa"/>
            <w:noWrap w:val="0"/>
            <w:tcMar>
              <w:left w:w="28" w:type="dxa"/>
              <w:right w:w="28" w:type="dxa"/>
            </w:tcMar>
            <w:vAlign w:val="center"/>
          </w:tcPr>
          <w:p w14:paraId="1E66D3F5">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eastAsia="黑体" w:cs="Times New Roman"/>
                <w:snapToGrid w:val="0"/>
                <w:color w:val="000000" w:themeColor="text1"/>
                <w:spacing w:val="-6"/>
                <w:kern w:val="21"/>
                <w:szCs w:val="21"/>
                <w:highlight w:val="none"/>
                <w14:textFill>
                  <w14:solidFill>
                    <w14:schemeClr w14:val="tx1"/>
                  </w14:solidFill>
                </w14:textFill>
              </w:rPr>
            </w:pPr>
            <w:r>
              <w:rPr>
                <w:rFonts w:hint="default" w:ascii="Times New Roman" w:hAnsi="Times New Roman" w:eastAsia="黑体" w:cs="Times New Roman"/>
                <w:snapToGrid w:val="0"/>
                <w:color w:val="000000" w:themeColor="text1"/>
                <w:spacing w:val="-6"/>
                <w:kern w:val="21"/>
                <w:szCs w:val="21"/>
                <w:highlight w:val="none"/>
                <w14:textFill>
                  <w14:solidFill>
                    <w14:schemeClr w14:val="tx1"/>
                  </w14:solidFill>
                </w14:textFill>
              </w:rPr>
              <w:t>污染物</w:t>
            </w:r>
            <w:r>
              <w:rPr>
                <w:rFonts w:hint="eastAsia" w:ascii="Times New Roman" w:eastAsia="黑体" w:cs="Times New Roman"/>
                <w:snapToGrid w:val="0"/>
                <w:color w:val="000000" w:themeColor="text1"/>
                <w:spacing w:val="-6"/>
                <w:kern w:val="21"/>
                <w:szCs w:val="21"/>
                <w:highlight w:val="none"/>
                <w:lang w:val="en-US" w:eastAsia="zh-CN"/>
                <w14:textFill>
                  <w14:solidFill>
                    <w14:schemeClr w14:val="tx1"/>
                  </w14:solidFill>
                </w14:textFill>
              </w:rPr>
              <w:t>名</w:t>
            </w:r>
            <w:r>
              <w:rPr>
                <w:rFonts w:hint="default" w:ascii="Times New Roman" w:hAnsi="Times New Roman" w:eastAsia="黑体" w:cs="Times New Roman"/>
                <w:snapToGrid w:val="0"/>
                <w:color w:val="000000" w:themeColor="text1"/>
                <w:spacing w:val="-6"/>
                <w:kern w:val="21"/>
                <w:szCs w:val="21"/>
                <w:highlight w:val="none"/>
                <w14:textFill>
                  <w14:solidFill>
                    <w14:schemeClr w14:val="tx1"/>
                  </w14:solidFill>
                </w14:textFill>
              </w:rPr>
              <w:t>称</w:t>
            </w:r>
          </w:p>
        </w:tc>
        <w:tc>
          <w:tcPr>
            <w:tcW w:w="1701" w:type="dxa"/>
            <w:noWrap w:val="0"/>
            <w:tcMar>
              <w:left w:w="28" w:type="dxa"/>
              <w:right w:w="28" w:type="dxa"/>
            </w:tcMar>
            <w:vAlign w:val="center"/>
          </w:tcPr>
          <w:p w14:paraId="75421150">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eastAsia="黑体" w:cs="Times New Roman"/>
                <w:snapToGrid w:val="0"/>
                <w:color w:val="000000" w:themeColor="text1"/>
                <w:spacing w:val="-6"/>
                <w:kern w:val="21"/>
                <w:szCs w:val="21"/>
                <w:highlight w:val="none"/>
                <w14:textFill>
                  <w14:solidFill>
                    <w14:schemeClr w14:val="tx1"/>
                  </w14:solidFill>
                </w14:textFill>
              </w:rPr>
            </w:pPr>
            <w:r>
              <w:rPr>
                <w:rFonts w:hint="default" w:ascii="Times New Roman" w:hAnsi="Times New Roman" w:eastAsia="黑体" w:cs="Times New Roman"/>
                <w:snapToGrid w:val="0"/>
                <w:color w:val="000000" w:themeColor="text1"/>
                <w:spacing w:val="-6"/>
                <w:kern w:val="21"/>
                <w:szCs w:val="21"/>
                <w:highlight w:val="none"/>
                <w14:textFill>
                  <w14:solidFill>
                    <w14:schemeClr w14:val="tx1"/>
                  </w14:solidFill>
                </w14:textFill>
              </w:rPr>
              <w:t>现有工程</w:t>
            </w:r>
          </w:p>
          <w:p w14:paraId="16E2546E">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eastAsia="黑体" w:cs="Times New Roman"/>
                <w:snapToGrid w:val="0"/>
                <w:color w:val="000000" w:themeColor="text1"/>
                <w:spacing w:val="-6"/>
                <w:kern w:val="21"/>
                <w:szCs w:val="21"/>
                <w:highlight w:val="none"/>
                <w14:textFill>
                  <w14:solidFill>
                    <w14:schemeClr w14:val="tx1"/>
                  </w14:solidFill>
                </w14:textFill>
              </w:rPr>
            </w:pPr>
            <w:r>
              <w:rPr>
                <w:rFonts w:hint="default" w:ascii="Times New Roman" w:hAnsi="Times New Roman" w:eastAsia="黑体" w:cs="Times New Roman"/>
                <w:snapToGrid w:val="0"/>
                <w:color w:val="000000" w:themeColor="text1"/>
                <w:spacing w:val="-6"/>
                <w:kern w:val="21"/>
                <w:szCs w:val="21"/>
                <w:highlight w:val="none"/>
                <w14:textFill>
                  <w14:solidFill>
                    <w14:schemeClr w14:val="tx1"/>
                  </w14:solidFill>
                </w14:textFill>
              </w:rPr>
              <w:t>排放量（固体废物产生量）</w:t>
            </w:r>
            <w:r>
              <w:rPr>
                <w:rFonts w:hint="default" w:ascii="Times New Roman" w:hAnsi="Times New Roman" w:eastAsia="黑体" w:cs="Times New Roman"/>
                <w:snapToGrid w:val="0"/>
                <w:color w:val="000000" w:themeColor="text1"/>
                <w:spacing w:val="-6"/>
                <w:kern w:val="21"/>
                <w:szCs w:val="21"/>
                <w:highlight w:val="none"/>
                <w14:textFill>
                  <w14:solidFill>
                    <w14:schemeClr w14:val="tx1"/>
                  </w14:solidFill>
                </w14:textFill>
              </w:rPr>
              <w:fldChar w:fldCharType="begin"/>
            </w:r>
            <w:r>
              <w:rPr>
                <w:rFonts w:hint="default" w:ascii="Times New Roman" w:hAnsi="Times New Roman" w:eastAsia="黑体" w:cs="Times New Roman"/>
                <w:snapToGrid w:val="0"/>
                <w:color w:val="000000" w:themeColor="text1"/>
                <w:spacing w:val="-6"/>
                <w:kern w:val="21"/>
                <w:szCs w:val="21"/>
                <w:highlight w:val="none"/>
                <w14:textFill>
                  <w14:solidFill>
                    <w14:schemeClr w14:val="tx1"/>
                  </w14:solidFill>
                </w14:textFill>
              </w:rPr>
              <w:instrText xml:space="preserve"> = 1 \* GB3 \* MERGEFORMAT </w:instrText>
            </w:r>
            <w:r>
              <w:rPr>
                <w:rFonts w:hint="default" w:ascii="Times New Roman" w:hAnsi="Times New Roman" w:eastAsia="黑体" w:cs="Times New Roman"/>
                <w:snapToGrid w:val="0"/>
                <w:color w:val="000000" w:themeColor="text1"/>
                <w:spacing w:val="-6"/>
                <w:kern w:val="21"/>
                <w:szCs w:val="21"/>
                <w:highlight w:val="none"/>
                <w14:textFill>
                  <w14:solidFill>
                    <w14:schemeClr w14:val="tx1"/>
                  </w14:solidFill>
                </w14:textFill>
              </w:rPr>
              <w:fldChar w:fldCharType="separate"/>
            </w:r>
            <w:r>
              <w:rPr>
                <w:rFonts w:hint="default" w:ascii="Times New Roman" w:hAnsi="Times New Roman" w:eastAsia="黑体" w:cs="Times New Roman"/>
                <w:color w:val="000000" w:themeColor="text1"/>
                <w:kern w:val="2"/>
                <w:szCs w:val="21"/>
                <w:highlight w:val="none"/>
                <w14:textFill>
                  <w14:solidFill>
                    <w14:schemeClr w14:val="tx1"/>
                  </w14:solidFill>
                </w14:textFill>
              </w:rPr>
              <w:t>①</w:t>
            </w:r>
            <w:r>
              <w:rPr>
                <w:rFonts w:hint="default" w:ascii="Times New Roman" w:hAnsi="Times New Roman" w:eastAsia="黑体" w:cs="Times New Roman"/>
                <w:snapToGrid w:val="0"/>
                <w:color w:val="000000" w:themeColor="text1"/>
                <w:spacing w:val="-6"/>
                <w:kern w:val="21"/>
                <w:szCs w:val="21"/>
                <w:highlight w:val="none"/>
                <w14:textFill>
                  <w14:solidFill>
                    <w14:schemeClr w14:val="tx1"/>
                  </w14:solidFill>
                </w14:textFill>
              </w:rPr>
              <w:fldChar w:fldCharType="end"/>
            </w:r>
          </w:p>
        </w:tc>
        <w:tc>
          <w:tcPr>
            <w:tcW w:w="1276" w:type="dxa"/>
            <w:noWrap w:val="0"/>
            <w:tcMar>
              <w:left w:w="28" w:type="dxa"/>
              <w:right w:w="28" w:type="dxa"/>
            </w:tcMar>
            <w:vAlign w:val="center"/>
          </w:tcPr>
          <w:p w14:paraId="33C5C98F">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eastAsia="黑体" w:cs="Times New Roman"/>
                <w:snapToGrid w:val="0"/>
                <w:color w:val="000000" w:themeColor="text1"/>
                <w:spacing w:val="-6"/>
                <w:kern w:val="21"/>
                <w:szCs w:val="21"/>
                <w:highlight w:val="none"/>
                <w14:textFill>
                  <w14:solidFill>
                    <w14:schemeClr w14:val="tx1"/>
                  </w14:solidFill>
                </w14:textFill>
              </w:rPr>
            </w:pPr>
            <w:r>
              <w:rPr>
                <w:rFonts w:hint="default" w:ascii="Times New Roman" w:hAnsi="Times New Roman" w:eastAsia="黑体" w:cs="Times New Roman"/>
                <w:snapToGrid w:val="0"/>
                <w:color w:val="000000" w:themeColor="text1"/>
                <w:spacing w:val="-6"/>
                <w:kern w:val="21"/>
                <w:szCs w:val="21"/>
                <w:highlight w:val="none"/>
                <w14:textFill>
                  <w14:solidFill>
                    <w14:schemeClr w14:val="tx1"/>
                  </w14:solidFill>
                </w14:textFill>
              </w:rPr>
              <w:t>现有工程</w:t>
            </w:r>
          </w:p>
          <w:p w14:paraId="497A792C">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eastAsia="黑体" w:cs="Times New Roman"/>
                <w:snapToGrid w:val="0"/>
                <w:color w:val="000000" w:themeColor="text1"/>
                <w:spacing w:val="-6"/>
                <w:kern w:val="21"/>
                <w:szCs w:val="21"/>
                <w:highlight w:val="none"/>
                <w14:textFill>
                  <w14:solidFill>
                    <w14:schemeClr w14:val="tx1"/>
                  </w14:solidFill>
                </w14:textFill>
              </w:rPr>
            </w:pPr>
            <w:r>
              <w:rPr>
                <w:rFonts w:hint="default" w:ascii="Times New Roman" w:hAnsi="Times New Roman" w:eastAsia="黑体" w:cs="Times New Roman"/>
                <w:snapToGrid w:val="0"/>
                <w:color w:val="000000" w:themeColor="text1"/>
                <w:spacing w:val="-6"/>
                <w:kern w:val="21"/>
                <w:szCs w:val="21"/>
                <w:highlight w:val="none"/>
                <w14:textFill>
                  <w14:solidFill>
                    <w14:schemeClr w14:val="tx1"/>
                  </w14:solidFill>
                </w14:textFill>
              </w:rPr>
              <w:t>许可排放量</w:t>
            </w:r>
          </w:p>
          <w:p w14:paraId="63376A68">
            <w:pPr>
              <w:pStyle w:val="41"/>
              <w:keepNext w:val="0"/>
              <w:keepLines w:val="0"/>
              <w:pageBreakBefore w:val="0"/>
              <w:widowControl w:val="0"/>
              <w:kinsoku/>
              <w:wordWrap/>
              <w:overflowPunct/>
              <w:topLinePunct w:val="0"/>
              <w:autoSpaceDE/>
              <w:autoSpaceDN/>
              <w:bidi w:val="0"/>
              <w:adjustRightInd w:val="0"/>
              <w:snapToGrid w:val="0"/>
              <w:spacing w:beforeLines="0" w:afterLines="0"/>
              <w:ind w:leftChars="0"/>
              <w:jc w:val="center"/>
              <w:textAlignment w:val="auto"/>
              <w:rPr>
                <w:rFonts w:hint="default" w:ascii="Times New Roman" w:hAnsi="Times New Roman" w:eastAsia="黑体" w:cs="Times New Roman"/>
                <w:snapToGrid w:val="0"/>
                <w:color w:val="000000" w:themeColor="text1"/>
                <w:spacing w:val="-6"/>
                <w:kern w:val="21"/>
                <w:szCs w:val="21"/>
                <w:highlight w:val="none"/>
                <w14:textFill>
                  <w14:solidFill>
                    <w14:schemeClr w14:val="tx1"/>
                  </w14:solidFill>
                </w14:textFill>
              </w:rPr>
            </w:pPr>
            <w:r>
              <w:rPr>
                <w:rFonts w:hint="default" w:ascii="Times New Roman" w:hAnsi="Times New Roman" w:eastAsia="黑体" w:cs="Times New Roman"/>
                <w:snapToGrid w:val="0"/>
                <w:color w:val="000000" w:themeColor="text1"/>
                <w:spacing w:val="-6"/>
                <w:kern w:val="21"/>
                <w:szCs w:val="21"/>
                <w:highlight w:val="none"/>
                <w14:textFill>
                  <w14:solidFill>
                    <w14:schemeClr w14:val="tx1"/>
                  </w14:solidFill>
                </w14:textFill>
              </w:rPr>
              <w:fldChar w:fldCharType="begin"/>
            </w:r>
            <w:r>
              <w:rPr>
                <w:rFonts w:hint="default" w:ascii="Times New Roman" w:hAnsi="Times New Roman" w:eastAsia="黑体" w:cs="Times New Roman"/>
                <w:snapToGrid w:val="0"/>
                <w:color w:val="000000" w:themeColor="text1"/>
                <w:spacing w:val="-6"/>
                <w:kern w:val="21"/>
                <w:szCs w:val="21"/>
                <w:highlight w:val="none"/>
                <w14:textFill>
                  <w14:solidFill>
                    <w14:schemeClr w14:val="tx1"/>
                  </w14:solidFill>
                </w14:textFill>
              </w:rPr>
              <w:instrText xml:space="preserve"> = 2 \* GB3 \* MERGEFORMAT </w:instrText>
            </w:r>
            <w:r>
              <w:rPr>
                <w:rFonts w:hint="default" w:ascii="Times New Roman" w:hAnsi="Times New Roman" w:eastAsia="黑体" w:cs="Times New Roman"/>
                <w:snapToGrid w:val="0"/>
                <w:color w:val="000000" w:themeColor="text1"/>
                <w:spacing w:val="-6"/>
                <w:kern w:val="21"/>
                <w:szCs w:val="21"/>
                <w:highlight w:val="none"/>
                <w14:textFill>
                  <w14:solidFill>
                    <w14:schemeClr w14:val="tx1"/>
                  </w14:solidFill>
                </w14:textFill>
              </w:rPr>
              <w:fldChar w:fldCharType="separate"/>
            </w:r>
            <w:r>
              <w:rPr>
                <w:rFonts w:hint="default" w:ascii="Times New Roman" w:hAnsi="Times New Roman" w:eastAsia="黑体" w:cs="Times New Roman"/>
                <w:snapToGrid w:val="0"/>
                <w:color w:val="000000" w:themeColor="text1"/>
                <w:spacing w:val="-6"/>
                <w:kern w:val="21"/>
                <w:szCs w:val="21"/>
                <w:highlight w:val="none"/>
                <w14:textFill>
                  <w14:solidFill>
                    <w14:schemeClr w14:val="tx1"/>
                  </w14:solidFill>
                </w14:textFill>
              </w:rPr>
              <w:t>②</w:t>
            </w:r>
            <w:r>
              <w:rPr>
                <w:rFonts w:hint="default" w:ascii="Times New Roman" w:hAnsi="Times New Roman" w:eastAsia="黑体" w:cs="Times New Roman"/>
                <w:snapToGrid w:val="0"/>
                <w:color w:val="000000" w:themeColor="text1"/>
                <w:spacing w:val="-6"/>
                <w:kern w:val="21"/>
                <w:szCs w:val="21"/>
                <w:highlight w:val="none"/>
                <w14:textFill>
                  <w14:solidFill>
                    <w14:schemeClr w14:val="tx1"/>
                  </w14:solidFill>
                </w14:textFill>
              </w:rPr>
              <w:fldChar w:fldCharType="end"/>
            </w:r>
          </w:p>
        </w:tc>
        <w:tc>
          <w:tcPr>
            <w:tcW w:w="1701" w:type="dxa"/>
            <w:noWrap w:val="0"/>
            <w:tcMar>
              <w:left w:w="28" w:type="dxa"/>
              <w:right w:w="28" w:type="dxa"/>
            </w:tcMar>
            <w:vAlign w:val="center"/>
          </w:tcPr>
          <w:p w14:paraId="02AC23AD">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eastAsia="黑体" w:cs="Times New Roman"/>
                <w:snapToGrid w:val="0"/>
                <w:color w:val="000000" w:themeColor="text1"/>
                <w:spacing w:val="-6"/>
                <w:kern w:val="21"/>
                <w:szCs w:val="21"/>
                <w:highlight w:val="none"/>
                <w14:textFill>
                  <w14:solidFill>
                    <w14:schemeClr w14:val="tx1"/>
                  </w14:solidFill>
                </w14:textFill>
              </w:rPr>
            </w:pPr>
            <w:r>
              <w:rPr>
                <w:rFonts w:hint="default" w:ascii="Times New Roman" w:hAnsi="Times New Roman" w:eastAsia="黑体" w:cs="Times New Roman"/>
                <w:snapToGrid w:val="0"/>
                <w:color w:val="000000" w:themeColor="text1"/>
                <w:spacing w:val="-6"/>
                <w:kern w:val="21"/>
                <w:szCs w:val="21"/>
                <w:highlight w:val="none"/>
                <w14:textFill>
                  <w14:solidFill>
                    <w14:schemeClr w14:val="tx1"/>
                  </w14:solidFill>
                </w14:textFill>
              </w:rPr>
              <w:t>在建工程</w:t>
            </w:r>
          </w:p>
          <w:p w14:paraId="4B9EFE16">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eastAsia="黑体" w:cs="Times New Roman"/>
                <w:snapToGrid w:val="0"/>
                <w:color w:val="000000" w:themeColor="text1"/>
                <w:spacing w:val="-6"/>
                <w:kern w:val="21"/>
                <w:szCs w:val="21"/>
                <w:highlight w:val="none"/>
                <w14:textFill>
                  <w14:solidFill>
                    <w14:schemeClr w14:val="tx1"/>
                  </w14:solidFill>
                </w14:textFill>
              </w:rPr>
            </w:pPr>
            <w:r>
              <w:rPr>
                <w:rFonts w:hint="default" w:ascii="Times New Roman" w:hAnsi="Times New Roman" w:eastAsia="黑体" w:cs="Times New Roman"/>
                <w:snapToGrid w:val="0"/>
                <w:color w:val="000000" w:themeColor="text1"/>
                <w:spacing w:val="-6"/>
                <w:kern w:val="21"/>
                <w:szCs w:val="21"/>
                <w:highlight w:val="none"/>
                <w14:textFill>
                  <w14:solidFill>
                    <w14:schemeClr w14:val="tx1"/>
                  </w14:solidFill>
                </w14:textFill>
              </w:rPr>
              <w:t>排放量（固体废物产生量）</w:t>
            </w:r>
            <w:r>
              <w:rPr>
                <w:rFonts w:hint="default" w:ascii="Times New Roman" w:hAnsi="Times New Roman" w:eastAsia="黑体" w:cs="Times New Roman"/>
                <w:snapToGrid w:val="0"/>
                <w:color w:val="000000" w:themeColor="text1"/>
                <w:spacing w:val="-6"/>
                <w:kern w:val="21"/>
                <w:szCs w:val="21"/>
                <w:highlight w:val="none"/>
                <w14:textFill>
                  <w14:solidFill>
                    <w14:schemeClr w14:val="tx1"/>
                  </w14:solidFill>
                </w14:textFill>
              </w:rPr>
              <w:fldChar w:fldCharType="begin"/>
            </w:r>
            <w:r>
              <w:rPr>
                <w:rFonts w:hint="default" w:ascii="Times New Roman" w:hAnsi="Times New Roman" w:eastAsia="黑体" w:cs="Times New Roman"/>
                <w:snapToGrid w:val="0"/>
                <w:color w:val="000000" w:themeColor="text1"/>
                <w:spacing w:val="-6"/>
                <w:kern w:val="21"/>
                <w:szCs w:val="21"/>
                <w:highlight w:val="none"/>
                <w14:textFill>
                  <w14:solidFill>
                    <w14:schemeClr w14:val="tx1"/>
                  </w14:solidFill>
                </w14:textFill>
              </w:rPr>
              <w:instrText xml:space="preserve"> = 3 \* GB3 \* MERGEFORMAT </w:instrText>
            </w:r>
            <w:r>
              <w:rPr>
                <w:rFonts w:hint="default" w:ascii="Times New Roman" w:hAnsi="Times New Roman" w:eastAsia="黑体" w:cs="Times New Roman"/>
                <w:snapToGrid w:val="0"/>
                <w:color w:val="000000" w:themeColor="text1"/>
                <w:spacing w:val="-6"/>
                <w:kern w:val="21"/>
                <w:szCs w:val="21"/>
                <w:highlight w:val="none"/>
                <w14:textFill>
                  <w14:solidFill>
                    <w14:schemeClr w14:val="tx1"/>
                  </w14:solidFill>
                </w14:textFill>
              </w:rPr>
              <w:fldChar w:fldCharType="separate"/>
            </w:r>
            <w:r>
              <w:rPr>
                <w:rFonts w:hint="default" w:ascii="Times New Roman" w:hAnsi="Times New Roman" w:eastAsia="黑体" w:cs="Times New Roman"/>
                <w:color w:val="000000" w:themeColor="text1"/>
                <w:kern w:val="2"/>
                <w:szCs w:val="21"/>
                <w:highlight w:val="none"/>
                <w14:textFill>
                  <w14:solidFill>
                    <w14:schemeClr w14:val="tx1"/>
                  </w14:solidFill>
                </w14:textFill>
              </w:rPr>
              <w:t>③</w:t>
            </w:r>
            <w:r>
              <w:rPr>
                <w:rFonts w:hint="default" w:ascii="Times New Roman" w:hAnsi="Times New Roman" w:eastAsia="黑体" w:cs="Times New Roman"/>
                <w:snapToGrid w:val="0"/>
                <w:color w:val="000000" w:themeColor="text1"/>
                <w:spacing w:val="-6"/>
                <w:kern w:val="21"/>
                <w:szCs w:val="21"/>
                <w:highlight w:val="none"/>
                <w14:textFill>
                  <w14:solidFill>
                    <w14:schemeClr w14:val="tx1"/>
                  </w14:solidFill>
                </w14:textFill>
              </w:rPr>
              <w:fldChar w:fldCharType="end"/>
            </w:r>
          </w:p>
        </w:tc>
        <w:tc>
          <w:tcPr>
            <w:tcW w:w="1559" w:type="dxa"/>
            <w:noWrap w:val="0"/>
            <w:tcMar>
              <w:left w:w="28" w:type="dxa"/>
              <w:right w:w="28" w:type="dxa"/>
            </w:tcMar>
            <w:vAlign w:val="center"/>
          </w:tcPr>
          <w:p w14:paraId="5BD10814">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eastAsia="黑体" w:cs="Times New Roman"/>
                <w:snapToGrid w:val="0"/>
                <w:color w:val="000000" w:themeColor="text1"/>
                <w:spacing w:val="-6"/>
                <w:kern w:val="21"/>
                <w:szCs w:val="21"/>
                <w:highlight w:val="none"/>
                <w14:textFill>
                  <w14:solidFill>
                    <w14:schemeClr w14:val="tx1"/>
                  </w14:solidFill>
                </w14:textFill>
              </w:rPr>
            </w:pPr>
            <w:r>
              <w:rPr>
                <w:rFonts w:hint="default" w:ascii="Times New Roman" w:hAnsi="Times New Roman" w:eastAsia="黑体" w:cs="Times New Roman"/>
                <w:snapToGrid w:val="0"/>
                <w:color w:val="000000" w:themeColor="text1"/>
                <w:spacing w:val="-6"/>
                <w:kern w:val="21"/>
                <w:szCs w:val="21"/>
                <w:highlight w:val="none"/>
                <w14:textFill>
                  <w14:solidFill>
                    <w14:schemeClr w14:val="tx1"/>
                  </w14:solidFill>
                </w14:textFill>
              </w:rPr>
              <w:t>本项目</w:t>
            </w:r>
          </w:p>
          <w:p w14:paraId="13EF4F27">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eastAsia="黑体" w:cs="Times New Roman"/>
                <w:snapToGrid w:val="0"/>
                <w:color w:val="000000" w:themeColor="text1"/>
                <w:spacing w:val="-6"/>
                <w:kern w:val="21"/>
                <w:szCs w:val="21"/>
                <w:highlight w:val="none"/>
                <w14:textFill>
                  <w14:solidFill>
                    <w14:schemeClr w14:val="tx1"/>
                  </w14:solidFill>
                </w14:textFill>
              </w:rPr>
            </w:pPr>
            <w:r>
              <w:rPr>
                <w:rFonts w:hint="default" w:ascii="Times New Roman" w:hAnsi="Times New Roman" w:eastAsia="黑体" w:cs="Times New Roman"/>
                <w:snapToGrid w:val="0"/>
                <w:color w:val="000000" w:themeColor="text1"/>
                <w:spacing w:val="-6"/>
                <w:kern w:val="21"/>
                <w:szCs w:val="21"/>
                <w:highlight w:val="none"/>
                <w14:textFill>
                  <w14:solidFill>
                    <w14:schemeClr w14:val="tx1"/>
                  </w14:solidFill>
                </w14:textFill>
              </w:rPr>
              <w:t>排放量（固体废物产生量）</w:t>
            </w:r>
            <w:r>
              <w:rPr>
                <w:rFonts w:hint="default" w:ascii="Times New Roman" w:hAnsi="Times New Roman" w:eastAsia="黑体" w:cs="Times New Roman"/>
                <w:snapToGrid w:val="0"/>
                <w:color w:val="000000" w:themeColor="text1"/>
                <w:spacing w:val="-6"/>
                <w:kern w:val="21"/>
                <w:szCs w:val="21"/>
                <w:highlight w:val="none"/>
                <w14:textFill>
                  <w14:solidFill>
                    <w14:schemeClr w14:val="tx1"/>
                  </w14:solidFill>
                </w14:textFill>
              </w:rPr>
              <w:fldChar w:fldCharType="begin"/>
            </w:r>
            <w:r>
              <w:rPr>
                <w:rFonts w:hint="default" w:ascii="Times New Roman" w:hAnsi="Times New Roman" w:eastAsia="黑体" w:cs="Times New Roman"/>
                <w:snapToGrid w:val="0"/>
                <w:color w:val="000000" w:themeColor="text1"/>
                <w:spacing w:val="-6"/>
                <w:kern w:val="21"/>
                <w:szCs w:val="21"/>
                <w:highlight w:val="none"/>
                <w14:textFill>
                  <w14:solidFill>
                    <w14:schemeClr w14:val="tx1"/>
                  </w14:solidFill>
                </w14:textFill>
              </w:rPr>
              <w:instrText xml:space="preserve"> = 4 \* GB3 \* MERGEFORMAT </w:instrText>
            </w:r>
            <w:r>
              <w:rPr>
                <w:rFonts w:hint="default" w:ascii="Times New Roman" w:hAnsi="Times New Roman" w:eastAsia="黑体" w:cs="Times New Roman"/>
                <w:snapToGrid w:val="0"/>
                <w:color w:val="000000" w:themeColor="text1"/>
                <w:spacing w:val="-6"/>
                <w:kern w:val="21"/>
                <w:szCs w:val="21"/>
                <w:highlight w:val="none"/>
                <w14:textFill>
                  <w14:solidFill>
                    <w14:schemeClr w14:val="tx1"/>
                  </w14:solidFill>
                </w14:textFill>
              </w:rPr>
              <w:fldChar w:fldCharType="separate"/>
            </w:r>
            <w:r>
              <w:rPr>
                <w:rFonts w:hint="default" w:ascii="Times New Roman" w:hAnsi="Times New Roman" w:eastAsia="黑体" w:cs="Times New Roman"/>
                <w:color w:val="000000" w:themeColor="text1"/>
                <w:kern w:val="2"/>
                <w:szCs w:val="21"/>
                <w:highlight w:val="none"/>
                <w14:textFill>
                  <w14:solidFill>
                    <w14:schemeClr w14:val="tx1"/>
                  </w14:solidFill>
                </w14:textFill>
              </w:rPr>
              <w:t>④</w:t>
            </w:r>
            <w:r>
              <w:rPr>
                <w:rFonts w:hint="default" w:ascii="Times New Roman" w:hAnsi="Times New Roman" w:eastAsia="黑体" w:cs="Times New Roman"/>
                <w:snapToGrid w:val="0"/>
                <w:color w:val="000000" w:themeColor="text1"/>
                <w:spacing w:val="-6"/>
                <w:kern w:val="21"/>
                <w:szCs w:val="21"/>
                <w:highlight w:val="none"/>
                <w14:textFill>
                  <w14:solidFill>
                    <w14:schemeClr w14:val="tx1"/>
                  </w14:solidFill>
                </w14:textFill>
              </w:rPr>
              <w:fldChar w:fldCharType="end"/>
            </w:r>
          </w:p>
        </w:tc>
        <w:tc>
          <w:tcPr>
            <w:tcW w:w="1761" w:type="dxa"/>
            <w:noWrap w:val="0"/>
            <w:tcMar>
              <w:left w:w="28" w:type="dxa"/>
              <w:right w:w="28" w:type="dxa"/>
            </w:tcMar>
            <w:vAlign w:val="center"/>
          </w:tcPr>
          <w:p w14:paraId="7872AB61">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eastAsia="黑体" w:cs="Times New Roman"/>
                <w:snapToGrid w:val="0"/>
                <w:color w:val="000000" w:themeColor="text1"/>
                <w:spacing w:val="-16"/>
                <w:kern w:val="21"/>
                <w:szCs w:val="21"/>
                <w:highlight w:val="none"/>
                <w14:textFill>
                  <w14:solidFill>
                    <w14:schemeClr w14:val="tx1"/>
                  </w14:solidFill>
                </w14:textFill>
              </w:rPr>
            </w:pPr>
            <w:r>
              <w:rPr>
                <w:rFonts w:hint="default" w:ascii="Times New Roman" w:hAnsi="Times New Roman" w:eastAsia="黑体" w:cs="Times New Roman"/>
                <w:snapToGrid w:val="0"/>
                <w:color w:val="000000" w:themeColor="text1"/>
                <w:spacing w:val="-16"/>
                <w:kern w:val="21"/>
                <w:szCs w:val="21"/>
                <w:highlight w:val="none"/>
                <w14:textFill>
                  <w14:solidFill>
                    <w14:schemeClr w14:val="tx1"/>
                  </w14:solidFill>
                </w14:textFill>
              </w:rPr>
              <w:t>以新带老削减量</w:t>
            </w:r>
          </w:p>
          <w:p w14:paraId="7D35F30A">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eastAsia="黑体" w:cs="Times New Roman"/>
                <w:snapToGrid w:val="0"/>
                <w:color w:val="000000" w:themeColor="text1"/>
                <w:spacing w:val="-16"/>
                <w:kern w:val="21"/>
                <w:szCs w:val="21"/>
                <w:highlight w:val="none"/>
                <w14:textFill>
                  <w14:solidFill>
                    <w14:schemeClr w14:val="tx1"/>
                  </w14:solidFill>
                </w14:textFill>
              </w:rPr>
            </w:pPr>
            <w:r>
              <w:rPr>
                <w:rFonts w:hint="default" w:ascii="Times New Roman" w:hAnsi="Times New Roman" w:eastAsia="黑体" w:cs="Times New Roman"/>
                <w:snapToGrid w:val="0"/>
                <w:color w:val="000000" w:themeColor="text1"/>
                <w:spacing w:val="-16"/>
                <w:kern w:val="21"/>
                <w:szCs w:val="21"/>
                <w:highlight w:val="none"/>
                <w14:textFill>
                  <w14:solidFill>
                    <w14:schemeClr w14:val="tx1"/>
                  </w14:solidFill>
                </w14:textFill>
              </w:rPr>
              <w:t>（新建项目不填）</w:t>
            </w:r>
            <w:r>
              <w:rPr>
                <w:rFonts w:hint="default" w:ascii="Times New Roman" w:hAnsi="Times New Roman" w:eastAsia="黑体" w:cs="Times New Roman"/>
                <w:snapToGrid w:val="0"/>
                <w:color w:val="000000" w:themeColor="text1"/>
                <w:spacing w:val="-16"/>
                <w:kern w:val="21"/>
                <w:szCs w:val="21"/>
                <w:highlight w:val="none"/>
                <w14:textFill>
                  <w14:solidFill>
                    <w14:schemeClr w14:val="tx1"/>
                  </w14:solidFill>
                </w14:textFill>
              </w:rPr>
              <w:fldChar w:fldCharType="begin"/>
            </w:r>
            <w:r>
              <w:rPr>
                <w:rFonts w:hint="default" w:ascii="Times New Roman" w:hAnsi="Times New Roman" w:eastAsia="黑体" w:cs="Times New Roman"/>
                <w:snapToGrid w:val="0"/>
                <w:color w:val="000000" w:themeColor="text1"/>
                <w:spacing w:val="-16"/>
                <w:kern w:val="21"/>
                <w:szCs w:val="21"/>
                <w:highlight w:val="none"/>
                <w14:textFill>
                  <w14:solidFill>
                    <w14:schemeClr w14:val="tx1"/>
                  </w14:solidFill>
                </w14:textFill>
              </w:rPr>
              <w:instrText xml:space="preserve"> = 5 \* GB3 \* MERGEFORMAT </w:instrText>
            </w:r>
            <w:r>
              <w:rPr>
                <w:rFonts w:hint="default" w:ascii="Times New Roman" w:hAnsi="Times New Roman" w:eastAsia="黑体" w:cs="Times New Roman"/>
                <w:snapToGrid w:val="0"/>
                <w:color w:val="000000" w:themeColor="text1"/>
                <w:spacing w:val="-16"/>
                <w:kern w:val="21"/>
                <w:szCs w:val="21"/>
                <w:highlight w:val="none"/>
                <w14:textFill>
                  <w14:solidFill>
                    <w14:schemeClr w14:val="tx1"/>
                  </w14:solidFill>
                </w14:textFill>
              </w:rPr>
              <w:fldChar w:fldCharType="separate"/>
            </w:r>
            <w:r>
              <w:rPr>
                <w:rFonts w:hint="default" w:ascii="Times New Roman" w:hAnsi="Times New Roman" w:eastAsia="黑体" w:cs="Times New Roman"/>
                <w:color w:val="000000" w:themeColor="text1"/>
                <w:kern w:val="2"/>
                <w:szCs w:val="21"/>
                <w:highlight w:val="none"/>
                <w14:textFill>
                  <w14:solidFill>
                    <w14:schemeClr w14:val="tx1"/>
                  </w14:solidFill>
                </w14:textFill>
              </w:rPr>
              <w:t>⑤</w:t>
            </w:r>
            <w:r>
              <w:rPr>
                <w:rFonts w:hint="default" w:ascii="Times New Roman" w:hAnsi="Times New Roman" w:eastAsia="黑体" w:cs="Times New Roman"/>
                <w:snapToGrid w:val="0"/>
                <w:color w:val="000000" w:themeColor="text1"/>
                <w:spacing w:val="-16"/>
                <w:kern w:val="21"/>
                <w:szCs w:val="21"/>
                <w:highlight w:val="none"/>
                <w14:textFill>
                  <w14:solidFill>
                    <w14:schemeClr w14:val="tx1"/>
                  </w14:solidFill>
                </w14:textFill>
              </w:rPr>
              <w:fldChar w:fldCharType="end"/>
            </w:r>
          </w:p>
        </w:tc>
        <w:tc>
          <w:tcPr>
            <w:tcW w:w="1959" w:type="dxa"/>
            <w:noWrap w:val="0"/>
            <w:tcMar>
              <w:left w:w="28" w:type="dxa"/>
              <w:right w:w="28" w:type="dxa"/>
            </w:tcMar>
            <w:vAlign w:val="center"/>
          </w:tcPr>
          <w:p w14:paraId="4B6B18E6">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eastAsia="黑体" w:cs="Times New Roman"/>
                <w:snapToGrid w:val="0"/>
                <w:color w:val="000000" w:themeColor="text1"/>
                <w:spacing w:val="-16"/>
                <w:kern w:val="21"/>
                <w:szCs w:val="21"/>
                <w:highlight w:val="none"/>
                <w14:textFill>
                  <w14:solidFill>
                    <w14:schemeClr w14:val="tx1"/>
                  </w14:solidFill>
                </w14:textFill>
              </w:rPr>
            </w:pPr>
            <w:r>
              <w:rPr>
                <w:rFonts w:hint="default" w:ascii="Times New Roman" w:hAnsi="Times New Roman" w:eastAsia="黑体" w:cs="Times New Roman"/>
                <w:snapToGrid w:val="0"/>
                <w:color w:val="000000" w:themeColor="text1"/>
                <w:spacing w:val="-16"/>
                <w:kern w:val="21"/>
                <w:szCs w:val="21"/>
                <w:highlight w:val="none"/>
                <w14:textFill>
                  <w14:solidFill>
                    <w14:schemeClr w14:val="tx1"/>
                  </w14:solidFill>
                </w14:textFill>
              </w:rPr>
              <w:t>本项目建成后</w:t>
            </w:r>
          </w:p>
          <w:p w14:paraId="4DB2C26D">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eastAsia="黑体" w:cs="Times New Roman"/>
                <w:snapToGrid w:val="0"/>
                <w:color w:val="000000" w:themeColor="text1"/>
                <w:spacing w:val="-16"/>
                <w:kern w:val="21"/>
                <w:szCs w:val="21"/>
                <w:highlight w:val="none"/>
                <w14:textFill>
                  <w14:solidFill>
                    <w14:schemeClr w14:val="tx1"/>
                  </w14:solidFill>
                </w14:textFill>
              </w:rPr>
            </w:pPr>
            <w:r>
              <w:rPr>
                <w:rFonts w:hint="default" w:ascii="Times New Roman" w:hAnsi="Times New Roman" w:eastAsia="黑体" w:cs="Times New Roman"/>
                <w:snapToGrid w:val="0"/>
                <w:color w:val="000000" w:themeColor="text1"/>
                <w:spacing w:val="-16"/>
                <w:kern w:val="21"/>
                <w:szCs w:val="21"/>
                <w:highlight w:val="none"/>
                <w14:textFill>
                  <w14:solidFill>
                    <w14:schemeClr w14:val="tx1"/>
                  </w14:solidFill>
                </w14:textFill>
              </w:rPr>
              <w:t>全厂排放量（固体废物产生量）</w:t>
            </w:r>
            <w:r>
              <w:rPr>
                <w:rFonts w:hint="default" w:ascii="Times New Roman" w:hAnsi="Times New Roman" w:eastAsia="黑体" w:cs="Times New Roman"/>
                <w:snapToGrid w:val="0"/>
                <w:color w:val="000000" w:themeColor="text1"/>
                <w:spacing w:val="-16"/>
                <w:kern w:val="21"/>
                <w:szCs w:val="21"/>
                <w:highlight w:val="none"/>
                <w14:textFill>
                  <w14:solidFill>
                    <w14:schemeClr w14:val="tx1"/>
                  </w14:solidFill>
                </w14:textFill>
              </w:rPr>
              <w:fldChar w:fldCharType="begin"/>
            </w:r>
            <w:r>
              <w:rPr>
                <w:rFonts w:hint="default" w:ascii="Times New Roman" w:hAnsi="Times New Roman" w:eastAsia="黑体" w:cs="Times New Roman"/>
                <w:snapToGrid w:val="0"/>
                <w:color w:val="000000" w:themeColor="text1"/>
                <w:spacing w:val="-16"/>
                <w:kern w:val="21"/>
                <w:szCs w:val="21"/>
                <w:highlight w:val="none"/>
                <w14:textFill>
                  <w14:solidFill>
                    <w14:schemeClr w14:val="tx1"/>
                  </w14:solidFill>
                </w14:textFill>
              </w:rPr>
              <w:instrText xml:space="preserve"> = 6 \* GB3 \* MERGEFORMAT </w:instrText>
            </w:r>
            <w:r>
              <w:rPr>
                <w:rFonts w:hint="default" w:ascii="Times New Roman" w:hAnsi="Times New Roman" w:eastAsia="黑体" w:cs="Times New Roman"/>
                <w:snapToGrid w:val="0"/>
                <w:color w:val="000000" w:themeColor="text1"/>
                <w:spacing w:val="-16"/>
                <w:kern w:val="21"/>
                <w:szCs w:val="21"/>
                <w:highlight w:val="none"/>
                <w14:textFill>
                  <w14:solidFill>
                    <w14:schemeClr w14:val="tx1"/>
                  </w14:solidFill>
                </w14:textFill>
              </w:rPr>
              <w:fldChar w:fldCharType="separate"/>
            </w:r>
            <w:r>
              <w:rPr>
                <w:rFonts w:hint="default" w:ascii="Times New Roman" w:hAnsi="Times New Roman" w:eastAsia="黑体" w:cs="Times New Roman"/>
                <w:color w:val="000000" w:themeColor="text1"/>
                <w:kern w:val="2"/>
                <w:szCs w:val="21"/>
                <w:highlight w:val="none"/>
                <w14:textFill>
                  <w14:solidFill>
                    <w14:schemeClr w14:val="tx1"/>
                  </w14:solidFill>
                </w14:textFill>
              </w:rPr>
              <w:t>⑥</w:t>
            </w:r>
            <w:r>
              <w:rPr>
                <w:rFonts w:hint="default" w:ascii="Times New Roman" w:hAnsi="Times New Roman" w:eastAsia="黑体" w:cs="Times New Roman"/>
                <w:snapToGrid w:val="0"/>
                <w:color w:val="000000" w:themeColor="text1"/>
                <w:spacing w:val="-16"/>
                <w:kern w:val="21"/>
                <w:szCs w:val="21"/>
                <w:highlight w:val="none"/>
                <w14:textFill>
                  <w14:solidFill>
                    <w14:schemeClr w14:val="tx1"/>
                  </w14:solidFill>
                </w14:textFill>
              </w:rPr>
              <w:fldChar w:fldCharType="end"/>
            </w:r>
          </w:p>
        </w:tc>
        <w:tc>
          <w:tcPr>
            <w:tcW w:w="826" w:type="dxa"/>
            <w:noWrap w:val="0"/>
            <w:tcMar>
              <w:left w:w="28" w:type="dxa"/>
              <w:right w:w="28" w:type="dxa"/>
            </w:tcMar>
            <w:vAlign w:val="center"/>
          </w:tcPr>
          <w:p w14:paraId="3291330B">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eastAsia="黑体" w:cs="Times New Roman"/>
                <w:snapToGrid w:val="0"/>
                <w:color w:val="000000" w:themeColor="text1"/>
                <w:spacing w:val="-6"/>
                <w:kern w:val="21"/>
                <w:szCs w:val="21"/>
                <w:highlight w:val="none"/>
                <w14:textFill>
                  <w14:solidFill>
                    <w14:schemeClr w14:val="tx1"/>
                  </w14:solidFill>
                </w14:textFill>
              </w:rPr>
            </w:pPr>
            <w:r>
              <w:rPr>
                <w:rFonts w:hint="default" w:ascii="Times New Roman" w:hAnsi="Times New Roman" w:eastAsia="黑体" w:cs="Times New Roman"/>
                <w:snapToGrid w:val="0"/>
                <w:color w:val="000000" w:themeColor="text1"/>
                <w:spacing w:val="-6"/>
                <w:kern w:val="21"/>
                <w:szCs w:val="21"/>
                <w:highlight w:val="none"/>
                <w14:textFill>
                  <w14:solidFill>
                    <w14:schemeClr w14:val="tx1"/>
                  </w14:solidFill>
                </w14:textFill>
              </w:rPr>
              <w:t>变化量</w:t>
            </w:r>
          </w:p>
          <w:p w14:paraId="2C4938CD">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eastAsia="黑体" w:cs="Times New Roman"/>
                <w:snapToGrid w:val="0"/>
                <w:color w:val="000000" w:themeColor="text1"/>
                <w:spacing w:val="-6"/>
                <w:kern w:val="21"/>
                <w:szCs w:val="21"/>
                <w:highlight w:val="none"/>
                <w14:textFill>
                  <w14:solidFill>
                    <w14:schemeClr w14:val="tx1"/>
                  </w14:solidFill>
                </w14:textFill>
              </w:rPr>
            </w:pPr>
            <w:r>
              <w:rPr>
                <w:rFonts w:hint="default" w:ascii="Times New Roman" w:hAnsi="Times New Roman" w:eastAsia="黑体" w:cs="Times New Roman"/>
                <w:snapToGrid w:val="0"/>
                <w:color w:val="000000" w:themeColor="text1"/>
                <w:spacing w:val="-6"/>
                <w:kern w:val="21"/>
                <w:szCs w:val="21"/>
                <w:highlight w:val="none"/>
                <w14:textFill>
                  <w14:solidFill>
                    <w14:schemeClr w14:val="tx1"/>
                  </w14:solidFill>
                </w14:textFill>
              </w:rPr>
              <w:fldChar w:fldCharType="begin"/>
            </w:r>
            <w:r>
              <w:rPr>
                <w:rFonts w:hint="default" w:ascii="Times New Roman" w:hAnsi="Times New Roman" w:eastAsia="黑体" w:cs="Times New Roman"/>
                <w:snapToGrid w:val="0"/>
                <w:color w:val="000000" w:themeColor="text1"/>
                <w:spacing w:val="-6"/>
                <w:kern w:val="21"/>
                <w:szCs w:val="21"/>
                <w:highlight w:val="none"/>
                <w14:textFill>
                  <w14:solidFill>
                    <w14:schemeClr w14:val="tx1"/>
                  </w14:solidFill>
                </w14:textFill>
              </w:rPr>
              <w:instrText xml:space="preserve"> = 7 \* GB3 \* MERGEFORMAT </w:instrText>
            </w:r>
            <w:r>
              <w:rPr>
                <w:rFonts w:hint="default" w:ascii="Times New Roman" w:hAnsi="Times New Roman" w:eastAsia="黑体" w:cs="Times New Roman"/>
                <w:snapToGrid w:val="0"/>
                <w:color w:val="000000" w:themeColor="text1"/>
                <w:spacing w:val="-6"/>
                <w:kern w:val="21"/>
                <w:szCs w:val="21"/>
                <w:highlight w:val="none"/>
                <w14:textFill>
                  <w14:solidFill>
                    <w14:schemeClr w14:val="tx1"/>
                  </w14:solidFill>
                </w14:textFill>
              </w:rPr>
              <w:fldChar w:fldCharType="separate"/>
            </w:r>
            <w:r>
              <w:rPr>
                <w:rFonts w:hint="default" w:ascii="Times New Roman" w:hAnsi="Times New Roman" w:eastAsia="黑体" w:cs="Times New Roman"/>
                <w:color w:val="000000" w:themeColor="text1"/>
                <w:kern w:val="2"/>
                <w:szCs w:val="21"/>
                <w:highlight w:val="none"/>
                <w14:textFill>
                  <w14:solidFill>
                    <w14:schemeClr w14:val="tx1"/>
                  </w14:solidFill>
                </w14:textFill>
              </w:rPr>
              <w:t>⑦</w:t>
            </w:r>
            <w:r>
              <w:rPr>
                <w:rFonts w:hint="default" w:ascii="Times New Roman" w:hAnsi="Times New Roman" w:eastAsia="黑体" w:cs="Times New Roman"/>
                <w:snapToGrid w:val="0"/>
                <w:color w:val="000000" w:themeColor="text1"/>
                <w:spacing w:val="-6"/>
                <w:kern w:val="21"/>
                <w:szCs w:val="21"/>
                <w:highlight w:val="none"/>
                <w14:textFill>
                  <w14:solidFill>
                    <w14:schemeClr w14:val="tx1"/>
                  </w14:solidFill>
                </w14:textFill>
              </w:rPr>
              <w:fldChar w:fldCharType="end"/>
            </w:r>
          </w:p>
        </w:tc>
      </w:tr>
      <w:tr w14:paraId="0B5233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gridSpan w:val="2"/>
            <w:noWrap w:val="0"/>
            <w:vAlign w:val="center"/>
          </w:tcPr>
          <w:p w14:paraId="6B7F9DF8">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Cs w:val="21"/>
                <w:highlight w:val="none"/>
                <w14:textFill>
                  <w14:solidFill>
                    <w14:schemeClr w14:val="tx1"/>
                  </w14:solidFill>
                </w14:textFill>
              </w:rPr>
              <w:t>废气</w:t>
            </w:r>
          </w:p>
        </w:tc>
        <w:tc>
          <w:tcPr>
            <w:tcW w:w="1417" w:type="dxa"/>
            <w:noWrap w:val="0"/>
            <w:vAlign w:val="center"/>
          </w:tcPr>
          <w:p w14:paraId="7B9DB33C">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t>/</w:t>
            </w:r>
          </w:p>
        </w:tc>
        <w:tc>
          <w:tcPr>
            <w:tcW w:w="1701" w:type="dxa"/>
            <w:noWrap w:val="0"/>
            <w:vAlign w:val="center"/>
          </w:tcPr>
          <w:p w14:paraId="1D11D8BD">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t>/</w:t>
            </w:r>
          </w:p>
        </w:tc>
        <w:tc>
          <w:tcPr>
            <w:tcW w:w="1276" w:type="dxa"/>
            <w:noWrap w:val="0"/>
            <w:vAlign w:val="center"/>
          </w:tcPr>
          <w:p w14:paraId="1E8EF916">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t>/</w:t>
            </w:r>
          </w:p>
        </w:tc>
        <w:tc>
          <w:tcPr>
            <w:tcW w:w="1701" w:type="dxa"/>
            <w:noWrap w:val="0"/>
            <w:vAlign w:val="center"/>
          </w:tcPr>
          <w:p w14:paraId="623B9421">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t>/</w:t>
            </w:r>
          </w:p>
        </w:tc>
        <w:tc>
          <w:tcPr>
            <w:tcW w:w="1559" w:type="dxa"/>
            <w:noWrap w:val="0"/>
            <w:vAlign w:val="center"/>
          </w:tcPr>
          <w:p w14:paraId="01547972">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t>/</w:t>
            </w:r>
          </w:p>
        </w:tc>
        <w:tc>
          <w:tcPr>
            <w:tcW w:w="1761" w:type="dxa"/>
            <w:noWrap w:val="0"/>
            <w:vAlign w:val="center"/>
          </w:tcPr>
          <w:p w14:paraId="0E20AB45">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t>/</w:t>
            </w:r>
          </w:p>
        </w:tc>
        <w:tc>
          <w:tcPr>
            <w:tcW w:w="1959" w:type="dxa"/>
            <w:noWrap w:val="0"/>
            <w:vAlign w:val="center"/>
          </w:tcPr>
          <w:p w14:paraId="64A61806">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jc w:val="center"/>
              <w:textAlignment w:val="auto"/>
              <w:rPr>
                <w:rFonts w:hint="default"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t>/</w:t>
            </w:r>
          </w:p>
        </w:tc>
        <w:tc>
          <w:tcPr>
            <w:tcW w:w="826" w:type="dxa"/>
            <w:noWrap w:val="0"/>
            <w:vAlign w:val="center"/>
          </w:tcPr>
          <w:p w14:paraId="598E30AA">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t>/</w:t>
            </w:r>
          </w:p>
        </w:tc>
      </w:tr>
      <w:tr w14:paraId="25E08D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gridSpan w:val="2"/>
            <w:vMerge w:val="restart"/>
            <w:noWrap w:val="0"/>
            <w:vAlign w:val="center"/>
          </w:tcPr>
          <w:p w14:paraId="1CDEF9A7">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Cs w:val="21"/>
                <w:highlight w:val="none"/>
                <w14:textFill>
                  <w14:solidFill>
                    <w14:schemeClr w14:val="tx1"/>
                  </w14:solidFill>
                </w14:textFill>
              </w:rPr>
              <w:t>废水</w:t>
            </w:r>
          </w:p>
        </w:tc>
        <w:tc>
          <w:tcPr>
            <w:tcW w:w="1417" w:type="dxa"/>
            <w:noWrap w:val="0"/>
            <w:vAlign w:val="center"/>
          </w:tcPr>
          <w:p w14:paraId="10541644">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t>pH</w:t>
            </w:r>
          </w:p>
        </w:tc>
        <w:tc>
          <w:tcPr>
            <w:tcW w:w="1701" w:type="dxa"/>
            <w:noWrap w:val="0"/>
            <w:vAlign w:val="center"/>
          </w:tcPr>
          <w:p w14:paraId="53AD42F8">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t>/</w:t>
            </w:r>
          </w:p>
        </w:tc>
        <w:tc>
          <w:tcPr>
            <w:tcW w:w="1276" w:type="dxa"/>
            <w:noWrap w:val="0"/>
            <w:vAlign w:val="center"/>
          </w:tcPr>
          <w:p w14:paraId="41E02411">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t>/</w:t>
            </w:r>
          </w:p>
        </w:tc>
        <w:tc>
          <w:tcPr>
            <w:tcW w:w="1701" w:type="dxa"/>
            <w:noWrap w:val="0"/>
            <w:vAlign w:val="center"/>
          </w:tcPr>
          <w:p w14:paraId="22EF1C57">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t>/</w:t>
            </w:r>
          </w:p>
        </w:tc>
        <w:tc>
          <w:tcPr>
            <w:tcW w:w="1559" w:type="dxa"/>
            <w:noWrap w:val="0"/>
            <w:vAlign w:val="center"/>
          </w:tcPr>
          <w:p w14:paraId="15CFE18D">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t>6~9</w:t>
            </w:r>
          </w:p>
        </w:tc>
        <w:tc>
          <w:tcPr>
            <w:tcW w:w="1761" w:type="dxa"/>
            <w:noWrap w:val="0"/>
            <w:vAlign w:val="center"/>
          </w:tcPr>
          <w:p w14:paraId="0A354572">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t>/</w:t>
            </w:r>
          </w:p>
        </w:tc>
        <w:tc>
          <w:tcPr>
            <w:tcW w:w="1959" w:type="dxa"/>
            <w:noWrap w:val="0"/>
            <w:vAlign w:val="center"/>
          </w:tcPr>
          <w:p w14:paraId="26021F3B">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420" w:leftChars="0" w:hanging="420" w:hangingChars="20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t>6~9</w:t>
            </w:r>
          </w:p>
        </w:tc>
        <w:tc>
          <w:tcPr>
            <w:tcW w:w="826" w:type="dxa"/>
            <w:noWrap w:val="0"/>
            <w:vAlign w:val="center"/>
          </w:tcPr>
          <w:p w14:paraId="1CFBF949">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t>/</w:t>
            </w:r>
          </w:p>
        </w:tc>
      </w:tr>
      <w:tr w14:paraId="12999B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gridSpan w:val="2"/>
            <w:vMerge w:val="continue"/>
            <w:noWrap w:val="0"/>
            <w:vAlign w:val="center"/>
          </w:tcPr>
          <w:p w14:paraId="14EFC74E">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p>
        </w:tc>
        <w:tc>
          <w:tcPr>
            <w:tcW w:w="1417" w:type="dxa"/>
            <w:noWrap w:val="0"/>
            <w:vAlign w:val="center"/>
          </w:tcPr>
          <w:p w14:paraId="6A185D52">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t>COD</w:t>
            </w:r>
          </w:p>
        </w:tc>
        <w:tc>
          <w:tcPr>
            <w:tcW w:w="1701" w:type="dxa"/>
            <w:noWrap w:val="0"/>
            <w:vAlign w:val="center"/>
          </w:tcPr>
          <w:p w14:paraId="75F67687">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t>/</w:t>
            </w:r>
          </w:p>
        </w:tc>
        <w:tc>
          <w:tcPr>
            <w:tcW w:w="1276" w:type="dxa"/>
            <w:noWrap w:val="0"/>
            <w:vAlign w:val="center"/>
          </w:tcPr>
          <w:p w14:paraId="5F143B68">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t>/</w:t>
            </w:r>
          </w:p>
        </w:tc>
        <w:tc>
          <w:tcPr>
            <w:tcW w:w="1701" w:type="dxa"/>
            <w:noWrap w:val="0"/>
            <w:vAlign w:val="center"/>
          </w:tcPr>
          <w:p w14:paraId="4BB6E5FB">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t>/</w:t>
            </w:r>
          </w:p>
        </w:tc>
        <w:tc>
          <w:tcPr>
            <w:tcW w:w="1559" w:type="dxa"/>
            <w:noWrap w:val="0"/>
            <w:vAlign w:val="center"/>
          </w:tcPr>
          <w:p w14:paraId="506D7E9E">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auto"/>
                <w:kern w:val="0"/>
                <w:sz w:val="21"/>
                <w:szCs w:val="21"/>
                <w:u w:val="none"/>
                <w:lang w:val="en-US" w:eastAsia="zh-CN" w:bidi="ar"/>
              </w:rPr>
              <w:t xml:space="preserve">0.015 </w:t>
            </w:r>
          </w:p>
        </w:tc>
        <w:tc>
          <w:tcPr>
            <w:tcW w:w="1761" w:type="dxa"/>
            <w:noWrap w:val="0"/>
            <w:vAlign w:val="center"/>
          </w:tcPr>
          <w:p w14:paraId="2385965F">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t>/</w:t>
            </w:r>
          </w:p>
        </w:tc>
        <w:tc>
          <w:tcPr>
            <w:tcW w:w="1959" w:type="dxa"/>
            <w:noWrap w:val="0"/>
            <w:vAlign w:val="center"/>
          </w:tcPr>
          <w:p w14:paraId="0CE7212A">
            <w:pPr>
              <w:keepNext w:val="0"/>
              <w:keepLines w:val="0"/>
              <w:widowControl/>
              <w:suppressLineNumbers w:val="0"/>
              <w:jc w:val="center"/>
              <w:textAlignment w:val="center"/>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default" w:ascii="Times New Roman" w:hAnsi="Times New Roman" w:eastAsia="宋体" w:cs="Times New Roman"/>
                <w:i w:val="0"/>
                <w:iCs w:val="0"/>
                <w:color w:val="auto"/>
                <w:kern w:val="0"/>
                <w:sz w:val="21"/>
                <w:szCs w:val="21"/>
                <w:u w:val="none"/>
                <w:lang w:val="en-US" w:eastAsia="zh-CN" w:bidi="ar"/>
              </w:rPr>
              <w:t xml:space="preserve">0.015 </w:t>
            </w:r>
          </w:p>
        </w:tc>
        <w:tc>
          <w:tcPr>
            <w:tcW w:w="826" w:type="dxa"/>
            <w:noWrap w:val="0"/>
            <w:vAlign w:val="center"/>
          </w:tcPr>
          <w:p w14:paraId="38BCBCC0">
            <w:pPr>
              <w:keepNext w:val="0"/>
              <w:keepLines w:val="0"/>
              <w:widowControl/>
              <w:suppressLineNumbers w:val="0"/>
              <w:jc w:val="center"/>
              <w:textAlignment w:val="center"/>
              <w:rPr>
                <w:rFonts w:hint="eastAsia"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auto"/>
                <w:kern w:val="0"/>
                <w:sz w:val="21"/>
                <w:szCs w:val="21"/>
                <w:u w:val="none"/>
                <w:lang w:val="en-US" w:eastAsia="zh-CN" w:bidi="ar"/>
              </w:rPr>
              <w:t xml:space="preserve">0.015 </w:t>
            </w:r>
          </w:p>
        </w:tc>
      </w:tr>
      <w:tr w14:paraId="3D2927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gridSpan w:val="2"/>
            <w:vMerge w:val="continue"/>
            <w:noWrap w:val="0"/>
            <w:vAlign w:val="center"/>
          </w:tcPr>
          <w:p w14:paraId="19769B4D">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p>
        </w:tc>
        <w:tc>
          <w:tcPr>
            <w:tcW w:w="1417" w:type="dxa"/>
            <w:noWrap w:val="0"/>
            <w:vAlign w:val="center"/>
          </w:tcPr>
          <w:p w14:paraId="5AD72CFE">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t>BOD</w:t>
            </w:r>
            <w:r>
              <w:rPr>
                <w:rFonts w:hint="default" w:ascii="Times New Roman" w:hAnsi="Times New Roman" w:cs="Times New Roman"/>
                <w:snapToGrid w:val="0"/>
                <w:color w:val="000000" w:themeColor="text1"/>
                <w:kern w:val="21"/>
                <w:szCs w:val="21"/>
                <w:highlight w:val="none"/>
                <w:vertAlign w:val="subscript"/>
                <w:lang w:val="en-US" w:eastAsia="zh-CN"/>
                <w14:textFill>
                  <w14:solidFill>
                    <w14:schemeClr w14:val="tx1"/>
                  </w14:solidFill>
                </w14:textFill>
              </w:rPr>
              <w:t>5</w:t>
            </w:r>
          </w:p>
        </w:tc>
        <w:tc>
          <w:tcPr>
            <w:tcW w:w="1701" w:type="dxa"/>
            <w:noWrap w:val="0"/>
            <w:vAlign w:val="center"/>
          </w:tcPr>
          <w:p w14:paraId="5B586984">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t>/</w:t>
            </w:r>
          </w:p>
        </w:tc>
        <w:tc>
          <w:tcPr>
            <w:tcW w:w="1276" w:type="dxa"/>
            <w:noWrap w:val="0"/>
            <w:vAlign w:val="center"/>
          </w:tcPr>
          <w:p w14:paraId="4D6ED922">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t>/</w:t>
            </w:r>
          </w:p>
        </w:tc>
        <w:tc>
          <w:tcPr>
            <w:tcW w:w="1701" w:type="dxa"/>
            <w:noWrap w:val="0"/>
            <w:vAlign w:val="center"/>
          </w:tcPr>
          <w:p w14:paraId="30989F6F">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t>/</w:t>
            </w:r>
          </w:p>
        </w:tc>
        <w:tc>
          <w:tcPr>
            <w:tcW w:w="1559" w:type="dxa"/>
            <w:noWrap w:val="0"/>
            <w:vAlign w:val="center"/>
          </w:tcPr>
          <w:p w14:paraId="527EC0F6">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auto"/>
                <w:kern w:val="0"/>
                <w:sz w:val="21"/>
                <w:szCs w:val="21"/>
                <w:u w:val="none"/>
                <w:lang w:val="en-US" w:eastAsia="zh-CN" w:bidi="ar"/>
              </w:rPr>
              <w:t xml:space="preserve">0.003 </w:t>
            </w:r>
          </w:p>
        </w:tc>
        <w:tc>
          <w:tcPr>
            <w:tcW w:w="1761" w:type="dxa"/>
            <w:noWrap w:val="0"/>
            <w:vAlign w:val="center"/>
          </w:tcPr>
          <w:p w14:paraId="6E25CE62">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t>/</w:t>
            </w:r>
          </w:p>
        </w:tc>
        <w:tc>
          <w:tcPr>
            <w:tcW w:w="1959" w:type="dxa"/>
            <w:noWrap w:val="0"/>
            <w:vAlign w:val="center"/>
          </w:tcPr>
          <w:p w14:paraId="58281A7F">
            <w:pPr>
              <w:keepNext w:val="0"/>
              <w:keepLines w:val="0"/>
              <w:widowControl/>
              <w:suppressLineNumbers w:val="0"/>
              <w:jc w:val="center"/>
              <w:textAlignment w:val="center"/>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default" w:ascii="Times New Roman" w:hAnsi="Times New Roman" w:eastAsia="宋体" w:cs="Times New Roman"/>
                <w:i w:val="0"/>
                <w:iCs w:val="0"/>
                <w:color w:val="auto"/>
                <w:kern w:val="0"/>
                <w:sz w:val="21"/>
                <w:szCs w:val="21"/>
                <w:u w:val="none"/>
                <w:lang w:val="en-US" w:eastAsia="zh-CN" w:bidi="ar"/>
              </w:rPr>
              <w:t xml:space="preserve">0.003 </w:t>
            </w:r>
          </w:p>
        </w:tc>
        <w:tc>
          <w:tcPr>
            <w:tcW w:w="826" w:type="dxa"/>
            <w:noWrap w:val="0"/>
            <w:vAlign w:val="center"/>
          </w:tcPr>
          <w:p w14:paraId="5502A906">
            <w:pPr>
              <w:keepNext w:val="0"/>
              <w:keepLines w:val="0"/>
              <w:widowControl/>
              <w:suppressLineNumbers w:val="0"/>
              <w:jc w:val="center"/>
              <w:textAlignment w:val="center"/>
              <w:rPr>
                <w:rFonts w:hint="eastAsia"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auto"/>
                <w:kern w:val="0"/>
                <w:sz w:val="21"/>
                <w:szCs w:val="21"/>
                <w:u w:val="none"/>
                <w:lang w:val="en-US" w:eastAsia="zh-CN" w:bidi="ar"/>
              </w:rPr>
              <w:t xml:space="preserve">0.003 </w:t>
            </w:r>
          </w:p>
        </w:tc>
      </w:tr>
      <w:tr w14:paraId="5E2C29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gridSpan w:val="2"/>
            <w:vMerge w:val="continue"/>
            <w:noWrap w:val="0"/>
            <w:vAlign w:val="center"/>
          </w:tcPr>
          <w:p w14:paraId="46F34B05">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p>
        </w:tc>
        <w:tc>
          <w:tcPr>
            <w:tcW w:w="1417" w:type="dxa"/>
            <w:noWrap w:val="0"/>
            <w:vAlign w:val="center"/>
          </w:tcPr>
          <w:p w14:paraId="0E3A5503">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t>氨氮</w:t>
            </w:r>
          </w:p>
        </w:tc>
        <w:tc>
          <w:tcPr>
            <w:tcW w:w="1701" w:type="dxa"/>
            <w:noWrap w:val="0"/>
            <w:vAlign w:val="center"/>
          </w:tcPr>
          <w:p w14:paraId="25388904">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t>/</w:t>
            </w:r>
          </w:p>
        </w:tc>
        <w:tc>
          <w:tcPr>
            <w:tcW w:w="1276" w:type="dxa"/>
            <w:noWrap w:val="0"/>
            <w:vAlign w:val="center"/>
          </w:tcPr>
          <w:p w14:paraId="5D3236C3">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t>/</w:t>
            </w:r>
          </w:p>
        </w:tc>
        <w:tc>
          <w:tcPr>
            <w:tcW w:w="1701" w:type="dxa"/>
            <w:noWrap w:val="0"/>
            <w:vAlign w:val="center"/>
          </w:tcPr>
          <w:p w14:paraId="760BB634">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t>/</w:t>
            </w:r>
          </w:p>
        </w:tc>
        <w:tc>
          <w:tcPr>
            <w:tcW w:w="1559" w:type="dxa"/>
            <w:noWrap w:val="0"/>
            <w:vAlign w:val="center"/>
          </w:tcPr>
          <w:p w14:paraId="7588C2BD">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auto"/>
                <w:kern w:val="0"/>
                <w:sz w:val="21"/>
                <w:szCs w:val="21"/>
                <w:u w:val="none"/>
                <w:lang w:val="en-US" w:eastAsia="zh-CN" w:bidi="ar"/>
              </w:rPr>
              <w:t xml:space="preserve">0.001 </w:t>
            </w:r>
          </w:p>
        </w:tc>
        <w:tc>
          <w:tcPr>
            <w:tcW w:w="1761" w:type="dxa"/>
            <w:noWrap w:val="0"/>
            <w:vAlign w:val="center"/>
          </w:tcPr>
          <w:p w14:paraId="3115C3FD">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t>/</w:t>
            </w:r>
          </w:p>
        </w:tc>
        <w:tc>
          <w:tcPr>
            <w:tcW w:w="1959" w:type="dxa"/>
            <w:noWrap w:val="0"/>
            <w:vAlign w:val="center"/>
          </w:tcPr>
          <w:p w14:paraId="136D2430">
            <w:pPr>
              <w:keepNext w:val="0"/>
              <w:keepLines w:val="0"/>
              <w:widowControl/>
              <w:suppressLineNumbers w:val="0"/>
              <w:jc w:val="center"/>
              <w:textAlignment w:val="center"/>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default" w:ascii="Times New Roman" w:hAnsi="Times New Roman" w:eastAsia="宋体" w:cs="Times New Roman"/>
                <w:i w:val="0"/>
                <w:iCs w:val="0"/>
                <w:color w:val="auto"/>
                <w:kern w:val="0"/>
                <w:sz w:val="21"/>
                <w:szCs w:val="21"/>
                <w:u w:val="none"/>
                <w:lang w:val="en-US" w:eastAsia="zh-CN" w:bidi="ar"/>
              </w:rPr>
              <w:t xml:space="preserve">0.001 </w:t>
            </w:r>
          </w:p>
        </w:tc>
        <w:tc>
          <w:tcPr>
            <w:tcW w:w="826" w:type="dxa"/>
            <w:noWrap w:val="0"/>
            <w:vAlign w:val="center"/>
          </w:tcPr>
          <w:p w14:paraId="468B5902">
            <w:pPr>
              <w:keepNext w:val="0"/>
              <w:keepLines w:val="0"/>
              <w:widowControl/>
              <w:suppressLineNumbers w:val="0"/>
              <w:jc w:val="center"/>
              <w:textAlignment w:val="center"/>
              <w:rPr>
                <w:rFonts w:hint="eastAsia"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auto"/>
                <w:kern w:val="0"/>
                <w:sz w:val="21"/>
                <w:szCs w:val="21"/>
                <w:u w:val="none"/>
                <w:lang w:val="en-US" w:eastAsia="zh-CN" w:bidi="ar"/>
              </w:rPr>
              <w:t xml:space="preserve">0.001 </w:t>
            </w:r>
          </w:p>
        </w:tc>
      </w:tr>
      <w:tr w14:paraId="722D3E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gridSpan w:val="2"/>
            <w:vMerge w:val="continue"/>
            <w:noWrap w:val="0"/>
            <w:vAlign w:val="center"/>
          </w:tcPr>
          <w:p w14:paraId="4A6722E6">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p>
        </w:tc>
        <w:tc>
          <w:tcPr>
            <w:tcW w:w="1417" w:type="dxa"/>
            <w:noWrap w:val="0"/>
            <w:vAlign w:val="center"/>
          </w:tcPr>
          <w:p w14:paraId="086D4BCB">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t>SS</w:t>
            </w:r>
          </w:p>
        </w:tc>
        <w:tc>
          <w:tcPr>
            <w:tcW w:w="1701" w:type="dxa"/>
            <w:noWrap w:val="0"/>
            <w:vAlign w:val="center"/>
          </w:tcPr>
          <w:p w14:paraId="1BFB9F4E">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t>/</w:t>
            </w:r>
          </w:p>
        </w:tc>
        <w:tc>
          <w:tcPr>
            <w:tcW w:w="1276" w:type="dxa"/>
            <w:noWrap w:val="0"/>
            <w:vAlign w:val="center"/>
          </w:tcPr>
          <w:p w14:paraId="66112B4F">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t>/</w:t>
            </w:r>
          </w:p>
        </w:tc>
        <w:tc>
          <w:tcPr>
            <w:tcW w:w="1701" w:type="dxa"/>
            <w:noWrap w:val="0"/>
            <w:vAlign w:val="center"/>
          </w:tcPr>
          <w:p w14:paraId="173F53C3">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t>/</w:t>
            </w:r>
          </w:p>
        </w:tc>
        <w:tc>
          <w:tcPr>
            <w:tcW w:w="1559" w:type="dxa"/>
            <w:noWrap w:val="0"/>
            <w:vAlign w:val="center"/>
          </w:tcPr>
          <w:p w14:paraId="7A6CAC0C">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auto"/>
                <w:kern w:val="0"/>
                <w:sz w:val="21"/>
                <w:szCs w:val="21"/>
                <w:u w:val="none"/>
                <w:lang w:val="en-US" w:eastAsia="zh-CN" w:bidi="ar"/>
              </w:rPr>
              <w:t xml:space="preserve">0.005 </w:t>
            </w:r>
          </w:p>
        </w:tc>
        <w:tc>
          <w:tcPr>
            <w:tcW w:w="1761" w:type="dxa"/>
            <w:noWrap w:val="0"/>
            <w:vAlign w:val="center"/>
          </w:tcPr>
          <w:p w14:paraId="27D620AC">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t>/</w:t>
            </w:r>
          </w:p>
        </w:tc>
        <w:tc>
          <w:tcPr>
            <w:tcW w:w="1959" w:type="dxa"/>
            <w:noWrap w:val="0"/>
            <w:vAlign w:val="center"/>
          </w:tcPr>
          <w:p w14:paraId="582A9E86">
            <w:pPr>
              <w:keepNext w:val="0"/>
              <w:keepLines w:val="0"/>
              <w:widowControl/>
              <w:suppressLineNumbers w:val="0"/>
              <w:jc w:val="center"/>
              <w:textAlignment w:val="center"/>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default" w:ascii="Times New Roman" w:hAnsi="Times New Roman" w:eastAsia="宋体" w:cs="Times New Roman"/>
                <w:i w:val="0"/>
                <w:iCs w:val="0"/>
                <w:color w:val="auto"/>
                <w:kern w:val="0"/>
                <w:sz w:val="21"/>
                <w:szCs w:val="21"/>
                <w:u w:val="none"/>
                <w:lang w:val="en-US" w:eastAsia="zh-CN" w:bidi="ar"/>
              </w:rPr>
              <w:t xml:space="preserve">0.005 </w:t>
            </w:r>
          </w:p>
        </w:tc>
        <w:tc>
          <w:tcPr>
            <w:tcW w:w="826" w:type="dxa"/>
            <w:noWrap w:val="0"/>
            <w:vAlign w:val="center"/>
          </w:tcPr>
          <w:p w14:paraId="4F41F48F">
            <w:pPr>
              <w:keepNext w:val="0"/>
              <w:keepLines w:val="0"/>
              <w:widowControl/>
              <w:suppressLineNumbers w:val="0"/>
              <w:jc w:val="center"/>
              <w:textAlignment w:val="center"/>
              <w:rPr>
                <w:rFonts w:hint="eastAsia"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auto"/>
                <w:kern w:val="0"/>
                <w:sz w:val="21"/>
                <w:szCs w:val="21"/>
                <w:u w:val="none"/>
                <w:lang w:val="en-US" w:eastAsia="zh-CN" w:bidi="ar"/>
              </w:rPr>
              <w:t xml:space="preserve">0.005 </w:t>
            </w:r>
          </w:p>
        </w:tc>
      </w:tr>
      <w:tr w14:paraId="07B90A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gridSpan w:val="2"/>
            <w:vMerge w:val="continue"/>
            <w:noWrap w:val="0"/>
            <w:vAlign w:val="center"/>
          </w:tcPr>
          <w:p w14:paraId="59908936">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p>
        </w:tc>
        <w:tc>
          <w:tcPr>
            <w:tcW w:w="1417" w:type="dxa"/>
            <w:noWrap w:val="0"/>
            <w:vAlign w:val="center"/>
          </w:tcPr>
          <w:p w14:paraId="470832E4">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t>TP</w:t>
            </w:r>
          </w:p>
        </w:tc>
        <w:tc>
          <w:tcPr>
            <w:tcW w:w="1701" w:type="dxa"/>
            <w:noWrap w:val="0"/>
            <w:vAlign w:val="center"/>
          </w:tcPr>
          <w:p w14:paraId="307EB4FD">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t>/</w:t>
            </w:r>
          </w:p>
        </w:tc>
        <w:tc>
          <w:tcPr>
            <w:tcW w:w="1276" w:type="dxa"/>
            <w:noWrap w:val="0"/>
            <w:vAlign w:val="center"/>
          </w:tcPr>
          <w:p w14:paraId="0EF96428">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t>/</w:t>
            </w:r>
          </w:p>
        </w:tc>
        <w:tc>
          <w:tcPr>
            <w:tcW w:w="1701" w:type="dxa"/>
            <w:noWrap w:val="0"/>
            <w:vAlign w:val="center"/>
          </w:tcPr>
          <w:p w14:paraId="0242400A">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t>/</w:t>
            </w:r>
          </w:p>
        </w:tc>
        <w:tc>
          <w:tcPr>
            <w:tcW w:w="1559" w:type="dxa"/>
            <w:noWrap w:val="0"/>
            <w:vAlign w:val="center"/>
          </w:tcPr>
          <w:p w14:paraId="06BDD8A1">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auto"/>
                <w:kern w:val="0"/>
                <w:sz w:val="21"/>
                <w:szCs w:val="21"/>
                <w:u w:val="none"/>
                <w:lang w:val="en-US" w:eastAsia="zh-CN" w:bidi="ar"/>
              </w:rPr>
              <w:t xml:space="preserve">0.0001 </w:t>
            </w:r>
          </w:p>
        </w:tc>
        <w:tc>
          <w:tcPr>
            <w:tcW w:w="1761" w:type="dxa"/>
            <w:noWrap w:val="0"/>
            <w:vAlign w:val="center"/>
          </w:tcPr>
          <w:p w14:paraId="21EC9DF9">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t>/</w:t>
            </w:r>
          </w:p>
        </w:tc>
        <w:tc>
          <w:tcPr>
            <w:tcW w:w="1959" w:type="dxa"/>
            <w:noWrap w:val="0"/>
            <w:vAlign w:val="center"/>
          </w:tcPr>
          <w:p w14:paraId="1CA8F2F6">
            <w:pPr>
              <w:keepNext w:val="0"/>
              <w:keepLines w:val="0"/>
              <w:widowControl/>
              <w:suppressLineNumbers w:val="0"/>
              <w:jc w:val="center"/>
              <w:textAlignment w:val="center"/>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default" w:ascii="Times New Roman" w:hAnsi="Times New Roman" w:eastAsia="宋体" w:cs="Times New Roman"/>
                <w:i w:val="0"/>
                <w:iCs w:val="0"/>
                <w:color w:val="auto"/>
                <w:kern w:val="0"/>
                <w:sz w:val="21"/>
                <w:szCs w:val="21"/>
                <w:u w:val="none"/>
                <w:lang w:val="en-US" w:eastAsia="zh-CN" w:bidi="ar"/>
              </w:rPr>
              <w:t xml:space="preserve">0.0001 </w:t>
            </w:r>
          </w:p>
        </w:tc>
        <w:tc>
          <w:tcPr>
            <w:tcW w:w="826" w:type="dxa"/>
            <w:noWrap w:val="0"/>
            <w:vAlign w:val="center"/>
          </w:tcPr>
          <w:p w14:paraId="79ECEF3F">
            <w:pPr>
              <w:keepNext w:val="0"/>
              <w:keepLines w:val="0"/>
              <w:widowControl/>
              <w:suppressLineNumbers w:val="0"/>
              <w:jc w:val="center"/>
              <w:textAlignment w:val="center"/>
              <w:rPr>
                <w:rFonts w:hint="eastAsia"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auto"/>
                <w:kern w:val="0"/>
                <w:sz w:val="21"/>
                <w:szCs w:val="21"/>
                <w:u w:val="none"/>
                <w:lang w:val="en-US" w:eastAsia="zh-CN" w:bidi="ar"/>
              </w:rPr>
              <w:t xml:space="preserve">0.0001 </w:t>
            </w:r>
          </w:p>
        </w:tc>
      </w:tr>
      <w:tr w14:paraId="27D6F6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gridSpan w:val="2"/>
            <w:vMerge w:val="continue"/>
            <w:noWrap w:val="0"/>
            <w:vAlign w:val="center"/>
          </w:tcPr>
          <w:p w14:paraId="7910D3E1">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p>
        </w:tc>
        <w:tc>
          <w:tcPr>
            <w:tcW w:w="1417" w:type="dxa"/>
            <w:noWrap w:val="0"/>
            <w:vAlign w:val="center"/>
          </w:tcPr>
          <w:p w14:paraId="6821B483">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t>粪大肠菌群</w:t>
            </w:r>
          </w:p>
        </w:tc>
        <w:tc>
          <w:tcPr>
            <w:tcW w:w="1701" w:type="dxa"/>
            <w:noWrap w:val="0"/>
            <w:vAlign w:val="center"/>
          </w:tcPr>
          <w:p w14:paraId="4B23012D">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t>/</w:t>
            </w:r>
          </w:p>
        </w:tc>
        <w:tc>
          <w:tcPr>
            <w:tcW w:w="1276" w:type="dxa"/>
            <w:noWrap w:val="0"/>
            <w:vAlign w:val="center"/>
          </w:tcPr>
          <w:p w14:paraId="1A1151ED">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t>/</w:t>
            </w:r>
          </w:p>
        </w:tc>
        <w:tc>
          <w:tcPr>
            <w:tcW w:w="1701" w:type="dxa"/>
            <w:noWrap w:val="0"/>
            <w:vAlign w:val="center"/>
          </w:tcPr>
          <w:p w14:paraId="7024FCE2">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t>/</w:t>
            </w:r>
          </w:p>
        </w:tc>
        <w:tc>
          <w:tcPr>
            <w:tcW w:w="1559" w:type="dxa"/>
            <w:noWrap w:val="0"/>
            <w:vAlign w:val="center"/>
          </w:tcPr>
          <w:p w14:paraId="2F1FC3FC">
            <w:pPr>
              <w:keepNext w:val="0"/>
              <w:keepLines w:val="0"/>
              <w:widowControl/>
              <w:suppressLineNumbers w:val="0"/>
              <w:jc w:val="center"/>
              <w:textAlignment w:val="center"/>
              <w:rPr>
                <w:rFonts w:hint="default" w:ascii="Times New Roman" w:hAnsi="Times New Roman" w:cs="Times New Roman"/>
                <w:snapToGrid w:val="0"/>
                <w:color w:val="000000" w:themeColor="text1"/>
                <w:kern w:val="21"/>
                <w:szCs w:val="21"/>
                <w:highlight w:val="none"/>
                <w:lang w:val="en-US"/>
                <w14:textFill>
                  <w14:solidFill>
                    <w14:schemeClr w14:val="tx1"/>
                  </w14:solidFill>
                </w14:textFill>
              </w:rPr>
            </w:pPr>
            <w:r>
              <w:rPr>
                <w:rFonts w:hint="default" w:ascii="Times New Roman" w:hAnsi="Times New Roman" w:eastAsia="宋体" w:cs="Times New Roman"/>
                <w:i w:val="0"/>
                <w:iCs w:val="0"/>
                <w:color w:val="auto"/>
                <w:kern w:val="0"/>
                <w:sz w:val="21"/>
                <w:szCs w:val="21"/>
                <w:u w:val="none"/>
                <w:lang w:val="en-US" w:eastAsia="zh-CN" w:bidi="ar"/>
              </w:rPr>
              <w:t>3.9×10</w:t>
            </w:r>
            <w:r>
              <w:rPr>
                <w:rFonts w:hint="default" w:ascii="Times New Roman" w:hAnsi="Times New Roman" w:eastAsia="宋体" w:cs="Times New Roman"/>
                <w:i w:val="0"/>
                <w:iCs w:val="0"/>
                <w:color w:val="auto"/>
                <w:kern w:val="0"/>
                <w:sz w:val="21"/>
                <w:szCs w:val="21"/>
                <w:u w:val="none"/>
                <w:vertAlign w:val="superscript"/>
                <w:lang w:val="en-US" w:eastAsia="zh-CN" w:bidi="ar"/>
              </w:rPr>
              <w:t>8</w:t>
            </w:r>
            <w:r>
              <w:rPr>
                <w:rFonts w:hint="eastAsia" w:ascii="宋体" w:hAnsi="宋体" w:eastAsia="宋体" w:cs="宋体"/>
                <w:i w:val="0"/>
                <w:iCs w:val="0"/>
                <w:color w:val="auto"/>
                <w:kern w:val="0"/>
                <w:sz w:val="21"/>
                <w:szCs w:val="21"/>
                <w:u w:val="none"/>
                <w:lang w:val="en-US" w:eastAsia="zh-CN" w:bidi="ar"/>
              </w:rPr>
              <w:t>个</w:t>
            </w:r>
            <w:r>
              <w:rPr>
                <w:rFonts w:hint="default" w:ascii="Times New Roman" w:hAnsi="Times New Roman" w:eastAsia="宋体" w:cs="Times New Roman"/>
                <w:i w:val="0"/>
                <w:iCs w:val="0"/>
                <w:color w:val="auto"/>
                <w:kern w:val="0"/>
                <w:sz w:val="21"/>
                <w:szCs w:val="21"/>
                <w:u w:val="none"/>
                <w:lang w:val="en-US" w:eastAsia="zh-CN" w:bidi="ar"/>
              </w:rPr>
              <w:t>/L</w:t>
            </w:r>
          </w:p>
        </w:tc>
        <w:tc>
          <w:tcPr>
            <w:tcW w:w="1761" w:type="dxa"/>
            <w:noWrap w:val="0"/>
            <w:vAlign w:val="center"/>
          </w:tcPr>
          <w:p w14:paraId="2AF3639B">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t>/</w:t>
            </w:r>
          </w:p>
        </w:tc>
        <w:tc>
          <w:tcPr>
            <w:tcW w:w="1959" w:type="dxa"/>
            <w:noWrap w:val="0"/>
            <w:vAlign w:val="center"/>
          </w:tcPr>
          <w:p w14:paraId="5B074A97">
            <w:pPr>
              <w:keepNext w:val="0"/>
              <w:keepLines w:val="0"/>
              <w:widowControl/>
              <w:suppressLineNumbers w:val="0"/>
              <w:jc w:val="center"/>
              <w:textAlignment w:val="center"/>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default" w:ascii="Times New Roman" w:hAnsi="Times New Roman" w:eastAsia="宋体" w:cs="Times New Roman"/>
                <w:i w:val="0"/>
                <w:iCs w:val="0"/>
                <w:color w:val="auto"/>
                <w:kern w:val="0"/>
                <w:sz w:val="21"/>
                <w:szCs w:val="21"/>
                <w:u w:val="none"/>
                <w:lang w:val="en-US" w:eastAsia="zh-CN" w:bidi="ar"/>
              </w:rPr>
              <w:t>3.9×10</w:t>
            </w:r>
            <w:r>
              <w:rPr>
                <w:rFonts w:hint="default" w:ascii="Times New Roman" w:hAnsi="Times New Roman" w:eastAsia="宋体" w:cs="Times New Roman"/>
                <w:i w:val="0"/>
                <w:iCs w:val="0"/>
                <w:color w:val="auto"/>
                <w:kern w:val="0"/>
                <w:sz w:val="21"/>
                <w:szCs w:val="21"/>
                <w:u w:val="none"/>
                <w:vertAlign w:val="superscript"/>
                <w:lang w:val="en-US" w:eastAsia="zh-CN" w:bidi="ar"/>
              </w:rPr>
              <w:t>8</w:t>
            </w:r>
            <w:r>
              <w:rPr>
                <w:rFonts w:hint="eastAsia" w:ascii="宋体" w:hAnsi="宋体" w:eastAsia="宋体" w:cs="宋体"/>
                <w:i w:val="0"/>
                <w:iCs w:val="0"/>
                <w:color w:val="auto"/>
                <w:kern w:val="0"/>
                <w:sz w:val="21"/>
                <w:szCs w:val="21"/>
                <w:u w:val="none"/>
                <w:lang w:val="en-US" w:eastAsia="zh-CN" w:bidi="ar"/>
              </w:rPr>
              <w:t>个</w:t>
            </w:r>
            <w:r>
              <w:rPr>
                <w:rFonts w:hint="default" w:ascii="Times New Roman" w:hAnsi="Times New Roman" w:eastAsia="宋体" w:cs="Times New Roman"/>
                <w:i w:val="0"/>
                <w:iCs w:val="0"/>
                <w:color w:val="auto"/>
                <w:kern w:val="0"/>
                <w:sz w:val="21"/>
                <w:szCs w:val="21"/>
                <w:u w:val="none"/>
                <w:lang w:val="en-US" w:eastAsia="zh-CN" w:bidi="ar"/>
              </w:rPr>
              <w:t>/L</w:t>
            </w:r>
          </w:p>
        </w:tc>
        <w:tc>
          <w:tcPr>
            <w:tcW w:w="826" w:type="dxa"/>
            <w:noWrap w:val="0"/>
            <w:vAlign w:val="center"/>
          </w:tcPr>
          <w:p w14:paraId="72CAB0B5">
            <w:pPr>
              <w:keepNext w:val="0"/>
              <w:keepLines w:val="0"/>
              <w:widowControl/>
              <w:suppressLineNumbers w:val="0"/>
              <w:jc w:val="center"/>
              <w:textAlignment w:val="center"/>
              <w:rPr>
                <w:rFonts w:hint="eastAsia"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auto"/>
                <w:kern w:val="0"/>
                <w:sz w:val="21"/>
                <w:szCs w:val="21"/>
                <w:u w:val="none"/>
                <w:lang w:val="en-US" w:eastAsia="zh-CN" w:bidi="ar"/>
              </w:rPr>
              <w:t>3.9×10</w:t>
            </w:r>
            <w:r>
              <w:rPr>
                <w:rFonts w:hint="default" w:ascii="Times New Roman" w:hAnsi="Times New Roman" w:eastAsia="宋体" w:cs="Times New Roman"/>
                <w:i w:val="0"/>
                <w:iCs w:val="0"/>
                <w:color w:val="auto"/>
                <w:kern w:val="0"/>
                <w:sz w:val="21"/>
                <w:szCs w:val="21"/>
                <w:u w:val="none"/>
                <w:vertAlign w:val="superscript"/>
                <w:lang w:val="en-US" w:eastAsia="zh-CN" w:bidi="ar"/>
              </w:rPr>
              <w:t>8</w:t>
            </w:r>
            <w:r>
              <w:rPr>
                <w:rFonts w:hint="eastAsia" w:ascii="宋体" w:hAnsi="宋体" w:eastAsia="宋体" w:cs="宋体"/>
                <w:i w:val="0"/>
                <w:iCs w:val="0"/>
                <w:color w:val="auto"/>
                <w:kern w:val="0"/>
                <w:sz w:val="21"/>
                <w:szCs w:val="21"/>
                <w:u w:val="none"/>
                <w:lang w:val="en-US" w:eastAsia="zh-CN" w:bidi="ar"/>
              </w:rPr>
              <w:t>个</w:t>
            </w:r>
            <w:r>
              <w:rPr>
                <w:rFonts w:hint="default" w:ascii="Times New Roman" w:hAnsi="Times New Roman" w:eastAsia="宋体" w:cs="Times New Roman"/>
                <w:i w:val="0"/>
                <w:iCs w:val="0"/>
                <w:color w:val="auto"/>
                <w:kern w:val="0"/>
                <w:sz w:val="21"/>
                <w:szCs w:val="21"/>
                <w:u w:val="none"/>
                <w:lang w:val="en-US" w:eastAsia="zh-CN" w:bidi="ar"/>
              </w:rPr>
              <w:t>/L</w:t>
            </w:r>
          </w:p>
        </w:tc>
      </w:tr>
      <w:tr w14:paraId="6BBBFB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gridSpan w:val="2"/>
            <w:vMerge w:val="continue"/>
            <w:noWrap w:val="0"/>
            <w:vAlign w:val="center"/>
          </w:tcPr>
          <w:p w14:paraId="3BDF900C">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p>
        </w:tc>
        <w:tc>
          <w:tcPr>
            <w:tcW w:w="1417" w:type="dxa"/>
            <w:noWrap w:val="0"/>
            <w:vAlign w:val="center"/>
          </w:tcPr>
          <w:p w14:paraId="795B4F17">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t>LAS</w:t>
            </w:r>
          </w:p>
        </w:tc>
        <w:tc>
          <w:tcPr>
            <w:tcW w:w="1701" w:type="dxa"/>
            <w:noWrap w:val="0"/>
            <w:vAlign w:val="center"/>
          </w:tcPr>
          <w:p w14:paraId="398C498B">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t>/</w:t>
            </w:r>
          </w:p>
        </w:tc>
        <w:tc>
          <w:tcPr>
            <w:tcW w:w="1276" w:type="dxa"/>
            <w:noWrap w:val="0"/>
            <w:vAlign w:val="center"/>
          </w:tcPr>
          <w:p w14:paraId="22C5326C">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t>/</w:t>
            </w:r>
          </w:p>
        </w:tc>
        <w:tc>
          <w:tcPr>
            <w:tcW w:w="1701" w:type="dxa"/>
            <w:noWrap w:val="0"/>
            <w:vAlign w:val="center"/>
          </w:tcPr>
          <w:p w14:paraId="135687D1">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t>/</w:t>
            </w:r>
          </w:p>
        </w:tc>
        <w:tc>
          <w:tcPr>
            <w:tcW w:w="1559" w:type="dxa"/>
            <w:noWrap w:val="0"/>
            <w:vAlign w:val="center"/>
          </w:tcPr>
          <w:p w14:paraId="3D0E3A70">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auto"/>
                <w:kern w:val="0"/>
                <w:sz w:val="21"/>
                <w:szCs w:val="21"/>
                <w:u w:val="none"/>
                <w:lang w:val="en-US" w:eastAsia="zh-CN" w:bidi="ar"/>
              </w:rPr>
              <w:t xml:space="preserve">0.0002 </w:t>
            </w:r>
          </w:p>
        </w:tc>
        <w:tc>
          <w:tcPr>
            <w:tcW w:w="1761" w:type="dxa"/>
            <w:noWrap w:val="0"/>
            <w:vAlign w:val="center"/>
          </w:tcPr>
          <w:p w14:paraId="3B5D9126">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t>/</w:t>
            </w:r>
          </w:p>
        </w:tc>
        <w:tc>
          <w:tcPr>
            <w:tcW w:w="1959" w:type="dxa"/>
            <w:noWrap w:val="0"/>
            <w:vAlign w:val="center"/>
          </w:tcPr>
          <w:p w14:paraId="4401D88D">
            <w:pPr>
              <w:keepNext w:val="0"/>
              <w:keepLines w:val="0"/>
              <w:widowControl/>
              <w:suppressLineNumbers w:val="0"/>
              <w:jc w:val="center"/>
              <w:textAlignment w:val="center"/>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default" w:ascii="Times New Roman" w:hAnsi="Times New Roman" w:eastAsia="宋体" w:cs="Times New Roman"/>
                <w:i w:val="0"/>
                <w:iCs w:val="0"/>
                <w:color w:val="auto"/>
                <w:kern w:val="0"/>
                <w:sz w:val="21"/>
                <w:szCs w:val="21"/>
                <w:u w:val="none"/>
                <w:lang w:val="en-US" w:eastAsia="zh-CN" w:bidi="ar"/>
              </w:rPr>
              <w:t xml:space="preserve">0.0002 </w:t>
            </w:r>
          </w:p>
        </w:tc>
        <w:tc>
          <w:tcPr>
            <w:tcW w:w="826" w:type="dxa"/>
            <w:noWrap w:val="0"/>
            <w:vAlign w:val="center"/>
          </w:tcPr>
          <w:p w14:paraId="07FDC49D">
            <w:pPr>
              <w:keepNext w:val="0"/>
              <w:keepLines w:val="0"/>
              <w:widowControl/>
              <w:suppressLineNumbers w:val="0"/>
              <w:jc w:val="center"/>
              <w:textAlignment w:val="center"/>
              <w:rPr>
                <w:rFonts w:hint="eastAsia"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auto"/>
                <w:kern w:val="0"/>
                <w:sz w:val="21"/>
                <w:szCs w:val="21"/>
                <w:u w:val="none"/>
                <w:lang w:val="en-US" w:eastAsia="zh-CN" w:bidi="ar"/>
              </w:rPr>
              <w:t xml:space="preserve">0.0002 </w:t>
            </w:r>
          </w:p>
        </w:tc>
      </w:tr>
      <w:tr w14:paraId="670275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gridSpan w:val="2"/>
            <w:vMerge w:val="continue"/>
            <w:noWrap w:val="0"/>
            <w:vAlign w:val="center"/>
          </w:tcPr>
          <w:p w14:paraId="51B38D03">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p>
        </w:tc>
        <w:tc>
          <w:tcPr>
            <w:tcW w:w="1417" w:type="dxa"/>
            <w:noWrap w:val="0"/>
            <w:vAlign w:val="center"/>
          </w:tcPr>
          <w:p w14:paraId="1259D027">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t>总余氯</w:t>
            </w:r>
          </w:p>
        </w:tc>
        <w:tc>
          <w:tcPr>
            <w:tcW w:w="1701" w:type="dxa"/>
            <w:noWrap w:val="0"/>
            <w:vAlign w:val="center"/>
          </w:tcPr>
          <w:p w14:paraId="6E62B26D">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eastAsia"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cs="Times New Roman"/>
                <w:snapToGrid w:val="0"/>
                <w:color w:val="000000" w:themeColor="text1"/>
                <w:kern w:val="21"/>
                <w:szCs w:val="21"/>
                <w:highlight w:val="none"/>
                <w:lang w:val="en-US" w:eastAsia="zh-CN"/>
                <w14:textFill>
                  <w14:solidFill>
                    <w14:schemeClr w14:val="tx1"/>
                  </w14:solidFill>
                </w14:textFill>
              </w:rPr>
              <w:t>/</w:t>
            </w:r>
          </w:p>
        </w:tc>
        <w:tc>
          <w:tcPr>
            <w:tcW w:w="1276" w:type="dxa"/>
            <w:noWrap w:val="0"/>
            <w:vAlign w:val="center"/>
          </w:tcPr>
          <w:p w14:paraId="439F122D">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eastAsia"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cs="Times New Roman"/>
                <w:snapToGrid w:val="0"/>
                <w:color w:val="000000" w:themeColor="text1"/>
                <w:kern w:val="21"/>
                <w:szCs w:val="21"/>
                <w:highlight w:val="none"/>
                <w:lang w:val="en-US" w:eastAsia="zh-CN"/>
                <w14:textFill>
                  <w14:solidFill>
                    <w14:schemeClr w14:val="tx1"/>
                  </w14:solidFill>
                </w14:textFill>
              </w:rPr>
              <w:t>/</w:t>
            </w:r>
          </w:p>
        </w:tc>
        <w:tc>
          <w:tcPr>
            <w:tcW w:w="1701" w:type="dxa"/>
            <w:noWrap w:val="0"/>
            <w:vAlign w:val="center"/>
          </w:tcPr>
          <w:p w14:paraId="18338CB2">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eastAsia"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cs="Times New Roman"/>
                <w:snapToGrid w:val="0"/>
                <w:color w:val="000000" w:themeColor="text1"/>
                <w:kern w:val="21"/>
                <w:szCs w:val="21"/>
                <w:highlight w:val="none"/>
                <w:lang w:val="en-US" w:eastAsia="zh-CN"/>
                <w14:textFill>
                  <w14:solidFill>
                    <w14:schemeClr w14:val="tx1"/>
                  </w14:solidFill>
                </w14:textFill>
              </w:rPr>
              <w:t>/</w:t>
            </w:r>
          </w:p>
        </w:tc>
        <w:tc>
          <w:tcPr>
            <w:tcW w:w="1559" w:type="dxa"/>
            <w:noWrap w:val="0"/>
            <w:vAlign w:val="center"/>
          </w:tcPr>
          <w:p w14:paraId="717AE811">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eastAsia"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cs="Times New Roman"/>
                <w:snapToGrid w:val="0"/>
                <w:color w:val="000000" w:themeColor="text1"/>
                <w:kern w:val="21"/>
                <w:szCs w:val="21"/>
                <w:highlight w:val="none"/>
                <w:lang w:val="en-US" w:eastAsia="zh-CN"/>
                <w14:textFill>
                  <w14:solidFill>
                    <w14:schemeClr w14:val="tx1"/>
                  </w14:solidFill>
                </w14:textFill>
              </w:rPr>
              <w:t>/</w:t>
            </w:r>
          </w:p>
        </w:tc>
        <w:tc>
          <w:tcPr>
            <w:tcW w:w="1761" w:type="dxa"/>
            <w:noWrap w:val="0"/>
            <w:vAlign w:val="center"/>
          </w:tcPr>
          <w:p w14:paraId="6A4F7964">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eastAsia"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cs="Times New Roman"/>
                <w:snapToGrid w:val="0"/>
                <w:color w:val="000000" w:themeColor="text1"/>
                <w:kern w:val="21"/>
                <w:szCs w:val="21"/>
                <w:highlight w:val="none"/>
                <w:lang w:val="en-US" w:eastAsia="zh-CN"/>
                <w14:textFill>
                  <w14:solidFill>
                    <w14:schemeClr w14:val="tx1"/>
                  </w14:solidFill>
                </w14:textFill>
              </w:rPr>
              <w:t>/</w:t>
            </w:r>
          </w:p>
        </w:tc>
        <w:tc>
          <w:tcPr>
            <w:tcW w:w="1959" w:type="dxa"/>
            <w:noWrap w:val="0"/>
            <w:vAlign w:val="center"/>
          </w:tcPr>
          <w:p w14:paraId="65C68C1C">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420" w:leftChars="0" w:hanging="420" w:hangingChars="200"/>
              <w:jc w:val="center"/>
              <w:textAlignment w:val="auto"/>
              <w:rPr>
                <w:rFonts w:hint="eastAsia"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cs="Times New Roman"/>
                <w:snapToGrid w:val="0"/>
                <w:color w:val="000000" w:themeColor="text1"/>
                <w:kern w:val="21"/>
                <w:szCs w:val="21"/>
                <w:highlight w:val="none"/>
                <w:lang w:val="en-US" w:eastAsia="zh-CN"/>
                <w14:textFill>
                  <w14:solidFill>
                    <w14:schemeClr w14:val="tx1"/>
                  </w14:solidFill>
                </w14:textFill>
              </w:rPr>
              <w:t>/</w:t>
            </w:r>
          </w:p>
        </w:tc>
        <w:tc>
          <w:tcPr>
            <w:tcW w:w="826" w:type="dxa"/>
            <w:noWrap w:val="0"/>
            <w:vAlign w:val="center"/>
          </w:tcPr>
          <w:p w14:paraId="1D21DB83">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eastAsia"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cs="Times New Roman"/>
                <w:snapToGrid w:val="0"/>
                <w:color w:val="000000" w:themeColor="text1"/>
                <w:kern w:val="21"/>
                <w:szCs w:val="21"/>
                <w:highlight w:val="none"/>
                <w:lang w:val="en-US" w:eastAsia="zh-CN"/>
                <w14:textFill>
                  <w14:solidFill>
                    <w14:schemeClr w14:val="tx1"/>
                  </w14:solidFill>
                </w14:textFill>
              </w:rPr>
              <w:t>/</w:t>
            </w:r>
          </w:p>
        </w:tc>
      </w:tr>
      <w:tr w14:paraId="221036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gridSpan w:val="2"/>
            <w:vMerge w:val="restart"/>
            <w:noWrap w:val="0"/>
            <w:vAlign w:val="center"/>
          </w:tcPr>
          <w:p w14:paraId="333DB244">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rPr>
              <w:t>一般工业</w:t>
            </w:r>
          </w:p>
          <w:p w14:paraId="51BBC436">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C8"/>
                <w:kern w:val="21"/>
                <w:szCs w:val="21"/>
                <w:highlight w:val="none"/>
              </w:rPr>
            </w:pPr>
            <w:r>
              <w:rPr>
                <w:rFonts w:hint="default" w:ascii="Times New Roman" w:hAnsi="Times New Roman" w:cs="Times New Roman"/>
                <w:snapToGrid w:val="0"/>
                <w:color w:val="auto"/>
                <w:kern w:val="21"/>
                <w:szCs w:val="21"/>
                <w:highlight w:val="none"/>
              </w:rPr>
              <w:t>固体废物</w:t>
            </w:r>
          </w:p>
        </w:tc>
        <w:tc>
          <w:tcPr>
            <w:tcW w:w="1417" w:type="dxa"/>
            <w:noWrap w:val="0"/>
            <w:vAlign w:val="center"/>
          </w:tcPr>
          <w:p w14:paraId="787AA7BF">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eastAsia="宋体" w:cs="Times New Roman"/>
                <w:snapToGrid w:val="0"/>
                <w:color w:val="auto"/>
                <w:kern w:val="21"/>
                <w:szCs w:val="21"/>
                <w:highlight w:val="none"/>
                <w:lang w:val="en-US" w:eastAsia="zh-CN"/>
              </w:rPr>
            </w:pPr>
            <w:r>
              <w:rPr>
                <w:rFonts w:hint="default" w:ascii="Times New Roman" w:hAnsi="Times New Roman" w:cs="Times New Roman"/>
                <w:snapToGrid w:val="0"/>
                <w:color w:val="auto"/>
                <w:kern w:val="21"/>
                <w:szCs w:val="21"/>
                <w:highlight w:val="none"/>
                <w:lang w:val="en-US" w:eastAsia="zh-CN"/>
              </w:rPr>
              <w:t>宠物粪污</w:t>
            </w:r>
          </w:p>
        </w:tc>
        <w:tc>
          <w:tcPr>
            <w:tcW w:w="1701" w:type="dxa"/>
            <w:noWrap w:val="0"/>
            <w:vAlign w:val="center"/>
          </w:tcPr>
          <w:p w14:paraId="477F494A">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auto"/>
                <w:kern w:val="21"/>
                <w:szCs w:val="21"/>
                <w:highlight w:val="none"/>
              </w:rPr>
            </w:pPr>
            <w:r>
              <w:rPr>
                <w:rFonts w:hint="eastAsia" w:ascii="Times New Roman" w:cs="Times New Roman"/>
                <w:snapToGrid w:val="0"/>
                <w:color w:val="auto"/>
                <w:kern w:val="21"/>
                <w:szCs w:val="21"/>
                <w:highlight w:val="none"/>
                <w:lang w:val="en-US" w:eastAsia="zh-CN"/>
              </w:rPr>
              <w:t>/</w:t>
            </w:r>
          </w:p>
        </w:tc>
        <w:tc>
          <w:tcPr>
            <w:tcW w:w="1276" w:type="dxa"/>
            <w:noWrap w:val="0"/>
            <w:vAlign w:val="center"/>
          </w:tcPr>
          <w:p w14:paraId="29521FA4">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auto"/>
                <w:kern w:val="21"/>
                <w:szCs w:val="21"/>
                <w:highlight w:val="none"/>
              </w:rPr>
            </w:pPr>
            <w:r>
              <w:rPr>
                <w:rFonts w:hint="eastAsia" w:ascii="Times New Roman" w:cs="Times New Roman"/>
                <w:snapToGrid w:val="0"/>
                <w:color w:val="auto"/>
                <w:kern w:val="21"/>
                <w:szCs w:val="21"/>
                <w:highlight w:val="none"/>
                <w:lang w:val="en-US" w:eastAsia="zh-CN"/>
              </w:rPr>
              <w:t>/</w:t>
            </w:r>
          </w:p>
        </w:tc>
        <w:tc>
          <w:tcPr>
            <w:tcW w:w="1701" w:type="dxa"/>
            <w:noWrap w:val="0"/>
            <w:vAlign w:val="center"/>
          </w:tcPr>
          <w:p w14:paraId="261FC61F">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auto"/>
                <w:kern w:val="21"/>
                <w:szCs w:val="21"/>
                <w:highlight w:val="none"/>
              </w:rPr>
            </w:pPr>
            <w:r>
              <w:rPr>
                <w:rFonts w:hint="eastAsia" w:ascii="Times New Roman" w:cs="Times New Roman"/>
                <w:snapToGrid w:val="0"/>
                <w:color w:val="auto"/>
                <w:kern w:val="21"/>
                <w:szCs w:val="21"/>
                <w:highlight w:val="none"/>
                <w:lang w:val="en-US" w:eastAsia="zh-CN"/>
              </w:rPr>
              <w:t>/</w:t>
            </w:r>
          </w:p>
        </w:tc>
        <w:tc>
          <w:tcPr>
            <w:tcW w:w="1559" w:type="dxa"/>
            <w:noWrap w:val="0"/>
            <w:vAlign w:val="center"/>
          </w:tcPr>
          <w:p w14:paraId="572E385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Cs w:val="21"/>
                <w:highlight w:val="none"/>
                <w:lang w:val="en-US" w:eastAsia="zh-CN"/>
              </w:rPr>
            </w:pPr>
            <w:r>
              <w:rPr>
                <w:rFonts w:hint="eastAsia" w:cs="Times New Roman"/>
                <w:b w:val="0"/>
                <w:bCs w:val="0"/>
                <w:color w:val="auto"/>
                <w:sz w:val="21"/>
                <w:szCs w:val="21"/>
                <w:highlight w:val="none"/>
                <w:vertAlign w:val="baseline"/>
                <w:lang w:val="en-US" w:eastAsia="zh-CN"/>
              </w:rPr>
              <w:t>2.9748</w:t>
            </w:r>
          </w:p>
        </w:tc>
        <w:tc>
          <w:tcPr>
            <w:tcW w:w="1761" w:type="dxa"/>
            <w:noWrap w:val="0"/>
            <w:vAlign w:val="center"/>
          </w:tcPr>
          <w:p w14:paraId="0184A678">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auto"/>
                <w:kern w:val="21"/>
                <w:szCs w:val="21"/>
                <w:highlight w:val="none"/>
              </w:rPr>
            </w:pPr>
            <w:r>
              <w:rPr>
                <w:rFonts w:hint="eastAsia" w:ascii="Times New Roman" w:cs="Times New Roman"/>
                <w:snapToGrid w:val="0"/>
                <w:color w:val="auto"/>
                <w:kern w:val="21"/>
                <w:szCs w:val="21"/>
                <w:highlight w:val="none"/>
                <w:lang w:val="en-US" w:eastAsia="zh-CN"/>
              </w:rPr>
              <w:t>/</w:t>
            </w:r>
          </w:p>
        </w:tc>
        <w:tc>
          <w:tcPr>
            <w:tcW w:w="1959" w:type="dxa"/>
            <w:noWrap w:val="0"/>
            <w:vAlign w:val="center"/>
          </w:tcPr>
          <w:p w14:paraId="460F304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napToGrid w:val="0"/>
                <w:color w:val="auto"/>
                <w:kern w:val="21"/>
                <w:szCs w:val="21"/>
                <w:highlight w:val="none"/>
              </w:rPr>
            </w:pPr>
            <w:r>
              <w:rPr>
                <w:rFonts w:hint="eastAsia" w:cs="Times New Roman"/>
                <w:b w:val="0"/>
                <w:bCs w:val="0"/>
                <w:color w:val="auto"/>
                <w:sz w:val="21"/>
                <w:szCs w:val="21"/>
                <w:highlight w:val="none"/>
                <w:vertAlign w:val="baseline"/>
                <w:lang w:val="en-US" w:eastAsia="zh-CN"/>
              </w:rPr>
              <w:t>2.9748</w:t>
            </w:r>
          </w:p>
        </w:tc>
        <w:tc>
          <w:tcPr>
            <w:tcW w:w="826" w:type="dxa"/>
            <w:noWrap w:val="0"/>
            <w:vAlign w:val="center"/>
          </w:tcPr>
          <w:p w14:paraId="573BC64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napToGrid w:val="0"/>
                <w:color w:val="auto"/>
                <w:kern w:val="21"/>
                <w:szCs w:val="21"/>
                <w:highlight w:val="none"/>
              </w:rPr>
            </w:pPr>
            <w:r>
              <w:rPr>
                <w:rFonts w:hint="eastAsia" w:cs="Times New Roman"/>
                <w:b w:val="0"/>
                <w:bCs w:val="0"/>
                <w:color w:val="auto"/>
                <w:sz w:val="21"/>
                <w:szCs w:val="21"/>
                <w:highlight w:val="none"/>
                <w:vertAlign w:val="baseline"/>
                <w:lang w:val="en-US" w:eastAsia="zh-CN"/>
              </w:rPr>
              <w:t>2.9748</w:t>
            </w:r>
          </w:p>
        </w:tc>
      </w:tr>
      <w:tr w14:paraId="42C792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gridSpan w:val="2"/>
            <w:vMerge w:val="continue"/>
            <w:noWrap w:val="0"/>
            <w:vAlign w:val="center"/>
          </w:tcPr>
          <w:p w14:paraId="0EEDF8B9">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p>
        </w:tc>
        <w:tc>
          <w:tcPr>
            <w:tcW w:w="1417" w:type="dxa"/>
            <w:noWrap w:val="0"/>
            <w:vAlign w:val="center"/>
          </w:tcPr>
          <w:p w14:paraId="30E8B651">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cs="Times New Roman"/>
                <w:snapToGrid w:val="0"/>
                <w:color w:val="000000" w:themeColor="text1"/>
                <w:kern w:val="21"/>
                <w:szCs w:val="21"/>
                <w:highlight w:val="none"/>
                <w:lang w:val="en-US" w:eastAsia="zh-CN"/>
                <w14:textFill>
                  <w14:solidFill>
                    <w14:schemeClr w14:val="tx1"/>
                  </w14:solidFill>
                </w14:textFill>
              </w:rPr>
              <w:t>宠物毛发</w:t>
            </w:r>
          </w:p>
        </w:tc>
        <w:tc>
          <w:tcPr>
            <w:tcW w:w="1701" w:type="dxa"/>
            <w:noWrap w:val="0"/>
            <w:vAlign w:val="center"/>
          </w:tcPr>
          <w:p w14:paraId="6C7E98E8">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eastAsia" w:ascii="Times New Roman" w:cs="Times New Roman"/>
                <w:snapToGrid w:val="0"/>
                <w:color w:val="000000" w:themeColor="text1"/>
                <w:kern w:val="21"/>
                <w:szCs w:val="21"/>
                <w:highlight w:val="none"/>
                <w:lang w:val="en-US" w:eastAsia="zh-CN"/>
                <w14:textFill>
                  <w14:solidFill>
                    <w14:schemeClr w14:val="tx1"/>
                  </w14:solidFill>
                </w14:textFill>
              </w:rPr>
              <w:t>/</w:t>
            </w:r>
          </w:p>
        </w:tc>
        <w:tc>
          <w:tcPr>
            <w:tcW w:w="1276" w:type="dxa"/>
            <w:noWrap w:val="0"/>
            <w:vAlign w:val="center"/>
          </w:tcPr>
          <w:p w14:paraId="2038B062">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eastAsia" w:ascii="Times New Roman" w:cs="Times New Roman"/>
                <w:snapToGrid w:val="0"/>
                <w:color w:val="000000" w:themeColor="text1"/>
                <w:kern w:val="21"/>
                <w:szCs w:val="21"/>
                <w:highlight w:val="none"/>
                <w:lang w:val="en-US" w:eastAsia="zh-CN"/>
                <w14:textFill>
                  <w14:solidFill>
                    <w14:schemeClr w14:val="tx1"/>
                  </w14:solidFill>
                </w14:textFill>
              </w:rPr>
              <w:t>/</w:t>
            </w:r>
          </w:p>
        </w:tc>
        <w:tc>
          <w:tcPr>
            <w:tcW w:w="1701" w:type="dxa"/>
            <w:noWrap w:val="0"/>
            <w:vAlign w:val="center"/>
          </w:tcPr>
          <w:p w14:paraId="46577023">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eastAsia" w:ascii="Times New Roman" w:cs="Times New Roman"/>
                <w:snapToGrid w:val="0"/>
                <w:color w:val="000000" w:themeColor="text1"/>
                <w:kern w:val="21"/>
                <w:szCs w:val="21"/>
                <w:highlight w:val="none"/>
                <w:lang w:val="en-US" w:eastAsia="zh-CN"/>
                <w14:textFill>
                  <w14:solidFill>
                    <w14:schemeClr w14:val="tx1"/>
                  </w14:solidFill>
                </w14:textFill>
              </w:rPr>
              <w:t>/</w:t>
            </w:r>
          </w:p>
        </w:tc>
        <w:tc>
          <w:tcPr>
            <w:tcW w:w="1559" w:type="dxa"/>
            <w:noWrap w:val="0"/>
            <w:vAlign w:val="center"/>
          </w:tcPr>
          <w:p w14:paraId="71672B3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0.146</w:t>
            </w:r>
          </w:p>
        </w:tc>
        <w:tc>
          <w:tcPr>
            <w:tcW w:w="1761" w:type="dxa"/>
            <w:noWrap w:val="0"/>
            <w:vAlign w:val="center"/>
          </w:tcPr>
          <w:p w14:paraId="7341FCC6">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eastAsia" w:ascii="Times New Roman" w:cs="Times New Roman"/>
                <w:snapToGrid w:val="0"/>
                <w:color w:val="000000" w:themeColor="text1"/>
                <w:kern w:val="21"/>
                <w:szCs w:val="21"/>
                <w:highlight w:val="none"/>
                <w:lang w:val="en-US" w:eastAsia="zh-CN"/>
                <w14:textFill>
                  <w14:solidFill>
                    <w14:schemeClr w14:val="tx1"/>
                  </w14:solidFill>
                </w14:textFill>
              </w:rPr>
              <w:t>/</w:t>
            </w:r>
          </w:p>
        </w:tc>
        <w:tc>
          <w:tcPr>
            <w:tcW w:w="1959" w:type="dxa"/>
            <w:noWrap w:val="0"/>
            <w:vAlign w:val="center"/>
          </w:tcPr>
          <w:p w14:paraId="16EA584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napToGrid w:val="0"/>
                <w:color w:val="000000" w:themeColor="text1"/>
                <w:kern w:val="21"/>
                <w:szCs w:val="21"/>
                <w:highlight w:val="none"/>
                <w:lang w:val="en-US"/>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0.146</w:t>
            </w:r>
          </w:p>
        </w:tc>
        <w:tc>
          <w:tcPr>
            <w:tcW w:w="826" w:type="dxa"/>
            <w:noWrap w:val="0"/>
            <w:vAlign w:val="center"/>
          </w:tcPr>
          <w:p w14:paraId="440702C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0.146</w:t>
            </w:r>
          </w:p>
        </w:tc>
      </w:tr>
      <w:tr w14:paraId="525EFE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3005" w:type="dxa"/>
            <w:gridSpan w:val="3"/>
            <w:noWrap w:val="0"/>
            <w:vAlign w:val="center"/>
          </w:tcPr>
          <w:p w14:paraId="12E7A3C7">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cs="Times New Roman"/>
                <w:snapToGrid w:val="0"/>
                <w:color w:val="000000" w:themeColor="text1"/>
                <w:kern w:val="21"/>
                <w:szCs w:val="21"/>
                <w:highlight w:val="none"/>
                <w:lang w:val="en-US" w:eastAsia="zh-CN"/>
                <w14:textFill>
                  <w14:solidFill>
                    <w14:schemeClr w14:val="tx1"/>
                  </w14:solidFill>
                </w14:textFill>
              </w:rPr>
              <w:t>动物尸体</w:t>
            </w:r>
          </w:p>
        </w:tc>
        <w:tc>
          <w:tcPr>
            <w:tcW w:w="1701" w:type="dxa"/>
            <w:noWrap w:val="0"/>
            <w:vAlign w:val="center"/>
          </w:tcPr>
          <w:p w14:paraId="3B8E6590">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eastAsia" w:ascii="Times New Roman" w:cs="Times New Roman"/>
                <w:snapToGrid w:val="0"/>
                <w:color w:val="000000" w:themeColor="text1"/>
                <w:kern w:val="21"/>
                <w:szCs w:val="21"/>
                <w:highlight w:val="none"/>
                <w:lang w:val="en-US" w:eastAsia="zh-CN"/>
                <w14:textFill>
                  <w14:solidFill>
                    <w14:schemeClr w14:val="tx1"/>
                  </w14:solidFill>
                </w14:textFill>
              </w:rPr>
              <w:t>/</w:t>
            </w:r>
          </w:p>
        </w:tc>
        <w:tc>
          <w:tcPr>
            <w:tcW w:w="1276" w:type="dxa"/>
            <w:noWrap w:val="0"/>
            <w:vAlign w:val="center"/>
          </w:tcPr>
          <w:p w14:paraId="77A3B1CB">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eastAsia" w:ascii="Times New Roman" w:cs="Times New Roman"/>
                <w:snapToGrid w:val="0"/>
                <w:color w:val="000000" w:themeColor="text1"/>
                <w:kern w:val="21"/>
                <w:szCs w:val="21"/>
                <w:highlight w:val="none"/>
                <w:lang w:val="en-US" w:eastAsia="zh-CN"/>
                <w14:textFill>
                  <w14:solidFill>
                    <w14:schemeClr w14:val="tx1"/>
                  </w14:solidFill>
                </w14:textFill>
              </w:rPr>
              <w:t>/</w:t>
            </w:r>
          </w:p>
        </w:tc>
        <w:tc>
          <w:tcPr>
            <w:tcW w:w="1701" w:type="dxa"/>
            <w:noWrap w:val="0"/>
            <w:vAlign w:val="center"/>
          </w:tcPr>
          <w:p w14:paraId="10398ED4">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eastAsia" w:ascii="Times New Roman" w:cs="Times New Roman"/>
                <w:snapToGrid w:val="0"/>
                <w:color w:val="000000" w:themeColor="text1"/>
                <w:kern w:val="21"/>
                <w:szCs w:val="21"/>
                <w:highlight w:val="none"/>
                <w:lang w:val="en-US" w:eastAsia="zh-CN"/>
                <w14:textFill>
                  <w14:solidFill>
                    <w14:schemeClr w14:val="tx1"/>
                  </w14:solidFill>
                </w14:textFill>
              </w:rPr>
              <w:t>/</w:t>
            </w:r>
          </w:p>
        </w:tc>
        <w:tc>
          <w:tcPr>
            <w:tcW w:w="1559" w:type="dxa"/>
            <w:noWrap w:val="0"/>
            <w:vAlign w:val="center"/>
          </w:tcPr>
          <w:p w14:paraId="1C6C3E2D">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eastAsia"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cs="Times New Roman"/>
                <w:snapToGrid w:val="0"/>
                <w:color w:val="000000" w:themeColor="text1"/>
                <w:kern w:val="21"/>
                <w:szCs w:val="21"/>
                <w:highlight w:val="none"/>
                <w:lang w:val="en-US" w:eastAsia="zh-CN"/>
                <w14:textFill>
                  <w14:solidFill>
                    <w14:schemeClr w14:val="tx1"/>
                  </w14:solidFill>
                </w14:textFill>
              </w:rPr>
              <w:t>少量</w:t>
            </w:r>
          </w:p>
        </w:tc>
        <w:tc>
          <w:tcPr>
            <w:tcW w:w="1761" w:type="dxa"/>
            <w:noWrap w:val="0"/>
            <w:vAlign w:val="center"/>
          </w:tcPr>
          <w:p w14:paraId="3246BAC0">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eastAsia" w:ascii="Times New Roman" w:cs="Times New Roman"/>
                <w:snapToGrid w:val="0"/>
                <w:color w:val="000000" w:themeColor="text1"/>
                <w:kern w:val="21"/>
                <w:szCs w:val="21"/>
                <w:highlight w:val="none"/>
                <w:lang w:val="en-US" w:eastAsia="zh-CN"/>
                <w14:textFill>
                  <w14:solidFill>
                    <w14:schemeClr w14:val="tx1"/>
                  </w14:solidFill>
                </w14:textFill>
              </w:rPr>
              <w:t>/</w:t>
            </w:r>
          </w:p>
        </w:tc>
        <w:tc>
          <w:tcPr>
            <w:tcW w:w="1959" w:type="dxa"/>
            <w:noWrap w:val="0"/>
            <w:vAlign w:val="center"/>
          </w:tcPr>
          <w:p w14:paraId="00534E46">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eastAsia" w:ascii="Times New Roman" w:cs="Times New Roman"/>
                <w:snapToGrid w:val="0"/>
                <w:color w:val="000000" w:themeColor="text1"/>
                <w:kern w:val="21"/>
                <w:szCs w:val="21"/>
                <w:highlight w:val="none"/>
                <w:lang w:val="en-US" w:eastAsia="zh-CN"/>
                <w14:textFill>
                  <w14:solidFill>
                    <w14:schemeClr w14:val="tx1"/>
                  </w14:solidFill>
                </w14:textFill>
              </w:rPr>
              <w:t>少量</w:t>
            </w:r>
          </w:p>
        </w:tc>
        <w:tc>
          <w:tcPr>
            <w:tcW w:w="826" w:type="dxa"/>
            <w:noWrap w:val="0"/>
            <w:vAlign w:val="center"/>
          </w:tcPr>
          <w:p w14:paraId="692F22CA">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eastAsia" w:ascii="Times New Roman" w:cs="Times New Roman"/>
                <w:snapToGrid w:val="0"/>
                <w:color w:val="000000" w:themeColor="text1"/>
                <w:kern w:val="21"/>
                <w:szCs w:val="21"/>
                <w:highlight w:val="none"/>
                <w:lang w:val="en-US" w:eastAsia="zh-CN"/>
                <w14:textFill>
                  <w14:solidFill>
                    <w14:schemeClr w14:val="tx1"/>
                  </w14:solidFill>
                </w14:textFill>
              </w:rPr>
              <w:t>少量</w:t>
            </w:r>
          </w:p>
        </w:tc>
      </w:tr>
      <w:tr w14:paraId="185D93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02" w:type="dxa"/>
            <w:vMerge w:val="restart"/>
            <w:noWrap w:val="0"/>
            <w:vAlign w:val="center"/>
          </w:tcPr>
          <w:p w14:paraId="20EBA0F4">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t>危险废物</w:t>
            </w:r>
          </w:p>
        </w:tc>
        <w:tc>
          <w:tcPr>
            <w:tcW w:w="1503" w:type="dxa"/>
            <w:gridSpan w:val="2"/>
            <w:noWrap w:val="0"/>
            <w:vAlign w:val="center"/>
          </w:tcPr>
          <w:p w14:paraId="139CC98C">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t>医疗废物</w:t>
            </w:r>
          </w:p>
        </w:tc>
        <w:tc>
          <w:tcPr>
            <w:tcW w:w="1701" w:type="dxa"/>
            <w:noWrap w:val="0"/>
            <w:vAlign w:val="center"/>
          </w:tcPr>
          <w:p w14:paraId="303A374A">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eastAsia" w:ascii="Times New Roman" w:cs="Times New Roman"/>
                <w:snapToGrid w:val="0"/>
                <w:color w:val="000000" w:themeColor="text1"/>
                <w:kern w:val="21"/>
                <w:szCs w:val="21"/>
                <w:highlight w:val="none"/>
                <w:lang w:val="en-US" w:eastAsia="zh-CN"/>
                <w14:textFill>
                  <w14:solidFill>
                    <w14:schemeClr w14:val="tx1"/>
                  </w14:solidFill>
                </w14:textFill>
              </w:rPr>
              <w:t>/</w:t>
            </w:r>
          </w:p>
        </w:tc>
        <w:tc>
          <w:tcPr>
            <w:tcW w:w="1276" w:type="dxa"/>
            <w:noWrap w:val="0"/>
            <w:vAlign w:val="center"/>
          </w:tcPr>
          <w:p w14:paraId="3ACC7C8E">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eastAsia" w:ascii="Times New Roman" w:cs="Times New Roman"/>
                <w:snapToGrid w:val="0"/>
                <w:color w:val="000000" w:themeColor="text1"/>
                <w:kern w:val="21"/>
                <w:szCs w:val="21"/>
                <w:highlight w:val="none"/>
                <w:lang w:val="en-US" w:eastAsia="zh-CN"/>
                <w14:textFill>
                  <w14:solidFill>
                    <w14:schemeClr w14:val="tx1"/>
                  </w14:solidFill>
                </w14:textFill>
              </w:rPr>
              <w:t>/</w:t>
            </w:r>
          </w:p>
        </w:tc>
        <w:tc>
          <w:tcPr>
            <w:tcW w:w="1701" w:type="dxa"/>
            <w:noWrap w:val="0"/>
            <w:vAlign w:val="center"/>
          </w:tcPr>
          <w:p w14:paraId="021DA1C7">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eastAsia" w:ascii="Times New Roman" w:cs="Times New Roman"/>
                <w:snapToGrid w:val="0"/>
                <w:color w:val="000000" w:themeColor="text1"/>
                <w:kern w:val="21"/>
                <w:szCs w:val="21"/>
                <w:highlight w:val="none"/>
                <w:lang w:val="en-US" w:eastAsia="zh-CN"/>
                <w14:textFill>
                  <w14:solidFill>
                    <w14:schemeClr w14:val="tx1"/>
                  </w14:solidFill>
                </w14:textFill>
              </w:rPr>
              <w:t>/</w:t>
            </w:r>
          </w:p>
        </w:tc>
        <w:tc>
          <w:tcPr>
            <w:tcW w:w="1559" w:type="dxa"/>
            <w:noWrap w:val="0"/>
            <w:vAlign w:val="center"/>
          </w:tcPr>
          <w:p w14:paraId="1A860BA2">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1.752</w:t>
            </w:r>
          </w:p>
        </w:tc>
        <w:tc>
          <w:tcPr>
            <w:tcW w:w="1761" w:type="dxa"/>
            <w:noWrap w:val="0"/>
            <w:vAlign w:val="center"/>
          </w:tcPr>
          <w:p w14:paraId="279BE32B">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eastAsia" w:ascii="Times New Roman" w:cs="Times New Roman"/>
                <w:snapToGrid w:val="0"/>
                <w:color w:val="000000" w:themeColor="text1"/>
                <w:kern w:val="21"/>
                <w:szCs w:val="21"/>
                <w:highlight w:val="none"/>
                <w:lang w:val="en-US" w:eastAsia="zh-CN"/>
                <w14:textFill>
                  <w14:solidFill>
                    <w14:schemeClr w14:val="tx1"/>
                  </w14:solidFill>
                </w14:textFill>
              </w:rPr>
              <w:t>/</w:t>
            </w:r>
          </w:p>
        </w:tc>
        <w:tc>
          <w:tcPr>
            <w:tcW w:w="1959" w:type="dxa"/>
            <w:noWrap w:val="0"/>
            <w:vAlign w:val="center"/>
          </w:tcPr>
          <w:p w14:paraId="6F266124">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420" w:leftChars="0" w:hanging="420" w:hangingChars="20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1.752</w:t>
            </w:r>
          </w:p>
        </w:tc>
        <w:tc>
          <w:tcPr>
            <w:tcW w:w="826" w:type="dxa"/>
            <w:noWrap w:val="0"/>
            <w:vAlign w:val="center"/>
          </w:tcPr>
          <w:p w14:paraId="0103E8B5">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420" w:leftChars="0" w:hanging="420" w:hangingChars="20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1.752</w:t>
            </w:r>
          </w:p>
        </w:tc>
      </w:tr>
      <w:tr w14:paraId="7DDF92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02" w:type="dxa"/>
            <w:vMerge w:val="continue"/>
            <w:noWrap w:val="0"/>
            <w:vAlign w:val="center"/>
          </w:tcPr>
          <w:p w14:paraId="4FD863FC">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p>
        </w:tc>
        <w:tc>
          <w:tcPr>
            <w:tcW w:w="1503" w:type="dxa"/>
            <w:gridSpan w:val="2"/>
            <w:noWrap w:val="0"/>
            <w:vAlign w:val="center"/>
          </w:tcPr>
          <w:p w14:paraId="0133E0E4">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Cs w:val="21"/>
                <w:highlight w:val="none"/>
                <w14:textFill>
                  <w14:solidFill>
                    <w14:schemeClr w14:val="tx1"/>
                  </w14:solidFill>
                </w14:textFill>
              </w:rPr>
              <w:t>废紫外灯管</w:t>
            </w:r>
          </w:p>
        </w:tc>
        <w:tc>
          <w:tcPr>
            <w:tcW w:w="1701" w:type="dxa"/>
            <w:noWrap w:val="0"/>
            <w:vAlign w:val="center"/>
          </w:tcPr>
          <w:p w14:paraId="402B6FA3">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eastAsia" w:ascii="Times New Roman" w:cs="Times New Roman"/>
                <w:snapToGrid w:val="0"/>
                <w:color w:val="000000" w:themeColor="text1"/>
                <w:kern w:val="21"/>
                <w:szCs w:val="21"/>
                <w:highlight w:val="none"/>
                <w:lang w:val="en-US" w:eastAsia="zh-CN"/>
                <w14:textFill>
                  <w14:solidFill>
                    <w14:schemeClr w14:val="tx1"/>
                  </w14:solidFill>
                </w14:textFill>
              </w:rPr>
              <w:t>/</w:t>
            </w:r>
          </w:p>
        </w:tc>
        <w:tc>
          <w:tcPr>
            <w:tcW w:w="1276" w:type="dxa"/>
            <w:noWrap w:val="0"/>
            <w:vAlign w:val="center"/>
          </w:tcPr>
          <w:p w14:paraId="53945B00">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eastAsia" w:ascii="Times New Roman" w:cs="Times New Roman"/>
                <w:snapToGrid w:val="0"/>
                <w:color w:val="000000" w:themeColor="text1"/>
                <w:kern w:val="21"/>
                <w:szCs w:val="21"/>
                <w:highlight w:val="none"/>
                <w:lang w:val="en-US" w:eastAsia="zh-CN"/>
                <w14:textFill>
                  <w14:solidFill>
                    <w14:schemeClr w14:val="tx1"/>
                  </w14:solidFill>
                </w14:textFill>
              </w:rPr>
              <w:t>/</w:t>
            </w:r>
          </w:p>
        </w:tc>
        <w:tc>
          <w:tcPr>
            <w:tcW w:w="1701" w:type="dxa"/>
            <w:noWrap w:val="0"/>
            <w:vAlign w:val="center"/>
          </w:tcPr>
          <w:p w14:paraId="60C567F1">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eastAsia" w:ascii="Times New Roman" w:cs="Times New Roman"/>
                <w:snapToGrid w:val="0"/>
                <w:color w:val="000000" w:themeColor="text1"/>
                <w:kern w:val="21"/>
                <w:szCs w:val="21"/>
                <w:highlight w:val="none"/>
                <w:lang w:val="en-US" w:eastAsia="zh-CN"/>
                <w14:textFill>
                  <w14:solidFill>
                    <w14:schemeClr w14:val="tx1"/>
                  </w14:solidFill>
                </w14:textFill>
              </w:rPr>
              <w:t>/</w:t>
            </w:r>
          </w:p>
        </w:tc>
        <w:tc>
          <w:tcPr>
            <w:tcW w:w="1559" w:type="dxa"/>
            <w:noWrap w:val="0"/>
            <w:vAlign w:val="center"/>
          </w:tcPr>
          <w:p w14:paraId="56AE98A4">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cs="Times New Roman"/>
                <w:snapToGrid w:val="0"/>
                <w:color w:val="000000" w:themeColor="text1"/>
                <w:kern w:val="21"/>
                <w:szCs w:val="21"/>
                <w:highlight w:val="none"/>
                <w:lang w:val="en-US" w:eastAsia="zh-CN"/>
                <w14:textFill>
                  <w14:solidFill>
                    <w14:schemeClr w14:val="tx1"/>
                  </w14:solidFill>
                </w14:textFill>
              </w:rPr>
              <w:t>0.01</w:t>
            </w:r>
          </w:p>
        </w:tc>
        <w:tc>
          <w:tcPr>
            <w:tcW w:w="1761" w:type="dxa"/>
            <w:noWrap w:val="0"/>
            <w:vAlign w:val="center"/>
          </w:tcPr>
          <w:p w14:paraId="2245F39E">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eastAsia" w:ascii="Times New Roman" w:cs="Times New Roman"/>
                <w:snapToGrid w:val="0"/>
                <w:color w:val="000000" w:themeColor="text1"/>
                <w:kern w:val="21"/>
                <w:szCs w:val="21"/>
                <w:highlight w:val="none"/>
                <w:lang w:val="en-US" w:eastAsia="zh-CN"/>
                <w14:textFill>
                  <w14:solidFill>
                    <w14:schemeClr w14:val="tx1"/>
                  </w14:solidFill>
                </w14:textFill>
              </w:rPr>
              <w:t>/</w:t>
            </w:r>
          </w:p>
        </w:tc>
        <w:tc>
          <w:tcPr>
            <w:tcW w:w="1959" w:type="dxa"/>
            <w:noWrap w:val="0"/>
            <w:vAlign w:val="center"/>
          </w:tcPr>
          <w:p w14:paraId="7D0F7DAD">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420" w:leftChars="0" w:hanging="420" w:hangingChars="20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eastAsia" w:ascii="Times New Roman" w:cs="Times New Roman"/>
                <w:snapToGrid w:val="0"/>
                <w:color w:val="000000" w:themeColor="text1"/>
                <w:kern w:val="21"/>
                <w:szCs w:val="21"/>
                <w:highlight w:val="none"/>
                <w:lang w:val="en-US" w:eastAsia="zh-CN"/>
                <w14:textFill>
                  <w14:solidFill>
                    <w14:schemeClr w14:val="tx1"/>
                  </w14:solidFill>
                </w14:textFill>
              </w:rPr>
              <w:t>0.01</w:t>
            </w:r>
          </w:p>
        </w:tc>
        <w:tc>
          <w:tcPr>
            <w:tcW w:w="826" w:type="dxa"/>
            <w:noWrap w:val="0"/>
            <w:vAlign w:val="center"/>
          </w:tcPr>
          <w:p w14:paraId="7B44FFA9">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420" w:leftChars="0" w:hanging="420" w:hangingChars="20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eastAsia" w:ascii="Times New Roman" w:cs="Times New Roman"/>
                <w:snapToGrid w:val="0"/>
                <w:color w:val="000000" w:themeColor="text1"/>
                <w:kern w:val="21"/>
                <w:szCs w:val="21"/>
                <w:highlight w:val="none"/>
                <w:lang w:val="en-US" w:eastAsia="zh-CN"/>
                <w14:textFill>
                  <w14:solidFill>
                    <w14:schemeClr w14:val="tx1"/>
                  </w14:solidFill>
                </w14:textFill>
              </w:rPr>
              <w:t>0.01</w:t>
            </w:r>
          </w:p>
        </w:tc>
      </w:tr>
      <w:tr w14:paraId="7AD96F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3005" w:type="dxa"/>
            <w:gridSpan w:val="3"/>
            <w:noWrap w:val="0"/>
            <w:vAlign w:val="center"/>
          </w:tcPr>
          <w:p w14:paraId="2BC41024">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t>生活垃圾</w:t>
            </w:r>
          </w:p>
        </w:tc>
        <w:tc>
          <w:tcPr>
            <w:tcW w:w="1701" w:type="dxa"/>
            <w:noWrap w:val="0"/>
            <w:vAlign w:val="center"/>
          </w:tcPr>
          <w:p w14:paraId="5B5CF0D5">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eastAsia" w:ascii="Times New Roman" w:cs="Times New Roman"/>
                <w:snapToGrid w:val="0"/>
                <w:color w:val="000000" w:themeColor="text1"/>
                <w:kern w:val="21"/>
                <w:szCs w:val="21"/>
                <w:highlight w:val="none"/>
                <w:lang w:val="en-US" w:eastAsia="zh-CN"/>
                <w14:textFill>
                  <w14:solidFill>
                    <w14:schemeClr w14:val="tx1"/>
                  </w14:solidFill>
                </w14:textFill>
              </w:rPr>
              <w:t>/</w:t>
            </w:r>
          </w:p>
        </w:tc>
        <w:tc>
          <w:tcPr>
            <w:tcW w:w="1276" w:type="dxa"/>
            <w:noWrap w:val="0"/>
            <w:vAlign w:val="center"/>
          </w:tcPr>
          <w:p w14:paraId="6E42A4BD">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eastAsia" w:ascii="Times New Roman" w:cs="Times New Roman"/>
                <w:snapToGrid w:val="0"/>
                <w:color w:val="000000" w:themeColor="text1"/>
                <w:kern w:val="21"/>
                <w:szCs w:val="21"/>
                <w:highlight w:val="none"/>
                <w:lang w:val="en-US" w:eastAsia="zh-CN"/>
                <w14:textFill>
                  <w14:solidFill>
                    <w14:schemeClr w14:val="tx1"/>
                  </w14:solidFill>
                </w14:textFill>
              </w:rPr>
              <w:t>/</w:t>
            </w:r>
          </w:p>
        </w:tc>
        <w:tc>
          <w:tcPr>
            <w:tcW w:w="1701" w:type="dxa"/>
            <w:noWrap w:val="0"/>
            <w:vAlign w:val="center"/>
          </w:tcPr>
          <w:p w14:paraId="5789461F">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eastAsia" w:ascii="Times New Roman" w:cs="Times New Roman"/>
                <w:snapToGrid w:val="0"/>
                <w:color w:val="000000" w:themeColor="text1"/>
                <w:kern w:val="21"/>
                <w:szCs w:val="21"/>
                <w:highlight w:val="none"/>
                <w:lang w:val="en-US" w:eastAsia="zh-CN"/>
                <w14:textFill>
                  <w14:solidFill>
                    <w14:schemeClr w14:val="tx1"/>
                  </w14:solidFill>
                </w14:textFill>
              </w:rPr>
              <w:t>/</w:t>
            </w:r>
          </w:p>
        </w:tc>
        <w:tc>
          <w:tcPr>
            <w:tcW w:w="1559" w:type="dxa"/>
            <w:noWrap w:val="0"/>
            <w:vAlign w:val="center"/>
          </w:tcPr>
          <w:p w14:paraId="385C1EA1">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7.1175</w:t>
            </w:r>
          </w:p>
        </w:tc>
        <w:tc>
          <w:tcPr>
            <w:tcW w:w="1761" w:type="dxa"/>
            <w:noWrap w:val="0"/>
            <w:vAlign w:val="center"/>
          </w:tcPr>
          <w:p w14:paraId="70BFADC1">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eastAsia" w:ascii="Times New Roman" w:cs="Times New Roman"/>
                <w:snapToGrid w:val="0"/>
                <w:color w:val="000000" w:themeColor="text1"/>
                <w:kern w:val="21"/>
                <w:szCs w:val="21"/>
                <w:highlight w:val="none"/>
                <w:lang w:val="en-US" w:eastAsia="zh-CN"/>
                <w14:textFill>
                  <w14:solidFill>
                    <w14:schemeClr w14:val="tx1"/>
                  </w14:solidFill>
                </w14:textFill>
              </w:rPr>
              <w:t>/</w:t>
            </w:r>
          </w:p>
        </w:tc>
        <w:tc>
          <w:tcPr>
            <w:tcW w:w="1959" w:type="dxa"/>
            <w:noWrap w:val="0"/>
            <w:vAlign w:val="center"/>
          </w:tcPr>
          <w:p w14:paraId="5D68EFAD">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7.1175</w:t>
            </w:r>
          </w:p>
        </w:tc>
        <w:tc>
          <w:tcPr>
            <w:tcW w:w="826" w:type="dxa"/>
            <w:noWrap w:val="0"/>
            <w:vAlign w:val="center"/>
          </w:tcPr>
          <w:p w14:paraId="5D65D760">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7.1175</w:t>
            </w:r>
          </w:p>
        </w:tc>
      </w:tr>
    </w:tbl>
    <w:p w14:paraId="6B28D1FA">
      <w:pPr>
        <w:pStyle w:val="41"/>
        <w:spacing w:before="192" w:beforeLines="80" w:after="24"/>
        <w:jc w:val="left"/>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sectPr>
          <w:footerReference r:id="rId11" w:type="default"/>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pPr>
      <w:r>
        <w:rPr>
          <w:rFonts w:hint="default" w:ascii="Times New Roman" w:hAnsi="Times New Roman" w:cs="Times New Roman"/>
          <w:snapToGrid w:val="0"/>
          <w:color w:val="000000" w:themeColor="text1"/>
          <w:kern w:val="21"/>
          <w:szCs w:val="21"/>
          <w:highlight w:val="none"/>
          <w14:textFill>
            <w14:solidFill>
              <w14:schemeClr w14:val="tx1"/>
            </w14:solidFill>
          </w14:textFill>
        </w:rPr>
        <w:t>注：</w:t>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fldChar w:fldCharType="begin"/>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instrText xml:space="preserve"> = 6 \* GB3 \* MERGEFORMAT </w:instrText>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fldChar w:fldCharType="separate"/>
      </w:r>
      <w:r>
        <w:rPr>
          <w:rFonts w:hint="default" w:ascii="Times New Roman" w:hAnsi="Times New Roman" w:cs="Times New Roman"/>
          <w:color w:val="000000" w:themeColor="text1"/>
          <w:szCs w:val="21"/>
          <w:highlight w:val="none"/>
          <w14:textFill>
            <w14:solidFill>
              <w14:schemeClr w14:val="tx1"/>
            </w14:solidFill>
          </w14:textFill>
        </w:rPr>
        <w:t>⑥</w:t>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fldChar w:fldCharType="end"/>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t>=</w: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begin"/>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instrText xml:space="preserve"> = 1 \* GB3 \* MERGEFORMAT </w:instrTex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separate"/>
      </w:r>
      <w:r>
        <w:rPr>
          <w:rFonts w:hint="default" w:ascii="Times New Roman" w:hAnsi="Times New Roman" w:cs="Times New Roman"/>
          <w:color w:val="000000" w:themeColor="text1"/>
          <w:szCs w:val="21"/>
          <w:highlight w:val="none"/>
          <w14:textFill>
            <w14:solidFill>
              <w14:schemeClr w14:val="tx1"/>
            </w14:solidFill>
          </w14:textFill>
        </w:rPr>
        <w:t>①</w: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end"/>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t>+</w: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begin"/>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instrText xml:space="preserve"> = 3 \* GB3 \* MERGEFORMAT </w:instrTex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separate"/>
      </w:r>
      <w:r>
        <w:rPr>
          <w:rFonts w:hint="default" w:ascii="Times New Roman" w:hAnsi="Times New Roman" w:cs="Times New Roman"/>
          <w:color w:val="000000" w:themeColor="text1"/>
          <w:szCs w:val="21"/>
          <w:highlight w:val="none"/>
          <w14:textFill>
            <w14:solidFill>
              <w14:schemeClr w14:val="tx1"/>
            </w14:solidFill>
          </w14:textFill>
        </w:rPr>
        <w:t>③</w: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end"/>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t>+</w: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begin"/>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instrText xml:space="preserve"> = 4 \* GB3 \* MERGEFORMAT </w:instrTex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separate"/>
      </w:r>
      <w:r>
        <w:rPr>
          <w:rFonts w:hint="default" w:ascii="Times New Roman" w:hAnsi="Times New Roman" w:cs="Times New Roman"/>
          <w:color w:val="000000" w:themeColor="text1"/>
          <w:szCs w:val="21"/>
          <w:highlight w:val="none"/>
          <w14:textFill>
            <w14:solidFill>
              <w14:schemeClr w14:val="tx1"/>
            </w14:solidFill>
          </w14:textFill>
        </w:rPr>
        <w:t>④</w: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end"/>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t>-</w:t>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fldChar w:fldCharType="begin"/>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instrText xml:space="preserve"> = 5 \* GB3 \* MERGEFORMAT </w:instrText>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fldChar w:fldCharType="separate"/>
      </w:r>
      <w:r>
        <w:rPr>
          <w:rFonts w:hint="default" w:ascii="Times New Roman" w:hAnsi="Times New Roman" w:cs="Times New Roman"/>
          <w:color w:val="000000" w:themeColor="text1"/>
          <w:szCs w:val="21"/>
          <w:highlight w:val="none"/>
          <w14:textFill>
            <w14:solidFill>
              <w14:schemeClr w14:val="tx1"/>
            </w14:solidFill>
          </w14:textFill>
        </w:rPr>
        <w:t>⑤</w:t>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fldChar w:fldCharType="end"/>
      </w:r>
      <w:r>
        <w:rPr>
          <w:rFonts w:hint="eastAsia" w:ascii="Times New Roman" w:cs="Times New Roman"/>
          <w:snapToGrid w:val="0"/>
          <w:color w:val="000000" w:themeColor="text1"/>
          <w:spacing w:val="-16"/>
          <w:kern w:val="21"/>
          <w:szCs w:val="21"/>
          <w:highlight w:val="none"/>
          <w:lang w:eastAsia="zh-CN"/>
          <w14:textFill>
            <w14:solidFill>
              <w14:schemeClr w14:val="tx1"/>
            </w14:solidFill>
          </w14:textFill>
        </w:rPr>
        <w:t>；</w: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begin"/>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instrText xml:space="preserve"> = 7 \* GB3 \* MERGEFORMAT </w:instrTex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separate"/>
      </w:r>
      <w:r>
        <w:rPr>
          <w:rFonts w:hint="default" w:ascii="Times New Roman" w:hAnsi="Times New Roman" w:cs="Times New Roman"/>
          <w:color w:val="000000" w:themeColor="text1"/>
          <w:szCs w:val="21"/>
          <w:highlight w:val="none"/>
          <w14:textFill>
            <w14:solidFill>
              <w14:schemeClr w14:val="tx1"/>
            </w14:solidFill>
          </w14:textFill>
        </w:rPr>
        <w:t>⑦</w: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end"/>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t>=</w:t>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fldChar w:fldCharType="begin"/>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instrText xml:space="preserve"> = 6 \* GB3 \* MERGEFORMAT </w:instrText>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fldChar w:fldCharType="separate"/>
      </w:r>
      <w:r>
        <w:rPr>
          <w:rFonts w:hint="default" w:ascii="Times New Roman" w:hAnsi="Times New Roman" w:cs="Times New Roman"/>
          <w:color w:val="000000" w:themeColor="text1"/>
          <w:szCs w:val="21"/>
          <w:highlight w:val="none"/>
          <w14:textFill>
            <w14:solidFill>
              <w14:schemeClr w14:val="tx1"/>
            </w14:solidFill>
          </w14:textFill>
        </w:rPr>
        <w:t>⑥</w:t>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fldChar w:fldCharType="end"/>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t>-</w: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begin"/>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instrText xml:space="preserve"> = 1 \* GB3 \* MERGEFORMAT </w:instrTex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separate"/>
      </w:r>
      <w:r>
        <w:rPr>
          <w:rFonts w:hint="default" w:ascii="Times New Roman" w:hAnsi="Times New Roman" w:cs="Times New Roman"/>
          <w:color w:val="000000" w:themeColor="text1"/>
          <w:szCs w:val="21"/>
          <w:highlight w:val="none"/>
          <w14:textFill>
            <w14:solidFill>
              <w14:schemeClr w14:val="tx1"/>
            </w14:solidFill>
          </w14:textFill>
        </w:rPr>
        <w:t>①</w: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end"/>
      </w:r>
    </w:p>
    <w:p w14:paraId="404BB6D6">
      <w:pPr>
        <w:rPr>
          <w:rFonts w:hint="default"/>
        </w:rPr>
      </w:pPr>
      <w:r>
        <w:drawing>
          <wp:inline distT="0" distB="0" distL="114300" distR="114300">
            <wp:extent cx="5610860" cy="7296150"/>
            <wp:effectExtent l="0" t="0" r="8890" b="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pic:cNvPicPr>
                      <a:picLocks noChangeAspect="1"/>
                    </pic:cNvPicPr>
                  </pic:nvPicPr>
                  <pic:blipFill>
                    <a:blip r:embed="rId32"/>
                    <a:stretch>
                      <a:fillRect/>
                    </a:stretch>
                  </pic:blipFill>
                  <pic:spPr>
                    <a:xfrm>
                      <a:off x="0" y="0"/>
                      <a:ext cx="5610860" cy="7296150"/>
                    </a:xfrm>
                    <a:prstGeom prst="rect">
                      <a:avLst/>
                    </a:prstGeom>
                    <a:noFill/>
                    <a:ln>
                      <a:noFill/>
                    </a:ln>
                  </pic:spPr>
                </pic:pic>
              </a:graphicData>
            </a:graphic>
          </wp:inline>
        </w:drawing>
      </w:r>
    </w:p>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幼圆">
    <w:altName w:val="宋体"/>
    <w:panose1 w:val="02010509060101010101"/>
    <w:charset w:val="86"/>
    <w:family w:val="modern"/>
    <w:pitch w:val="default"/>
    <w:sig w:usb0="00000000" w:usb1="00000000" w:usb2="00000000" w:usb3="00000000" w:csb0="00040000" w:csb1="00000000"/>
  </w:font>
  <w:font w:name="Wingdings 2">
    <w:altName w:val="Wingdings"/>
    <w:panose1 w:val="05020102010507070707"/>
    <w:charset w:val="00"/>
    <w:family w:val="auto"/>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9EA480">
    <w:pPr>
      <w:pStyle w:val="13"/>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7C3D12">
    <w:pPr>
      <w:pStyle w:val="13"/>
      <w:ind w:right="360"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B863B3">
    <w:pPr>
      <w:pStyle w:val="13"/>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5B8F67">
    <w:pPr>
      <w:pStyle w:val="13"/>
      <w:ind w:right="360" w:firstLine="360"/>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0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658D224">
                          <w:pPr>
                            <w:pStyle w:val="13"/>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1032"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fMQQuEBAADCAwAADgAAAGRycy9lMm9Eb2MueG1srVPNjtMwEL4j8Q6W&#10;7zRpkVCpmq6AahESAqSFB3Adp7HkP3mmTcoDwBtw4sKd5+pz7NhJurB72cNekvHM+Jv5vhmvr3pr&#10;2FFF0N5VfD4rOVNO+lq7fcW/fb1+seQMULhaGO9UxU8K+NXm+bN1F1Zq4VtvahUZgThYdaHiLWJY&#10;FQXIVlkBMx+Uo2DjoxVIx7gv6ig6QremWJTlq6LzsQ7RSwVA3u0Q5CNifAygbxot1dbLg1UOB9So&#10;jECiBK0OwDe526ZREj83DShkpuLEFPOXipC9S99isxarfRSh1XJsQTymhXucrNCOil6gtgIFO0T9&#10;AMpqGT34BmfS22IgkhUhFvPynjY3rQgqcyGpIVxEh6eDlZ+OXyLTNW3Ca86csDTx86+f599/z39+&#10;sHn5cpEk6gKsKPMmUC72b31P6ZMfyJmY90206U+cGMVJ4NNFYNUjk+nScrFclhSSFJsOhF/cXQ8R&#10;8L3yliWj4pEmmIUVx4+AQ+qUkqo5f62NyVM07j8HYSZPkXofekwW9rt+JLTz9Yn40FOgOq2P3znr&#10;aBEq7mjvOTMfHOmcdmYy4mTsJkM4SRcrjpwN5jscdusQot63edtSUxDeHJA6zQRSG0PtsTsabZZg&#10;XMO0O/+ec9bd09vc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A98xBC4QEAAMIDAAAOAAAA&#10;AAAAAAEAIAAAAB4BAABkcnMvZTJvRG9jLnhtbFBLBQYAAAAABgAGAFkBAABxBQAAAAA=&#10;">
              <v:fill on="f" focussize="0,0"/>
              <v:stroke on="f"/>
              <v:imagedata o:title=""/>
              <o:lock v:ext="edit" aspectratio="f"/>
              <v:textbox inset="0mm,0mm,0mm,0mm" style="mso-fit-shape-to-text:t;">
                <w:txbxContent>
                  <w:p w14:paraId="0658D224">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4DFF7F">
    <w:pPr>
      <w:pStyle w:val="13"/>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posOffset>2779395</wp:posOffset>
              </wp:positionH>
              <wp:positionV relativeFrom="paragraph">
                <wp:posOffset>-341630</wp:posOffset>
              </wp:positionV>
              <wp:extent cx="1828800" cy="1828800"/>
              <wp:effectExtent l="0" t="0" r="0" b="0"/>
              <wp:wrapNone/>
              <wp:docPr id="4" name="文本框 10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5C5F033">
                          <w:pPr>
                            <w:pStyle w:val="13"/>
                          </w:pPr>
                          <w:r>
                            <w:fldChar w:fldCharType="begin"/>
                          </w:r>
                          <w:r>
                            <w:instrText xml:space="preserve"> PAGE  \* MERGEFORMAT </w:instrText>
                          </w:r>
                          <w:r>
                            <w:fldChar w:fldCharType="separate"/>
                          </w:r>
                          <w:r>
                            <w:t>2</w:t>
                          </w:r>
                          <w:r>
                            <w:fldChar w:fldCharType="end"/>
                          </w:r>
                        </w:p>
                      </w:txbxContent>
                    </wps:txbx>
                    <wps:bodyPr vert="horz" wrap="none" lIns="0" tIns="0" rIns="0" bIns="0" anchor="t" anchorCtr="0" upright="0">
                      <a:spAutoFit/>
                    </wps:bodyPr>
                  </wps:wsp>
                </a:graphicData>
              </a:graphic>
            </wp:anchor>
          </w:drawing>
        </mc:Choice>
        <mc:Fallback>
          <w:pict>
            <v:shape id="文本框 1033" o:spid="_x0000_s1026" o:spt="202" type="#_x0000_t202" style="position:absolute;left:0pt;margin-left:218.85pt;margin-top:-26.9pt;height:144pt;width:144pt;mso-position-horizontal-relative:margin;mso-wrap-style:none;z-index:251659264;mso-width-relative:page;mso-height-relative:page;" filled="f" stroked="f" coordsize="21600,21600" o:gfxdata="UEsDBAoAAAAAAIdO4kAAAAAAAAAAAAAAAAAEAAAAZHJzL1BLAwQUAAAACACHTuJAjyEaVdcAAAAL&#10;AQAADwAAAGRycy9kb3ducmV2LnhtbE2PwU7DMAyG70i8Q2Qkblu6dqNTabrDJC7cGAiJW9Z4TUXi&#10;VE3WtW+POcHR9qff318fZu/EhGPsAynYrDMQSG0wPXUKPt5fVnsQMWky2gVCBQtGODT3d7WuTLjR&#10;G06n1AkOoVhpBTaloZIytha9juswIPHtEkavE49jJ82obxzuncyz7El63RN/sHrAo8X2+3T1Csr5&#10;M+AQ8Yhfl6kdbb/s3eui1OPDJnsGkXBOfzD86rM6NOx0DlcyUTgF26IsGVWw2hXcgYky3/HmrCAv&#10;tjnIppb/OzQ/UEsDBBQAAAAIAIdO4kDEn11s4QEAAMEDAAAOAAAAZHJzL2Uyb0RvYy54bWytU8GO&#10;0zAQvSPxD5bvNGkXoapqugKqRUgIkBY+wHWcxpLtsexpk/IB8AecuHDnu/odjJ2ky+5e9sAlGc+M&#10;38x7M15f99awowpRg6v4fFZyppyEWrt9xb9+uXmx5CyicLUw4FTFTyry683zZ+vOr9QCWjC1CoxA&#10;XFx1vuItol8VRZStsiLOwCtHwQaCFUjHsC/qIDpCt6ZYlOWrooNQ+wBSxUje7RDkI2J4CiA0jZZq&#10;C/JglcMBNSgjkCjFVvvIN7nbplESPzVNVMhMxYkp5i8VIXuXvsVmLVb7IHyr5diCeEoLDzhZoR0V&#10;vUBtBQp2CPoRlNUyQIQGZxJsMRDJihCLeflAm9tWeJW5kNTRX0SP/w9Wfjx+DkzXFX/JmROWBn7+&#10;+eP868/593c2L6+ukkKdjytKvPWUiv0b6GlvJn8kZyLeN8GmP1FiFCd9Txd9VY9MpkvLxXJZUkhS&#10;bDoQfnF33YeI7xRYloyKBxpg1lUcP0QcUqeUVM3BjTYmD9G4ew7CTJ4i9T70mCzsd/1IaAf1ifjQ&#10;S6A6LYRvnHW0BxV3tPacmfeOZE4rMxlhMnaTIZykixVHzgbzLQ6rdfBB79u8bKmp6F8fkDrNBFIb&#10;Q+2xO5pslmDcwrQ6/55z1t3L2/w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jyEaVdcAAAALAQAA&#10;DwAAAAAAAAABACAAAAAiAAAAZHJzL2Rvd25yZXYueG1sUEsBAhQAFAAAAAgAh07iQMSfXWzhAQAA&#10;wQMAAA4AAAAAAAAAAQAgAAAAJgEAAGRycy9lMm9Eb2MueG1sUEsFBgAAAAAGAAYAWQEAAHkFAAAA&#10;AA==&#10;">
              <v:fill on="f" focussize="0,0"/>
              <v:stroke on="f"/>
              <v:imagedata o:title=""/>
              <o:lock v:ext="edit" aspectratio="f"/>
              <v:textbox inset="0mm,0mm,0mm,0mm" style="mso-fit-shape-to-text:t;">
                <w:txbxContent>
                  <w:p w14:paraId="65C5F033">
                    <w:pPr>
                      <w:pStyle w:val="13"/>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4A74BA">
    <w:pPr>
      <w:pStyle w:val="13"/>
      <w:ind w:right="360"/>
      <w:jc w:val="center"/>
    </w:pPr>
    <w:r>
      <w:rPr>
        <w:sz w:val="18"/>
      </w:rPr>
      <mc:AlternateContent>
        <mc:Choice Requires="wps">
          <w:drawing>
            <wp:anchor distT="0" distB="0" distL="114300" distR="114300" simplePos="0" relativeHeight="251662336" behindDoc="0" locked="0" layoutInCell="1" allowOverlap="1">
              <wp:simplePos x="0" y="0"/>
              <wp:positionH relativeFrom="margin">
                <wp:posOffset>4061460</wp:posOffset>
              </wp:positionH>
              <wp:positionV relativeFrom="paragraph">
                <wp:posOffset>-133350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7B3FBD">
                          <w:pPr>
                            <w:pStyle w:val="13"/>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19.8pt;margin-top:-10.5pt;height:144pt;width:144pt;mso-position-horizontal-relative:margin;mso-wrap-style:none;z-index:251662336;mso-width-relative:page;mso-height-relative:page;" filled="f" stroked="f" coordsize="21600,21600" o:gfxdata="UEsDBAoAAAAAAIdO4kAAAAAAAAAAAAAAAAAEAAAAZHJzL1BLAwQUAAAACACHTuJAoHKpvtgAAAAL&#10;AQAADwAAAGRycy9kb3ducmV2LnhtbE2Py07DMBBF90j8gzVI7Fo7KUppiFOJirBEomHB0o2HJOBH&#10;ZLtp+HuGFSxn5ujOudV+sYbNGOLonYRsLYCh67weXS/hrW1W98BiUk4r4x1K+MYI+/r6qlKl9hf3&#10;ivMx9YxCXCyVhCGlqeQ8dgNaFdd+Qke3Dx+sSjSGnuugLhRuDc+FKLhVo6MPg5rwMGD3dTxbCYem&#10;bcOMMZh3fG42ny+Pd/i0SHl7k4kHYAmX9AfDrz6pQ01OJ392OjIjodjsCkIlrPKMShGxy7e0OUnI&#10;i60AXlf8f4f6B1BLAwQUAAAACACHTuJAlt8PCTICAABjBAAADgAAAGRycy9lMm9Eb2MueG1srVRL&#10;jhMxEN0jcQfLe9JJEKMoSmcUJgpCipiRAmLtuN1pS/7JdtIdDgA3YMWGPefKOXjuTwYNLGbBxl12&#10;lV/Ve1XuxW2jFTkJH6Q1OZ2MxpQIw20hzSGnnz5uXs0oCZGZgilrRE7PItDb5csXi9rNxdRWVhXC&#10;E4CYMK9dTqsY3TzLAq+EZmFknTBwltZrFrH1h6zwrAa6Vtl0PL7JausL5y0XIeB03Tlpj+ifA2jL&#10;UnKxtvyohYkdqheKRVAKlXSBLttqy1LweF+WQUSicgqmsV2RBPY+rdlyweYHz1wleV8Ce04JTzhp&#10;Jg2SXqHWLDJy9PIvKC25t8GWccStzjoirSJgMRk/0WZXMSdaLpA6uKvo4f/B8g+nB09kkdPphBLD&#10;NDp++f7t8uPX5edXgjMIVLswR9zOITI2b22DsRnOAw4T76b0On3BiMAPec9XeUUTCU+XZtPZbAwX&#10;h2/YAD97vO58iO+E1SQZOfXoXysrO21D7EKHkJTN2I1Uqu2hMqTO6c3rN+P2wtUDcGWQI5Hoik1W&#10;bPZNz2xvizOIedvNRnB8I5F8y0J8YB7DgILxXOI9llJZJLG9RUll/Zd/nad49AheSmoMV04N3hIl&#10;6r1B7wAYB8MPxn4wzFHfWUwr2oFaWhMXfFSDWXqrP+MNrVIOuJjhyJTTOJh3sRtwvEEuVqs26Oi8&#10;PFTdBUyeY3Frdo6nNEnI4FbHCDFbjZNAnSq9bpi9tkv9O0nD/ee+jXr8Nyx/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Byqb7YAAAACwEAAA8AAAAAAAAAAQAgAAAAIgAAAGRycy9kb3ducmV2Lnht&#10;bFBLAQIUABQAAAAIAIdO4kCW3w8JMgIAAGMEAAAOAAAAAAAAAAEAIAAAACcBAABkcnMvZTJvRG9j&#10;LnhtbFBLBQYAAAAABgAGAFkBAADLBQAAAAA=&#10;">
              <v:fill on="f" focussize="0,0"/>
              <v:stroke on="f" weight="0.5pt"/>
              <v:imagedata o:title=""/>
              <o:lock v:ext="edit" aspectratio="f"/>
              <v:textbox inset="0mm,0mm,0mm,0mm" style="mso-fit-shape-to-text:t;">
                <w:txbxContent>
                  <w:p w14:paraId="5D7B3FBD">
                    <w:pPr>
                      <w:pStyle w:val="13"/>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7FBE8C">
    <w:pPr>
      <w:pStyle w:val="13"/>
      <w:ind w:right="360"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posOffset>2788920</wp:posOffset>
              </wp:positionH>
              <wp:positionV relativeFrom="paragraph">
                <wp:posOffset>-419100</wp:posOffset>
              </wp:positionV>
              <wp:extent cx="1828800" cy="1828800"/>
              <wp:effectExtent l="0" t="0" r="0" b="0"/>
              <wp:wrapNone/>
              <wp:docPr id="20" name="文本框 10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88B6272">
                          <w:pPr>
                            <w:pStyle w:val="13"/>
                          </w:pPr>
                          <w:r>
                            <w:fldChar w:fldCharType="begin"/>
                          </w:r>
                          <w:r>
                            <w:instrText xml:space="preserve"> PAGE  \* MERGEFORMAT </w:instrText>
                          </w:r>
                          <w:r>
                            <w:fldChar w:fldCharType="separate"/>
                          </w:r>
                          <w:r>
                            <w:t>2</w:t>
                          </w:r>
                          <w:r>
                            <w:fldChar w:fldCharType="end"/>
                          </w:r>
                        </w:p>
                      </w:txbxContent>
                    </wps:txbx>
                    <wps:bodyPr vert="horz" wrap="none" lIns="0" tIns="0" rIns="0" bIns="0" anchor="t" anchorCtr="0" upright="0">
                      <a:spAutoFit/>
                    </wps:bodyPr>
                  </wps:wsp>
                </a:graphicData>
              </a:graphic>
            </wp:anchor>
          </w:drawing>
        </mc:Choice>
        <mc:Fallback>
          <w:pict>
            <v:shape id="文本框 1033" o:spid="_x0000_s1026" o:spt="202" type="#_x0000_t202" style="position:absolute;left:0pt;margin-left:219.6pt;margin-top:-33pt;height:144pt;width:144pt;mso-position-horizontal-relative:margin;mso-wrap-style:none;z-index:251661312;mso-width-relative:page;mso-height-relative:page;" filled="f" stroked="f" coordsize="21600,21600" o:gfxdata="UEsDBAoAAAAAAIdO4kAAAAAAAAAAAAAAAAAEAAAAZHJzL1BLAwQUAAAACACHTuJAE6rsKNcAAAAL&#10;AQAADwAAAGRycy9kb3ducmV2LnhtbE2PPU/DMBCGdyT+g3WV2Fq7BiUlxOlQiYWNgpDY3PgaR/VH&#10;FLtp8u85Jhjv7tF7z1vvZ+/YhGPqY1Cw3QhgGNpo+tAp+Px4Xe+ApayD0S4GVLBggn1zf1frysRb&#10;eMfpmDtGISFVWoHNeag4T61Fr9MmDhjodo6j15nGseNm1DcK945LIQrudR/og9UDHiy2l+PVKyjn&#10;r4hDwgN+n6d2tP2yc2+LUg+rrXgBlnHOfzD86pM6NOR0itdgEnMKnh6fJaEK1kVBpYgoZUmbkwIp&#10;pQDe1Px/h+YHUEsDBBQAAAAIAIdO4kC3P8tY4QEAAMIDAAAOAAAAZHJzL2Uyb0RvYy54bWytU82O&#10;0zAQviPxDpbvNGlXQlXVdLVQLUJCgLTsA7iO01jyn8bTJuUB4A04ceHOc/U5GDtJF5bLHvaSjGfs&#10;b77v83h93VvDjgqi9q7i81nJmXLS19rtK37/5fbVkrOIwtXCeKcqflKRX29evlh3YaUWvvWmVsAI&#10;xMVVFyreIoZVUUTZKivizAflqNh4sAJpCfuiBtERujXFoixfF52HOoCXKkbKbociHxHhKYC+abRU&#10;Wy8PVjkcUEEZgSQptjpEvslsm0ZJ/NQ0USEzFSelmL/UhOJd+habtVjtQYRWy5GCeAqFR5qs0I6a&#10;XqC2AgU7gP4PymoJPvoGZ9LbYhCSHSEV8/KRN3etCCprIatjuJgenw9Wfjx+Bqbrii/IEics3fj5&#10;x/fzz9/nX9/YvLy6ShZ1Ia5o512gvdi/8T0NzpSPlEzK+wZs+pMmRnVCO10MVj0ymQ4tF8tlSSVJ&#10;tWlB+MXD8QAR3ylvWQoqDnSD2Vhx/BBx2DptSd2cv9XG5Fs07p8EYaZMkbgPHFOE/a4fBe18fSI9&#10;9BSoT+vhK2cdDULFHc09Z+a9I5+JK04BTMFuCoSTdLDiyNkQvsVhtg4B9L7N05ZIxXBzQGKaBSQa&#10;Q++RHV1ttmAcwzQ7f6/zroent/k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E6rsKNcAAAALAQAA&#10;DwAAAAAAAAABACAAAAAiAAAAZHJzL2Rvd25yZXYueG1sUEsBAhQAFAAAAAgAh07iQLc/y1jhAQAA&#10;wgMAAA4AAAAAAAAAAQAgAAAAJgEAAGRycy9lMm9Eb2MueG1sUEsFBgAAAAAGAAYAWQEAAHkFAAAA&#10;AA==&#10;">
              <v:fill on="f" focussize="0,0"/>
              <v:stroke on="f"/>
              <v:imagedata o:title=""/>
              <o:lock v:ext="edit" aspectratio="f"/>
              <v:textbox inset="0mm,0mm,0mm,0mm" style="mso-fit-shape-to-text:t;">
                <w:txbxContent>
                  <w:p w14:paraId="588B6272">
                    <w:pPr>
                      <w:pStyle w:val="13"/>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A62295">
    <w:pPr>
      <w:pStyle w:val="13"/>
      <w:ind w:right="360" w:firstLine="360"/>
      <w:jc w:val="center"/>
    </w:pPr>
    <w:r>
      <w:rPr>
        <w:sz w:val="18"/>
      </w:rPr>
      <mc:AlternateContent>
        <mc:Choice Requires="wps">
          <w:drawing>
            <wp:anchor distT="0" distB="0" distL="114300" distR="114300" simplePos="0" relativeHeight="251663360" behindDoc="0" locked="0" layoutInCell="1" allowOverlap="1">
              <wp:simplePos x="0" y="0"/>
              <wp:positionH relativeFrom="margin">
                <wp:posOffset>2788920</wp:posOffset>
              </wp:positionH>
              <wp:positionV relativeFrom="paragraph">
                <wp:posOffset>-419100</wp:posOffset>
              </wp:positionV>
              <wp:extent cx="1828800" cy="1828800"/>
              <wp:effectExtent l="0" t="0" r="0" b="0"/>
              <wp:wrapNone/>
              <wp:docPr id="7" name="文本框 10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FE78E12">
                          <w:pPr>
                            <w:pStyle w:val="13"/>
                          </w:pPr>
                          <w:r>
                            <w:fldChar w:fldCharType="begin"/>
                          </w:r>
                          <w:r>
                            <w:instrText xml:space="preserve"> PAGE  \* MERGEFORMAT </w:instrText>
                          </w:r>
                          <w:r>
                            <w:fldChar w:fldCharType="separate"/>
                          </w:r>
                          <w:r>
                            <w:t>2</w:t>
                          </w:r>
                          <w:r>
                            <w:fldChar w:fldCharType="end"/>
                          </w:r>
                        </w:p>
                      </w:txbxContent>
                    </wps:txbx>
                    <wps:bodyPr vert="horz" wrap="none" lIns="0" tIns="0" rIns="0" bIns="0" anchor="t" anchorCtr="0" upright="0">
                      <a:spAutoFit/>
                    </wps:bodyPr>
                  </wps:wsp>
                </a:graphicData>
              </a:graphic>
            </wp:anchor>
          </w:drawing>
        </mc:Choice>
        <mc:Fallback>
          <w:pict>
            <v:shape id="文本框 1033" o:spid="_x0000_s1026" o:spt="202" type="#_x0000_t202" style="position:absolute;left:0pt;margin-left:219.6pt;margin-top:-33pt;height:144pt;width:144pt;mso-position-horizontal-relative:margin;mso-wrap-style:none;z-index:251663360;mso-width-relative:page;mso-height-relative:page;" filled="f" stroked="f" coordsize="21600,21600" o:gfxdata="UEsDBAoAAAAAAIdO4kAAAAAAAAAAAAAAAAAEAAAAZHJzL1BLAwQUAAAACACHTuJAE6rsKNcAAAAL&#10;AQAADwAAAGRycy9kb3ducmV2LnhtbE2PPU/DMBCGdyT+g3WV2Fq7BiUlxOlQiYWNgpDY3PgaR/VH&#10;FLtp8u85Jhjv7tF7z1vvZ+/YhGPqY1Cw3QhgGNpo+tAp+Px4Xe+ApayD0S4GVLBggn1zf1frysRb&#10;eMfpmDtGISFVWoHNeag4T61Fr9MmDhjodo6j15nGseNm1DcK945LIQrudR/og9UDHiy2l+PVKyjn&#10;r4hDwgN+n6d2tP2yc2+LUg+rrXgBlnHOfzD86pM6NOR0itdgEnMKnh6fJaEK1kVBpYgoZUmbkwIp&#10;pQDe1Px/h+YHUEsDBBQAAAAIAIdO4kC30Ua94QEAAMEDAAAOAAAAZHJzL2Uyb0RvYy54bWytU8GO&#10;0zAQvSPxD5bvNGlXgqpqugKqRUgIkBY+wHWcxpLtsexpk/IB8AecuHDnu/odjJ2ky+5e9sAlGc+M&#10;38x7M15f99awowpRg6v4fFZyppyEWrt9xb9+uXmx5CyicLUw4FTFTyry683zZ+vOr9QCWjC1CoxA&#10;XFx1vuItol8VRZStsiLOwCtHwQaCFUjHsC/qIDpCt6ZYlOXLooNQ+wBSxUje7RDkI2J4CiA0jZZq&#10;C/JglcMBNSgjkCjFVvvIN7nbplESPzVNVMhMxYkp5i8VIXuXvsVmLVb7IHyr5diCeEoLDzhZoR0V&#10;vUBtBQp2CPoRlNUyQIQGZxJsMRDJihCLeflAm9tWeJW5kNTRX0SP/w9Wfjx+DkzXFX/FmROWBn7+&#10;+eP868/593c2L6+ukkKdjytKvPWUiv0b6GlvJn8kZyLeN8GmP1FiFCd9Txd9VY9MpkvLxXJZUkhS&#10;bDoQfnF33YeI7xRYloyKBxpg1lUcP0QcUqeUVM3BjTYmD9G4ew7CTJ4i9T70mCzsd/1IaAf1ifjQ&#10;S6A6LYRvnHW0BxV3tPacmfeOZE4rMxlhMnaTIZykixVHzgbzLQ6rdfBB79u8bKmp6F8fkDrNBFIb&#10;Q+2xO5pslmDcwrQ6/55z1t3L2/w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E6rsKNcAAAALAQAA&#10;DwAAAAAAAAABACAAAAAiAAAAZHJzL2Rvd25yZXYueG1sUEsBAhQAFAAAAAgAh07iQLfRRr3hAQAA&#10;wQMAAA4AAAAAAAAAAQAgAAAAJgEAAGRycy9lMm9Eb2MueG1sUEsFBgAAAAAGAAYAWQEAAHkFAAAA&#10;AA==&#10;">
              <v:fill on="f" focussize="0,0"/>
              <v:stroke on="f"/>
              <v:imagedata o:title=""/>
              <o:lock v:ext="edit" aspectratio="f"/>
              <v:textbox inset="0mm,0mm,0mm,0mm" style="mso-fit-shape-to-text:t;">
                <w:txbxContent>
                  <w:p w14:paraId="0FE78E12">
                    <w:pPr>
                      <w:pStyle w:val="13"/>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B1F6EE">
    <w:pPr>
      <w:pStyle w:val="13"/>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812F580">
                          <w:pPr>
                            <w:pStyle w:val="13"/>
                          </w:pPr>
                          <w:r>
                            <w:fldChar w:fldCharType="begin"/>
                          </w:r>
                          <w:r>
                            <w:instrText xml:space="preserve"> PAGE  \* MERGEFORMAT </w:instrText>
                          </w:r>
                          <w:r>
                            <w:fldChar w:fldCharType="separate"/>
                          </w:r>
                          <w:r>
                            <w:t>8</w:t>
                          </w:r>
                          <w:r>
                            <w:fldChar w:fldCharType="end"/>
                          </w:r>
                        </w:p>
                      </w:txbxContent>
                    </wps:txbx>
                    <wps:bodyPr vert="horz" wrap="none" lIns="0" tIns="0" rIns="0" bIns="0" anchor="t" anchorCtr="0" upright="0">
                      <a:spAutoFit/>
                    </wps:bodyPr>
                  </wps:wsp>
                </a:graphicData>
              </a:graphic>
            </wp:anchor>
          </w:drawing>
        </mc:Choice>
        <mc:Fallback>
          <w:pict>
            <v:shape id="文本框 103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2yDxuEBAADBAwAADgAAAGRycy9lMm9Eb2MueG1srVPBjtMwEL0j8Q+W&#10;7zRpEauqaroCqkVICJAWPsB1nMaS7bE8bpPyAfAHnLhw57v6HYydpMvuXvbAJRnPjN/MezNeX/fW&#10;sKMKqMFVfD4rOVNOQq3dvuJfv9y8WHKGUbhaGHCq4ieF/Hrz/Nm68yu1gBZMrQIjEIerzle8jdGv&#10;igJlq6zAGXjlKNhAsCLSMeyLOoiO0K0pFmV5VXQQah9AKkTybocgHxHDUwChabRUW5AHq1wcUIMy&#10;IhIlbLVHvsndNo2S8VPToIrMVJyYxvylImTv0rfYrMVqH4RvtRxbEE9p4QEnK7SjoheorYiCHYJ+&#10;BGW1DIDQxJkEWwxEsiLEYl4+0Oa2FV5lLiQ1+ovo+P9g5cfj58B0XfErzpywNPDzzx/nX3/Ov7+z&#10;efnyVVKo87iixFtPqbF/Az3tzeRHcibifRNs+hMlRnHS93TRV/WRyXRpuVguSwpJik0Hwi/urvuA&#10;8Z0Cy5JR8UADzLqK4weMQ+qUkqo5uNHG5CEad89BmMlTpN6HHpMV+10/EtpBfSI+9BKoTgvhG2cd&#10;7UHFHa09Z+a9I5nTykxGmIzdZAgn6WLFI2eD+TYOq3XwQe/bvGypKfSvD5E6zQRSG0PtsTuabJZg&#10;3MK0Ov+ec9bdy9v8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ALbIPG4QEAAMEDAAAOAAAA&#10;AAAAAAEAIAAAAB4BAABkcnMvZTJvRG9jLnhtbFBLBQYAAAAABgAGAFkBAABxBQAAAAA=&#10;">
              <v:fill on="f" focussize="0,0"/>
              <v:stroke on="f"/>
              <v:imagedata o:title=""/>
              <o:lock v:ext="edit" aspectratio="f"/>
              <v:textbox inset="0mm,0mm,0mm,0mm" style="mso-fit-shape-to-text:t;">
                <w:txbxContent>
                  <w:p w14:paraId="2812F580">
                    <w:pPr>
                      <w:pStyle w:val="13"/>
                    </w:pPr>
                    <w:r>
                      <w:fldChar w:fldCharType="begin"/>
                    </w:r>
                    <w:r>
                      <w:instrText xml:space="preserve"> PAGE  \* MERGEFORMAT </w:instrText>
                    </w:r>
                    <w:r>
                      <w:fldChar w:fldCharType="separate"/>
                    </w:r>
                    <w:r>
                      <w:t>8</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E15AA3"/>
    <w:multiLevelType w:val="singleLevel"/>
    <w:tmpl w:val="80E15AA3"/>
    <w:lvl w:ilvl="0" w:tentative="0">
      <w:start w:val="1"/>
      <w:numFmt w:val="decimal"/>
      <w:suff w:val="nothing"/>
      <w:lvlText w:val="%1、"/>
      <w:lvlJc w:val="left"/>
    </w:lvl>
  </w:abstractNum>
  <w:abstractNum w:abstractNumId="1">
    <w:nsid w:val="A0547C94"/>
    <w:multiLevelType w:val="singleLevel"/>
    <w:tmpl w:val="A0547C94"/>
    <w:lvl w:ilvl="0" w:tentative="0">
      <w:start w:val="1"/>
      <w:numFmt w:val="decimal"/>
      <w:suff w:val="nothing"/>
      <w:lvlText w:val="%1、"/>
      <w:lvlJc w:val="left"/>
    </w:lvl>
  </w:abstractNum>
  <w:abstractNum w:abstractNumId="2">
    <w:nsid w:val="B3701782"/>
    <w:multiLevelType w:val="singleLevel"/>
    <w:tmpl w:val="B3701782"/>
    <w:lvl w:ilvl="0" w:tentative="0">
      <w:start w:val="1"/>
      <w:numFmt w:val="decimal"/>
      <w:suff w:val="nothing"/>
      <w:lvlText w:val="（%1）"/>
      <w:lvlJc w:val="left"/>
    </w:lvl>
  </w:abstractNum>
  <w:abstractNum w:abstractNumId="3">
    <w:nsid w:val="EDF02EE6"/>
    <w:multiLevelType w:val="singleLevel"/>
    <w:tmpl w:val="EDF02EE6"/>
    <w:lvl w:ilvl="0" w:tentative="0">
      <w:start w:val="2"/>
      <w:numFmt w:val="decimal"/>
      <w:suff w:val="nothing"/>
      <w:lvlText w:val="（%1）"/>
      <w:lvlJc w:val="left"/>
    </w:lvl>
  </w:abstractNum>
  <w:abstractNum w:abstractNumId="4">
    <w:nsid w:val="031ABBBE"/>
    <w:multiLevelType w:val="singleLevel"/>
    <w:tmpl w:val="031ABBBE"/>
    <w:lvl w:ilvl="0" w:tentative="0">
      <w:start w:val="1"/>
      <w:numFmt w:val="chineseCounting"/>
      <w:suff w:val="nothing"/>
      <w:lvlText w:val="（%1）"/>
      <w:lvlJc w:val="left"/>
      <w:rPr>
        <w:rFonts w:hint="eastAsia"/>
      </w:rPr>
    </w:lvl>
  </w:abstractNum>
  <w:abstractNum w:abstractNumId="5">
    <w:nsid w:val="14510A07"/>
    <w:multiLevelType w:val="singleLevel"/>
    <w:tmpl w:val="14510A07"/>
    <w:lvl w:ilvl="0" w:tentative="0">
      <w:start w:val="1"/>
      <w:numFmt w:val="decimal"/>
      <w:suff w:val="nothing"/>
      <w:lvlText w:val="（%1）"/>
      <w:lvlJc w:val="left"/>
    </w:lvl>
  </w:abstractNum>
  <w:abstractNum w:abstractNumId="6">
    <w:nsid w:val="4D44E6B5"/>
    <w:multiLevelType w:val="singleLevel"/>
    <w:tmpl w:val="4D44E6B5"/>
    <w:lvl w:ilvl="0" w:tentative="0">
      <w:start w:val="3"/>
      <w:numFmt w:val="decimal"/>
      <w:suff w:val="nothing"/>
      <w:lvlText w:val="（%1）"/>
      <w:lvlJc w:val="left"/>
    </w:lvl>
  </w:abstractNum>
  <w:abstractNum w:abstractNumId="7">
    <w:nsid w:val="6ECAB407"/>
    <w:multiLevelType w:val="singleLevel"/>
    <w:tmpl w:val="6ECAB407"/>
    <w:lvl w:ilvl="0" w:tentative="0">
      <w:start w:val="2"/>
      <w:numFmt w:val="decimal"/>
      <w:suff w:val="nothing"/>
      <w:lvlText w:val="（%1）"/>
      <w:lvlJc w:val="left"/>
    </w:lvl>
  </w:abstractNum>
  <w:num w:numId="1">
    <w:abstractNumId w:val="0"/>
  </w:num>
  <w:num w:numId="2">
    <w:abstractNumId w:val="1"/>
  </w:num>
  <w:num w:numId="3">
    <w:abstractNumId w:val="4"/>
  </w:num>
  <w:num w:numId="4">
    <w:abstractNumId w:val="2"/>
  </w:num>
  <w:num w:numId="5">
    <w:abstractNumId w:val="7"/>
  </w:num>
  <w:num w:numId="6">
    <w:abstractNumId w:val="5"/>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4947"/>
    <w:rsid w:val="000060B3"/>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5A44"/>
    <w:rsid w:val="000E3ED2"/>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94D77"/>
    <w:rsid w:val="005969E4"/>
    <w:rsid w:val="005A06B7"/>
    <w:rsid w:val="005A1759"/>
    <w:rsid w:val="005A68A7"/>
    <w:rsid w:val="005D36AB"/>
    <w:rsid w:val="00617CC3"/>
    <w:rsid w:val="006377A6"/>
    <w:rsid w:val="00637A3D"/>
    <w:rsid w:val="006411EF"/>
    <w:rsid w:val="006748B8"/>
    <w:rsid w:val="006775C3"/>
    <w:rsid w:val="0069290A"/>
    <w:rsid w:val="00695FD9"/>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E227D"/>
    <w:rsid w:val="009E5019"/>
    <w:rsid w:val="00A04F1B"/>
    <w:rsid w:val="00A0501B"/>
    <w:rsid w:val="00A14947"/>
    <w:rsid w:val="00A32A83"/>
    <w:rsid w:val="00A368DB"/>
    <w:rsid w:val="00A423AA"/>
    <w:rsid w:val="00A53EC6"/>
    <w:rsid w:val="00A55C0F"/>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2D5C"/>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2656A"/>
    <w:rsid w:val="00E412D0"/>
    <w:rsid w:val="00E56322"/>
    <w:rsid w:val="00E60982"/>
    <w:rsid w:val="00E62C62"/>
    <w:rsid w:val="00E654C1"/>
    <w:rsid w:val="00E65D97"/>
    <w:rsid w:val="00E72A5A"/>
    <w:rsid w:val="00E73354"/>
    <w:rsid w:val="00E9242D"/>
    <w:rsid w:val="00EB5255"/>
    <w:rsid w:val="00EB5C47"/>
    <w:rsid w:val="00ED0639"/>
    <w:rsid w:val="00EF4755"/>
    <w:rsid w:val="00EF7135"/>
    <w:rsid w:val="00F027DB"/>
    <w:rsid w:val="00F14A7A"/>
    <w:rsid w:val="00F22985"/>
    <w:rsid w:val="00F3383E"/>
    <w:rsid w:val="00F465A7"/>
    <w:rsid w:val="00F50B7C"/>
    <w:rsid w:val="00F550E6"/>
    <w:rsid w:val="00F74345"/>
    <w:rsid w:val="00F80A0A"/>
    <w:rsid w:val="00F82B19"/>
    <w:rsid w:val="00F9212D"/>
    <w:rsid w:val="00F965DA"/>
    <w:rsid w:val="00FA406A"/>
    <w:rsid w:val="00FB503A"/>
    <w:rsid w:val="00FB516C"/>
    <w:rsid w:val="00FD0236"/>
    <w:rsid w:val="00FD18F4"/>
    <w:rsid w:val="00FD54DB"/>
    <w:rsid w:val="00FD619F"/>
    <w:rsid w:val="01290F7E"/>
    <w:rsid w:val="015D1E09"/>
    <w:rsid w:val="02697903"/>
    <w:rsid w:val="02921238"/>
    <w:rsid w:val="02B44EB7"/>
    <w:rsid w:val="02DF1AF5"/>
    <w:rsid w:val="02F96569"/>
    <w:rsid w:val="03D251BA"/>
    <w:rsid w:val="03EA7B21"/>
    <w:rsid w:val="054914AE"/>
    <w:rsid w:val="05535A7D"/>
    <w:rsid w:val="05F83EAE"/>
    <w:rsid w:val="063E7D85"/>
    <w:rsid w:val="07293586"/>
    <w:rsid w:val="07295285"/>
    <w:rsid w:val="07636392"/>
    <w:rsid w:val="076E3F95"/>
    <w:rsid w:val="07770C56"/>
    <w:rsid w:val="079A171A"/>
    <w:rsid w:val="07DB0C2F"/>
    <w:rsid w:val="092217DD"/>
    <w:rsid w:val="093A7294"/>
    <w:rsid w:val="09EB6897"/>
    <w:rsid w:val="0A263993"/>
    <w:rsid w:val="0A2D3AC2"/>
    <w:rsid w:val="0A7E1B63"/>
    <w:rsid w:val="0AA755DF"/>
    <w:rsid w:val="0ADC15A3"/>
    <w:rsid w:val="0B120D44"/>
    <w:rsid w:val="0B5254D8"/>
    <w:rsid w:val="0BD27BF6"/>
    <w:rsid w:val="0C3B3C7D"/>
    <w:rsid w:val="0CAB2EAE"/>
    <w:rsid w:val="0CFD354A"/>
    <w:rsid w:val="0D621C7D"/>
    <w:rsid w:val="0DB02F01"/>
    <w:rsid w:val="0E73034D"/>
    <w:rsid w:val="0F13775A"/>
    <w:rsid w:val="0F5F45FE"/>
    <w:rsid w:val="0F823FEC"/>
    <w:rsid w:val="0F9853C4"/>
    <w:rsid w:val="0F9A112B"/>
    <w:rsid w:val="10036457"/>
    <w:rsid w:val="106D2F64"/>
    <w:rsid w:val="108D683E"/>
    <w:rsid w:val="10B63710"/>
    <w:rsid w:val="10F10820"/>
    <w:rsid w:val="111C2F7A"/>
    <w:rsid w:val="11665CA1"/>
    <w:rsid w:val="116F6768"/>
    <w:rsid w:val="13611005"/>
    <w:rsid w:val="138D222D"/>
    <w:rsid w:val="13951726"/>
    <w:rsid w:val="13A3505B"/>
    <w:rsid w:val="13F05A62"/>
    <w:rsid w:val="14396509"/>
    <w:rsid w:val="14DD2C3C"/>
    <w:rsid w:val="15203849"/>
    <w:rsid w:val="16087E1D"/>
    <w:rsid w:val="162B00F5"/>
    <w:rsid w:val="16344554"/>
    <w:rsid w:val="164C5CE4"/>
    <w:rsid w:val="16821E79"/>
    <w:rsid w:val="17701D14"/>
    <w:rsid w:val="17735226"/>
    <w:rsid w:val="17D30536"/>
    <w:rsid w:val="183D4FEE"/>
    <w:rsid w:val="18573F5E"/>
    <w:rsid w:val="189F4747"/>
    <w:rsid w:val="189F624C"/>
    <w:rsid w:val="1A1C66C0"/>
    <w:rsid w:val="1A42393B"/>
    <w:rsid w:val="1A833C6E"/>
    <w:rsid w:val="1AAD45DE"/>
    <w:rsid w:val="1B046F80"/>
    <w:rsid w:val="1B3267B5"/>
    <w:rsid w:val="1B40161D"/>
    <w:rsid w:val="1B441859"/>
    <w:rsid w:val="1B6606B1"/>
    <w:rsid w:val="1C540487"/>
    <w:rsid w:val="1C5E7925"/>
    <w:rsid w:val="1CF77099"/>
    <w:rsid w:val="1CFD070F"/>
    <w:rsid w:val="1D5F6196"/>
    <w:rsid w:val="1D6132A5"/>
    <w:rsid w:val="1D8E56D5"/>
    <w:rsid w:val="1DCE6620"/>
    <w:rsid w:val="1E7A43DA"/>
    <w:rsid w:val="1FE7539E"/>
    <w:rsid w:val="20671BE0"/>
    <w:rsid w:val="20963CB8"/>
    <w:rsid w:val="20A81A1B"/>
    <w:rsid w:val="20B07FB6"/>
    <w:rsid w:val="20B646FB"/>
    <w:rsid w:val="213B74B1"/>
    <w:rsid w:val="215A2310"/>
    <w:rsid w:val="21DE318A"/>
    <w:rsid w:val="21EF5B80"/>
    <w:rsid w:val="22576990"/>
    <w:rsid w:val="225E50EE"/>
    <w:rsid w:val="22F47480"/>
    <w:rsid w:val="23B13923"/>
    <w:rsid w:val="23DE1C48"/>
    <w:rsid w:val="240210CD"/>
    <w:rsid w:val="249B199D"/>
    <w:rsid w:val="24BF09F7"/>
    <w:rsid w:val="252D53FE"/>
    <w:rsid w:val="25EC2D81"/>
    <w:rsid w:val="26881050"/>
    <w:rsid w:val="277057A2"/>
    <w:rsid w:val="27E00C2E"/>
    <w:rsid w:val="28E026ED"/>
    <w:rsid w:val="29206EB8"/>
    <w:rsid w:val="29595666"/>
    <w:rsid w:val="29874881"/>
    <w:rsid w:val="29E325E0"/>
    <w:rsid w:val="2A325FF3"/>
    <w:rsid w:val="2A452503"/>
    <w:rsid w:val="2BA936A8"/>
    <w:rsid w:val="2BBB1AF8"/>
    <w:rsid w:val="2C315A5A"/>
    <w:rsid w:val="2C4B1C25"/>
    <w:rsid w:val="2CCF72B8"/>
    <w:rsid w:val="2D9E56F5"/>
    <w:rsid w:val="2E667F96"/>
    <w:rsid w:val="2E8226AB"/>
    <w:rsid w:val="2E9D07CE"/>
    <w:rsid w:val="2FD065E6"/>
    <w:rsid w:val="2FD96870"/>
    <w:rsid w:val="2FE36291"/>
    <w:rsid w:val="30580BC9"/>
    <w:rsid w:val="311E2ED7"/>
    <w:rsid w:val="315619EE"/>
    <w:rsid w:val="315C449C"/>
    <w:rsid w:val="31B82709"/>
    <w:rsid w:val="31D05482"/>
    <w:rsid w:val="32400B34"/>
    <w:rsid w:val="328879D7"/>
    <w:rsid w:val="329E6876"/>
    <w:rsid w:val="32B83797"/>
    <w:rsid w:val="333015F2"/>
    <w:rsid w:val="334B6320"/>
    <w:rsid w:val="337C2B1F"/>
    <w:rsid w:val="33D934D4"/>
    <w:rsid w:val="33FE2F6A"/>
    <w:rsid w:val="340E07E5"/>
    <w:rsid w:val="34235BF7"/>
    <w:rsid w:val="352B64A2"/>
    <w:rsid w:val="358C5FA8"/>
    <w:rsid w:val="35C15DF1"/>
    <w:rsid w:val="36074A7F"/>
    <w:rsid w:val="361E020A"/>
    <w:rsid w:val="36923549"/>
    <w:rsid w:val="36B75FBF"/>
    <w:rsid w:val="36BD0C45"/>
    <w:rsid w:val="36E52680"/>
    <w:rsid w:val="377F0D27"/>
    <w:rsid w:val="37E00298"/>
    <w:rsid w:val="3863216F"/>
    <w:rsid w:val="38B302F9"/>
    <w:rsid w:val="38F12CD3"/>
    <w:rsid w:val="38F94775"/>
    <w:rsid w:val="392971ED"/>
    <w:rsid w:val="39325651"/>
    <w:rsid w:val="39873EC3"/>
    <w:rsid w:val="39896262"/>
    <w:rsid w:val="3A872856"/>
    <w:rsid w:val="3B3763D1"/>
    <w:rsid w:val="3BE60717"/>
    <w:rsid w:val="3C0E3235"/>
    <w:rsid w:val="3C2F6E1E"/>
    <w:rsid w:val="3C4F64BA"/>
    <w:rsid w:val="3C8179D9"/>
    <w:rsid w:val="3CCC6AD4"/>
    <w:rsid w:val="3CDA245A"/>
    <w:rsid w:val="3D1E06B7"/>
    <w:rsid w:val="3D83552A"/>
    <w:rsid w:val="3E35213F"/>
    <w:rsid w:val="3EDA0523"/>
    <w:rsid w:val="407A6407"/>
    <w:rsid w:val="409D5991"/>
    <w:rsid w:val="412B1EB3"/>
    <w:rsid w:val="4200449D"/>
    <w:rsid w:val="423A3BCC"/>
    <w:rsid w:val="424E57D2"/>
    <w:rsid w:val="42B26C49"/>
    <w:rsid w:val="433A6FE6"/>
    <w:rsid w:val="43480868"/>
    <w:rsid w:val="4350713C"/>
    <w:rsid w:val="436653E0"/>
    <w:rsid w:val="43C4431A"/>
    <w:rsid w:val="44024872"/>
    <w:rsid w:val="44B951CC"/>
    <w:rsid w:val="44CD14E0"/>
    <w:rsid w:val="44F20B0B"/>
    <w:rsid w:val="452E5F4C"/>
    <w:rsid w:val="45612018"/>
    <w:rsid w:val="458946E9"/>
    <w:rsid w:val="45A47C0E"/>
    <w:rsid w:val="46577FD6"/>
    <w:rsid w:val="46D955A7"/>
    <w:rsid w:val="46EA727F"/>
    <w:rsid w:val="47133957"/>
    <w:rsid w:val="47A07E0C"/>
    <w:rsid w:val="47B74C12"/>
    <w:rsid w:val="486A1B93"/>
    <w:rsid w:val="4870272E"/>
    <w:rsid w:val="49DC7715"/>
    <w:rsid w:val="4A023139"/>
    <w:rsid w:val="4A15386D"/>
    <w:rsid w:val="4A7B576F"/>
    <w:rsid w:val="4ACD4D3F"/>
    <w:rsid w:val="4AE90539"/>
    <w:rsid w:val="4AF561A9"/>
    <w:rsid w:val="4B06571F"/>
    <w:rsid w:val="4B4810FB"/>
    <w:rsid w:val="4B6C12B9"/>
    <w:rsid w:val="4C4A0649"/>
    <w:rsid w:val="4C7E5ECA"/>
    <w:rsid w:val="4C876AA5"/>
    <w:rsid w:val="4D0E00FB"/>
    <w:rsid w:val="4D176606"/>
    <w:rsid w:val="4D762F52"/>
    <w:rsid w:val="4DAB2BFA"/>
    <w:rsid w:val="4DB32B4C"/>
    <w:rsid w:val="4DEC4FB0"/>
    <w:rsid w:val="4E075D8A"/>
    <w:rsid w:val="4E674922"/>
    <w:rsid w:val="4EC00FAD"/>
    <w:rsid w:val="4F0B3174"/>
    <w:rsid w:val="4F9843DC"/>
    <w:rsid w:val="4FB07346"/>
    <w:rsid w:val="4FB349BB"/>
    <w:rsid w:val="4FB433E0"/>
    <w:rsid w:val="4FC62A8C"/>
    <w:rsid w:val="4FE20F0D"/>
    <w:rsid w:val="4FE51552"/>
    <w:rsid w:val="50504C4B"/>
    <w:rsid w:val="509C6E7C"/>
    <w:rsid w:val="5162104E"/>
    <w:rsid w:val="52033A7D"/>
    <w:rsid w:val="53A039CC"/>
    <w:rsid w:val="53A1505A"/>
    <w:rsid w:val="54063E08"/>
    <w:rsid w:val="543437E8"/>
    <w:rsid w:val="5491539E"/>
    <w:rsid w:val="54F73313"/>
    <w:rsid w:val="54F80955"/>
    <w:rsid w:val="552029B2"/>
    <w:rsid w:val="555170A7"/>
    <w:rsid w:val="5587536D"/>
    <w:rsid w:val="559B174B"/>
    <w:rsid w:val="55CE0CF4"/>
    <w:rsid w:val="5692084A"/>
    <w:rsid w:val="56B22A9C"/>
    <w:rsid w:val="56B44CDC"/>
    <w:rsid w:val="56C105BC"/>
    <w:rsid w:val="577648C5"/>
    <w:rsid w:val="57B72A76"/>
    <w:rsid w:val="57C3426C"/>
    <w:rsid w:val="57CE1F93"/>
    <w:rsid w:val="580B5816"/>
    <w:rsid w:val="588743D1"/>
    <w:rsid w:val="5887701A"/>
    <w:rsid w:val="59A33FA9"/>
    <w:rsid w:val="59B06FA2"/>
    <w:rsid w:val="59C0439F"/>
    <w:rsid w:val="59E52CA1"/>
    <w:rsid w:val="5ABE2233"/>
    <w:rsid w:val="5B323837"/>
    <w:rsid w:val="5B8B17A8"/>
    <w:rsid w:val="5BDF5D95"/>
    <w:rsid w:val="5BFE7528"/>
    <w:rsid w:val="5CB5471F"/>
    <w:rsid w:val="5CB75C06"/>
    <w:rsid w:val="5CD56382"/>
    <w:rsid w:val="5DFF0A72"/>
    <w:rsid w:val="5E2467F1"/>
    <w:rsid w:val="5F1A2B43"/>
    <w:rsid w:val="5F3B3BE1"/>
    <w:rsid w:val="5F5C5FB8"/>
    <w:rsid w:val="5FB837BB"/>
    <w:rsid w:val="60CC405A"/>
    <w:rsid w:val="610807BB"/>
    <w:rsid w:val="61942AD7"/>
    <w:rsid w:val="61D3294B"/>
    <w:rsid w:val="61E215D8"/>
    <w:rsid w:val="621B3775"/>
    <w:rsid w:val="62364782"/>
    <w:rsid w:val="63047520"/>
    <w:rsid w:val="633B3875"/>
    <w:rsid w:val="6394356A"/>
    <w:rsid w:val="63954BB2"/>
    <w:rsid w:val="63C61B2C"/>
    <w:rsid w:val="63D40BE9"/>
    <w:rsid w:val="64102431"/>
    <w:rsid w:val="64A5243A"/>
    <w:rsid w:val="64F531DE"/>
    <w:rsid w:val="65373578"/>
    <w:rsid w:val="66AD30A8"/>
    <w:rsid w:val="66DD0610"/>
    <w:rsid w:val="671F124A"/>
    <w:rsid w:val="677A33C6"/>
    <w:rsid w:val="681F6961"/>
    <w:rsid w:val="68610A2F"/>
    <w:rsid w:val="68805514"/>
    <w:rsid w:val="69316E2F"/>
    <w:rsid w:val="693C5427"/>
    <w:rsid w:val="694E2071"/>
    <w:rsid w:val="69766163"/>
    <w:rsid w:val="697A3B33"/>
    <w:rsid w:val="69D44760"/>
    <w:rsid w:val="6A295353"/>
    <w:rsid w:val="6A520EC7"/>
    <w:rsid w:val="6AF87E20"/>
    <w:rsid w:val="6B322639"/>
    <w:rsid w:val="6B733C1C"/>
    <w:rsid w:val="6C636C38"/>
    <w:rsid w:val="6C8A5EFB"/>
    <w:rsid w:val="6D5B5893"/>
    <w:rsid w:val="6DB34098"/>
    <w:rsid w:val="6DB545B6"/>
    <w:rsid w:val="6DC26C9C"/>
    <w:rsid w:val="6DE02FB4"/>
    <w:rsid w:val="6E514CED"/>
    <w:rsid w:val="6EB563D5"/>
    <w:rsid w:val="6ED92677"/>
    <w:rsid w:val="6F026AF9"/>
    <w:rsid w:val="6F225983"/>
    <w:rsid w:val="6FFC5590"/>
    <w:rsid w:val="70090695"/>
    <w:rsid w:val="706D1DD0"/>
    <w:rsid w:val="70856B87"/>
    <w:rsid w:val="70D527EE"/>
    <w:rsid w:val="71596B3E"/>
    <w:rsid w:val="715B5300"/>
    <w:rsid w:val="71D27F8A"/>
    <w:rsid w:val="72553024"/>
    <w:rsid w:val="72823A24"/>
    <w:rsid w:val="73122968"/>
    <w:rsid w:val="731F5D5E"/>
    <w:rsid w:val="73C51AD5"/>
    <w:rsid w:val="741E793C"/>
    <w:rsid w:val="745E3944"/>
    <w:rsid w:val="7468534A"/>
    <w:rsid w:val="747E553D"/>
    <w:rsid w:val="75556FF1"/>
    <w:rsid w:val="7635099D"/>
    <w:rsid w:val="771B11CB"/>
    <w:rsid w:val="77762421"/>
    <w:rsid w:val="77B56B1F"/>
    <w:rsid w:val="780F09F4"/>
    <w:rsid w:val="78A90480"/>
    <w:rsid w:val="79301C29"/>
    <w:rsid w:val="79542EC9"/>
    <w:rsid w:val="7A364017"/>
    <w:rsid w:val="7A663753"/>
    <w:rsid w:val="7A8265E1"/>
    <w:rsid w:val="7B686D42"/>
    <w:rsid w:val="7B841746"/>
    <w:rsid w:val="7C6C5AC7"/>
    <w:rsid w:val="7CC6544B"/>
    <w:rsid w:val="7D0239FF"/>
    <w:rsid w:val="7D5E40CD"/>
    <w:rsid w:val="7DCD56F2"/>
    <w:rsid w:val="7F001CE7"/>
    <w:rsid w:val="7F216E3E"/>
    <w:rsid w:val="7F6C0D2C"/>
    <w:rsid w:val="7FE47E5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qFormat="1"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qFormat="1"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iPriority="99" w:semiHidden="0" w:name="Body Text First Indent" w:locked="1"/>
    <w:lsdException w:qFormat="1" w:unhideWhenUsed="0" w:uiPriority="0" w:semiHidden="0" w:name="Body Text First Indent 2" w:locked="1"/>
    <w:lsdException w:qFormat="1" w:unhideWhenUsed="0" w:uiPriority="0" w:semiHidden="0" w:name="Note Heading" w:locked="1"/>
    <w:lsdException w:unhideWhenUsed="0" w:uiPriority="0" w:semiHidden="0" w:name="Body Text 2" w:locked="1"/>
    <w:lsdException w:unhideWhenUsed="0" w:uiPriority="0" w:semiHidden="0" w:name="Body Text 3" w:locked="1"/>
    <w:lsdException w:qFormat="1" w:unhideWhenUsed="0" w:uiPriority="0" w:semiHidden="0" w:name="Body Text Indent 2" w:locked="1"/>
    <w:lsdException w:unhideWhenUsed="0" w:uiPriority="0" w:semiHidden="0" w:name="Body Text Indent 3" w:locked="1"/>
    <w:lsdException w:unhideWhenUsed="0" w:uiPriority="0" w:semiHidden="0" w:name="Block Text" w:locked="1"/>
    <w:lsdException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character" w:default="1" w:styleId="22">
    <w:name w:val="Default Paragraph Font"/>
    <w:semiHidden/>
    <w:qFormat/>
    <w:uiPriority w:val="0"/>
  </w:style>
  <w:style w:type="table" w:default="1" w:styleId="20">
    <w:name w:val="Normal Table"/>
    <w:semiHidden/>
    <w:qFormat/>
    <w:uiPriority w:val="0"/>
    <w:tblPr>
      <w:tblCellMar>
        <w:top w:w="0" w:type="dxa"/>
        <w:left w:w="108" w:type="dxa"/>
        <w:bottom w:w="0" w:type="dxa"/>
        <w:right w:w="108" w:type="dxa"/>
      </w:tblCellMar>
    </w:tblPr>
  </w:style>
  <w:style w:type="paragraph" w:styleId="3">
    <w:name w:val="List 3"/>
    <w:basedOn w:val="1"/>
    <w:next w:val="1"/>
    <w:qFormat/>
    <w:locked/>
    <w:uiPriority w:val="0"/>
    <w:pPr>
      <w:autoSpaceDE w:val="0"/>
      <w:autoSpaceDN w:val="0"/>
      <w:adjustRightInd w:val="0"/>
      <w:spacing w:line="288" w:lineRule="auto"/>
      <w:ind w:left="1260" w:hanging="420"/>
      <w:jc w:val="left"/>
      <w:textAlignment w:val="baseline"/>
    </w:pPr>
    <w:rPr>
      <w:kern w:val="0"/>
      <w:sz w:val="24"/>
      <w:szCs w:val="20"/>
    </w:rPr>
  </w:style>
  <w:style w:type="paragraph" w:styleId="4">
    <w:name w:val="Note Heading"/>
    <w:basedOn w:val="1"/>
    <w:next w:val="1"/>
    <w:qFormat/>
    <w:locked/>
    <w:uiPriority w:val="0"/>
    <w:pPr>
      <w:spacing w:line="240" w:lineRule="auto"/>
      <w:ind w:firstLine="0" w:firstLineChars="0"/>
      <w:jc w:val="center"/>
    </w:pPr>
    <w:rPr>
      <w:rFonts w:cs="宋体"/>
      <w:b/>
    </w:rPr>
  </w:style>
  <w:style w:type="paragraph" w:styleId="5">
    <w:name w:val="Normal Indent"/>
    <w:basedOn w:val="1"/>
    <w:next w:val="1"/>
    <w:qFormat/>
    <w:locked/>
    <w:uiPriority w:val="0"/>
    <w:pPr>
      <w:ind w:firstLine="420"/>
    </w:pPr>
    <w:rPr>
      <w:szCs w:val="20"/>
    </w:rPr>
  </w:style>
  <w:style w:type="paragraph" w:styleId="6">
    <w:name w:val="annotation text"/>
    <w:basedOn w:val="1"/>
    <w:link w:val="29"/>
    <w:semiHidden/>
    <w:qFormat/>
    <w:uiPriority w:val="0"/>
    <w:pPr>
      <w:jc w:val="left"/>
    </w:pPr>
    <w:rPr>
      <w:kern w:val="0"/>
      <w:sz w:val="24"/>
      <w:szCs w:val="20"/>
    </w:rPr>
  </w:style>
  <w:style w:type="paragraph" w:styleId="7">
    <w:name w:val="Body Text"/>
    <w:basedOn w:val="1"/>
    <w:link w:val="30"/>
    <w:qFormat/>
    <w:uiPriority w:val="0"/>
    <w:pPr>
      <w:widowControl/>
      <w:snapToGrid w:val="0"/>
      <w:spacing w:before="60" w:after="160" w:line="259" w:lineRule="auto"/>
      <w:ind w:right="113"/>
    </w:pPr>
    <w:rPr>
      <w:kern w:val="0"/>
      <w:sz w:val="18"/>
      <w:szCs w:val="20"/>
    </w:rPr>
  </w:style>
  <w:style w:type="paragraph" w:styleId="8">
    <w:name w:val="Body Text Indent"/>
    <w:basedOn w:val="1"/>
    <w:link w:val="31"/>
    <w:qFormat/>
    <w:uiPriority w:val="0"/>
    <w:pPr>
      <w:spacing w:after="120"/>
      <w:ind w:left="420" w:leftChars="200"/>
    </w:pPr>
    <w:rPr>
      <w:kern w:val="0"/>
      <w:sz w:val="24"/>
      <w:szCs w:val="20"/>
    </w:rPr>
  </w:style>
  <w:style w:type="paragraph" w:styleId="9">
    <w:name w:val="Plain Text"/>
    <w:basedOn w:val="1"/>
    <w:qFormat/>
    <w:locked/>
    <w:uiPriority w:val="0"/>
    <w:rPr>
      <w:rFonts w:ascii="宋体" w:hAnsi="Courier New"/>
      <w:kern w:val="0"/>
      <w:sz w:val="20"/>
      <w:szCs w:val="20"/>
    </w:rPr>
  </w:style>
  <w:style w:type="paragraph" w:styleId="10">
    <w:name w:val="Date"/>
    <w:basedOn w:val="1"/>
    <w:next w:val="1"/>
    <w:link w:val="32"/>
    <w:qFormat/>
    <w:uiPriority w:val="0"/>
    <w:pPr>
      <w:ind w:left="100" w:leftChars="2500"/>
    </w:pPr>
    <w:rPr>
      <w:kern w:val="0"/>
      <w:sz w:val="24"/>
      <w:szCs w:val="20"/>
    </w:rPr>
  </w:style>
  <w:style w:type="paragraph" w:styleId="11">
    <w:name w:val="Body Text Indent 2"/>
    <w:basedOn w:val="1"/>
    <w:qFormat/>
    <w:locked/>
    <w:uiPriority w:val="0"/>
    <w:pPr>
      <w:spacing w:after="120" w:line="480" w:lineRule="auto"/>
      <w:ind w:left="420" w:leftChars="200"/>
    </w:pPr>
  </w:style>
  <w:style w:type="paragraph" w:styleId="12">
    <w:name w:val="Balloon Text"/>
    <w:basedOn w:val="1"/>
    <w:link w:val="33"/>
    <w:semiHidden/>
    <w:qFormat/>
    <w:uiPriority w:val="0"/>
    <w:rPr>
      <w:kern w:val="0"/>
      <w:sz w:val="18"/>
      <w:szCs w:val="20"/>
    </w:rPr>
  </w:style>
  <w:style w:type="paragraph" w:styleId="13">
    <w:name w:val="footer"/>
    <w:basedOn w:val="1"/>
    <w:link w:val="34"/>
    <w:qFormat/>
    <w:uiPriority w:val="99"/>
    <w:pPr>
      <w:tabs>
        <w:tab w:val="center" w:pos="4153"/>
        <w:tab w:val="right" w:pos="8306"/>
      </w:tabs>
      <w:snapToGrid w:val="0"/>
      <w:jc w:val="left"/>
    </w:pPr>
    <w:rPr>
      <w:kern w:val="0"/>
      <w:sz w:val="18"/>
      <w:szCs w:val="20"/>
    </w:rPr>
  </w:style>
  <w:style w:type="paragraph" w:styleId="14">
    <w:name w:val="header"/>
    <w:basedOn w:val="1"/>
    <w:link w:val="35"/>
    <w:qFormat/>
    <w:uiPriority w:val="0"/>
    <w:pPr>
      <w:pBdr>
        <w:bottom w:val="single" w:color="auto" w:sz="6" w:space="1"/>
      </w:pBdr>
      <w:tabs>
        <w:tab w:val="center" w:pos="4153"/>
        <w:tab w:val="right" w:pos="8306"/>
      </w:tabs>
      <w:snapToGrid w:val="0"/>
      <w:jc w:val="center"/>
    </w:pPr>
    <w:rPr>
      <w:kern w:val="0"/>
      <w:sz w:val="18"/>
      <w:szCs w:val="20"/>
    </w:rPr>
  </w:style>
  <w:style w:type="paragraph" w:styleId="15">
    <w:name w:val="table of figures"/>
    <w:basedOn w:val="1"/>
    <w:next w:val="1"/>
    <w:qFormat/>
    <w:locked/>
    <w:uiPriority w:val="0"/>
    <w:pPr>
      <w:ind w:leftChars="200" w:hanging="200" w:hangingChars="200"/>
    </w:pPr>
  </w:style>
  <w:style w:type="paragraph" w:styleId="16">
    <w:name w:val="Normal (Web)"/>
    <w:basedOn w:val="1"/>
    <w:link w:val="36"/>
    <w:qFormat/>
    <w:uiPriority w:val="0"/>
    <w:pPr>
      <w:widowControl/>
      <w:spacing w:before="100" w:beforeAutospacing="1" w:after="100" w:afterAutospacing="1"/>
      <w:jc w:val="left"/>
    </w:pPr>
    <w:rPr>
      <w:rFonts w:ascii="宋体" w:hAnsi="宋体"/>
      <w:kern w:val="0"/>
      <w:sz w:val="24"/>
      <w:szCs w:val="20"/>
    </w:rPr>
  </w:style>
  <w:style w:type="paragraph" w:styleId="17">
    <w:name w:val="annotation subject"/>
    <w:basedOn w:val="6"/>
    <w:next w:val="6"/>
    <w:link w:val="37"/>
    <w:semiHidden/>
    <w:qFormat/>
    <w:uiPriority w:val="0"/>
    <w:rPr>
      <w:b/>
      <w:sz w:val="24"/>
      <w:szCs w:val="20"/>
    </w:rPr>
  </w:style>
  <w:style w:type="paragraph" w:styleId="18">
    <w:name w:val="Body Text First Indent"/>
    <w:basedOn w:val="7"/>
    <w:unhideWhenUsed/>
    <w:qFormat/>
    <w:locked/>
    <w:uiPriority w:val="99"/>
    <w:pPr>
      <w:spacing w:after="120" w:line="360" w:lineRule="auto"/>
      <w:ind w:firstLine="420" w:firstLineChars="100"/>
    </w:pPr>
    <w:rPr>
      <w:kern w:val="2"/>
      <w:szCs w:val="22"/>
    </w:rPr>
  </w:style>
  <w:style w:type="paragraph" w:styleId="19">
    <w:name w:val="Body Text First Indent 2"/>
    <w:basedOn w:val="8"/>
    <w:next w:val="18"/>
    <w:qFormat/>
    <w:locked/>
    <w:uiPriority w:val="0"/>
    <w:pPr>
      <w:ind w:firstLine="420" w:firstLineChars="200"/>
    </w:pPr>
  </w:style>
  <w:style w:type="table" w:styleId="21">
    <w:name w:val="Table Grid"/>
    <w:basedOn w:val="20"/>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qFormat/>
    <w:locked/>
    <w:uiPriority w:val="0"/>
    <w:rPr>
      <w:b/>
    </w:rPr>
  </w:style>
  <w:style w:type="character" w:styleId="24">
    <w:name w:val="page number"/>
    <w:basedOn w:val="22"/>
    <w:qFormat/>
    <w:locked/>
    <w:uiPriority w:val="0"/>
  </w:style>
  <w:style w:type="character" w:styleId="25">
    <w:name w:val="Emphasis"/>
    <w:basedOn w:val="22"/>
    <w:qFormat/>
    <w:locked/>
    <w:uiPriority w:val="0"/>
    <w:rPr>
      <w:i/>
    </w:rPr>
  </w:style>
  <w:style w:type="character" w:styleId="26">
    <w:name w:val="annotation reference"/>
    <w:semiHidden/>
    <w:qFormat/>
    <w:uiPriority w:val="0"/>
    <w:rPr>
      <w:sz w:val="21"/>
    </w:rPr>
  </w:style>
  <w:style w:type="paragraph" w:customStyle="1" w:styleId="27">
    <w:name w:val="Default"/>
    <w:basedOn w:val="28"/>
    <w:next w:val="3"/>
    <w:qFormat/>
    <w:uiPriority w:val="0"/>
    <w:pPr>
      <w:widowControl w:val="0"/>
      <w:autoSpaceDE w:val="0"/>
      <w:autoSpaceDN w:val="0"/>
      <w:adjustRightInd w:val="0"/>
    </w:pPr>
    <w:rPr>
      <w:rFonts w:ascii="幼圆" w:hAnsi="Times New Roman" w:eastAsia="幼圆" w:cs="Times New Roman"/>
      <w:color w:val="000000"/>
      <w:sz w:val="24"/>
      <w:szCs w:val="24"/>
      <w:lang w:val="en-US" w:eastAsia="zh-CN" w:bidi="ar-SA"/>
    </w:rPr>
  </w:style>
  <w:style w:type="paragraph" w:customStyle="1" w:styleId="28">
    <w:name w:val="纯文本1"/>
    <w:basedOn w:val="1"/>
    <w:qFormat/>
    <w:uiPriority w:val="0"/>
    <w:pPr>
      <w:textAlignment w:val="baseline"/>
    </w:pPr>
    <w:rPr>
      <w:rFonts w:ascii="宋体" w:hAnsi="Courier New"/>
      <w:sz w:val="28"/>
    </w:rPr>
  </w:style>
  <w:style w:type="character" w:customStyle="1" w:styleId="29">
    <w:name w:val="批注文字 Char"/>
    <w:link w:val="6"/>
    <w:qFormat/>
    <w:locked/>
    <w:uiPriority w:val="0"/>
    <w:rPr>
      <w:rFonts w:ascii="Times New Roman" w:hAnsi="Times New Roman" w:eastAsia="宋体"/>
      <w:sz w:val="24"/>
    </w:rPr>
  </w:style>
  <w:style w:type="character" w:customStyle="1" w:styleId="30">
    <w:name w:val="正文文本 Char"/>
    <w:link w:val="7"/>
    <w:qFormat/>
    <w:locked/>
    <w:uiPriority w:val="0"/>
    <w:rPr>
      <w:sz w:val="18"/>
    </w:rPr>
  </w:style>
  <w:style w:type="character" w:customStyle="1" w:styleId="31">
    <w:name w:val="正文文本缩进 Char"/>
    <w:link w:val="8"/>
    <w:semiHidden/>
    <w:qFormat/>
    <w:locked/>
    <w:uiPriority w:val="0"/>
    <w:rPr>
      <w:rFonts w:ascii="Times New Roman" w:hAnsi="Times New Roman" w:eastAsia="宋体"/>
      <w:sz w:val="24"/>
    </w:rPr>
  </w:style>
  <w:style w:type="character" w:customStyle="1" w:styleId="32">
    <w:name w:val="日期 Char"/>
    <w:link w:val="10"/>
    <w:qFormat/>
    <w:locked/>
    <w:uiPriority w:val="0"/>
    <w:rPr>
      <w:rFonts w:ascii="Times New Roman" w:hAnsi="Times New Roman" w:eastAsia="宋体"/>
      <w:sz w:val="24"/>
    </w:rPr>
  </w:style>
  <w:style w:type="character" w:customStyle="1" w:styleId="33">
    <w:name w:val="批注框文本 Char"/>
    <w:link w:val="12"/>
    <w:semiHidden/>
    <w:qFormat/>
    <w:locked/>
    <w:uiPriority w:val="0"/>
    <w:rPr>
      <w:rFonts w:ascii="Times New Roman" w:hAnsi="Times New Roman" w:eastAsia="宋体"/>
      <w:sz w:val="18"/>
    </w:rPr>
  </w:style>
  <w:style w:type="character" w:customStyle="1" w:styleId="34">
    <w:name w:val="页脚 Char"/>
    <w:link w:val="13"/>
    <w:qFormat/>
    <w:locked/>
    <w:uiPriority w:val="99"/>
    <w:rPr>
      <w:sz w:val="18"/>
    </w:rPr>
  </w:style>
  <w:style w:type="character" w:customStyle="1" w:styleId="35">
    <w:name w:val="页眉 Char"/>
    <w:link w:val="14"/>
    <w:qFormat/>
    <w:locked/>
    <w:uiPriority w:val="0"/>
    <w:rPr>
      <w:sz w:val="18"/>
    </w:rPr>
  </w:style>
  <w:style w:type="character" w:customStyle="1" w:styleId="36">
    <w:name w:val="普通(网站) Char"/>
    <w:link w:val="16"/>
    <w:qFormat/>
    <w:locked/>
    <w:uiPriority w:val="0"/>
    <w:rPr>
      <w:rFonts w:ascii="宋体" w:hAnsi="宋体" w:eastAsia="宋体"/>
      <w:sz w:val="24"/>
    </w:rPr>
  </w:style>
  <w:style w:type="character" w:customStyle="1" w:styleId="37">
    <w:name w:val="批注主题 Char"/>
    <w:link w:val="17"/>
    <w:semiHidden/>
    <w:qFormat/>
    <w:locked/>
    <w:uiPriority w:val="0"/>
    <w:rPr>
      <w:rFonts w:ascii="Times New Roman" w:hAnsi="Times New Roman" w:eastAsia="宋体"/>
      <w:b/>
      <w:kern w:val="2"/>
      <w:sz w:val="24"/>
    </w:rPr>
  </w:style>
  <w:style w:type="character" w:customStyle="1" w:styleId="38">
    <w:name w:val="页脚 字符"/>
    <w:basedOn w:val="22"/>
    <w:qFormat/>
    <w:uiPriority w:val="99"/>
  </w:style>
  <w:style w:type="character" w:customStyle="1" w:styleId="39">
    <w:name w:val="正文文本 字符1"/>
    <w:semiHidden/>
    <w:qFormat/>
    <w:uiPriority w:val="0"/>
    <w:rPr>
      <w:rFonts w:ascii="Times New Roman" w:hAnsi="Times New Roman" w:eastAsia="宋体"/>
      <w:sz w:val="24"/>
    </w:rPr>
  </w:style>
  <w:style w:type="character" w:customStyle="1" w:styleId="40">
    <w:name w:val="表格 Char"/>
    <w:link w:val="41"/>
    <w:qFormat/>
    <w:locked/>
    <w:uiPriority w:val="0"/>
    <w:rPr>
      <w:rFonts w:ascii="宋体"/>
      <w:sz w:val="21"/>
    </w:rPr>
  </w:style>
  <w:style w:type="paragraph" w:customStyle="1" w:styleId="41">
    <w:name w:val="表格"/>
    <w:basedOn w:val="15"/>
    <w:next w:val="1"/>
    <w:link w:val="40"/>
    <w:qFormat/>
    <w:uiPriority w:val="0"/>
    <w:pPr>
      <w:adjustRightInd w:val="0"/>
      <w:snapToGrid w:val="0"/>
      <w:spacing w:beforeLines="10" w:afterLines="10" w:line="259" w:lineRule="auto"/>
      <w:jc w:val="center"/>
    </w:pPr>
    <w:rPr>
      <w:rFonts w:ascii="宋体"/>
      <w:kern w:val="0"/>
      <w:szCs w:val="20"/>
    </w:rPr>
  </w:style>
  <w:style w:type="character" w:customStyle="1" w:styleId="42">
    <w:name w:val="日期 字符"/>
    <w:semiHidden/>
    <w:qFormat/>
    <w:uiPriority w:val="0"/>
    <w:rPr>
      <w:rFonts w:ascii="Times New Roman" w:hAnsi="Times New Roman" w:eastAsia="宋体"/>
      <w:sz w:val="24"/>
    </w:rPr>
  </w:style>
  <w:style w:type="character" w:customStyle="1" w:styleId="43">
    <w:name w:val="批注文字 字符1"/>
    <w:semiHidden/>
    <w:qFormat/>
    <w:uiPriority w:val="0"/>
    <w:rPr>
      <w:rFonts w:ascii="Times New Roman" w:hAnsi="Times New Roman" w:eastAsia="宋体"/>
      <w:sz w:val="24"/>
    </w:rPr>
  </w:style>
  <w:style w:type="paragraph" w:customStyle="1" w:styleId="44">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5">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46">
    <w:name w:val="Table Text"/>
    <w:basedOn w:val="1"/>
    <w:semiHidden/>
    <w:qFormat/>
    <w:uiPriority w:val="0"/>
    <w:rPr>
      <w:rFonts w:ascii="宋体" w:hAnsi="宋体" w:eastAsia="宋体" w:cs="宋体"/>
      <w:sz w:val="24"/>
      <w:szCs w:val="24"/>
      <w:lang w:val="en-US" w:eastAsia="en-US" w:bidi="ar-SA"/>
    </w:rPr>
  </w:style>
  <w:style w:type="table" w:customStyle="1" w:styleId="47">
    <w:name w:val="Table Normal"/>
    <w:unhideWhenUsed/>
    <w:qFormat/>
    <w:uiPriority w:val="0"/>
    <w:tblPr>
      <w:tblCellMar>
        <w:top w:w="0" w:type="dxa"/>
        <w:left w:w="0" w:type="dxa"/>
        <w:bottom w:w="0" w:type="dxa"/>
        <w:right w:w="0" w:type="dxa"/>
      </w:tblCellMar>
    </w:tblPr>
  </w:style>
  <w:style w:type="paragraph" w:customStyle="1" w:styleId="48">
    <w:name w:val="样式 正文缩进正文缩进2正文缩进 Char Char正文缩进 Char Char Char Char正文缩进 Char ..."/>
    <w:basedOn w:val="5"/>
    <w:qFormat/>
    <w:uiPriority w:val="0"/>
    <w:pPr>
      <w:spacing w:line="360" w:lineRule="auto"/>
      <w:ind w:firstLine="200" w:firstLineChars="0"/>
    </w:pPr>
    <w:rPr>
      <w:rFonts w:ascii="宋体" w:hAnsi="宋体" w:cs="宋体"/>
      <w:sz w:val="24"/>
      <w:szCs w:val="20"/>
    </w:rPr>
  </w:style>
  <w:style w:type="paragraph" w:customStyle="1" w:styleId="49">
    <w:name w:val="表头"/>
    <w:basedOn w:val="1"/>
    <w:next w:val="1"/>
    <w:autoRedefine/>
    <w:qFormat/>
    <w:uiPriority w:val="0"/>
    <w:pPr>
      <w:spacing w:before="120" w:afterLines="25"/>
      <w:jc w:val="center"/>
    </w:pPr>
    <w:rPr>
      <w:rFonts w:ascii="宋体" w:hAnsi="宋体"/>
      <w:szCs w:val="20"/>
    </w:rPr>
  </w:style>
  <w:style w:type="paragraph" w:customStyle="1" w:styleId="50">
    <w:name w:val="00正文"/>
    <w:basedOn w:val="1"/>
    <w:qFormat/>
    <w:uiPriority w:val="0"/>
    <w:pPr>
      <w:spacing w:line="360" w:lineRule="auto"/>
      <w:ind w:firstLine="480" w:firstLineChars="200"/>
      <w:contextualSpacing/>
    </w:pPr>
    <w:rPr>
      <w:rFonts w:ascii="Calibri" w:hAnsi="Calibri"/>
      <w:sz w:val="24"/>
    </w:rPr>
  </w:style>
  <w:style w:type="paragraph" w:customStyle="1" w:styleId="51">
    <w:name w:val="表中文字"/>
    <w:basedOn w:val="52"/>
    <w:qFormat/>
    <w:uiPriority w:val="0"/>
    <w:pPr>
      <w:jc w:val="center"/>
    </w:pPr>
    <w:rPr>
      <w:szCs w:val="21"/>
    </w:rPr>
  </w:style>
  <w:style w:type="paragraph" w:customStyle="1" w:styleId="52">
    <w:name w:val="表格文字"/>
    <w:basedOn w:val="9"/>
    <w:next w:val="1"/>
    <w:qFormat/>
    <w:uiPriority w:val="0"/>
    <w:pPr>
      <w:jc w:val="center"/>
    </w:pPr>
    <w:rPr>
      <w:rFonts w:ascii="Times New Roman" w:hAnsi="Times New Roman" w:eastAsia="宋体" w:cs="Times New Roman"/>
      <w:snapToGrid w:val="0"/>
      <w:sz w:val="22"/>
      <w:szCs w:val="24"/>
      <w:lang w:val="en-US" w:eastAsia="zh-CN" w:bidi="ar-SA"/>
    </w:rPr>
  </w:style>
  <w:style w:type="character" w:customStyle="1" w:styleId="53">
    <w:name w:val="font21"/>
    <w:basedOn w:val="22"/>
    <w:qFormat/>
    <w:uiPriority w:val="0"/>
    <w:rPr>
      <w:rFonts w:hint="default" w:ascii="Times New Roman" w:hAnsi="Times New Roman" w:cs="Times New Roman"/>
      <w:color w:val="000000"/>
      <w:sz w:val="21"/>
      <w:szCs w:val="21"/>
      <w:u w:val="none"/>
      <w:vertAlign w:val="subscript"/>
    </w:rPr>
  </w:style>
  <w:style w:type="paragraph" w:customStyle="1" w:styleId="54">
    <w:name w:val="表格抬头"/>
    <w:basedOn w:val="1"/>
    <w:autoRedefine/>
    <w:qFormat/>
    <w:uiPriority w:val="0"/>
    <w:pPr>
      <w:snapToGrid w:val="0"/>
      <w:spacing w:line="240" w:lineRule="auto"/>
      <w:ind w:firstLine="0" w:firstLineChars="0"/>
      <w:jc w:val="center"/>
    </w:pPr>
    <w:rPr>
      <w:snapToGrid w:val="0"/>
      <w:sz w:val="21"/>
      <w:szCs w:val="21"/>
    </w:rPr>
  </w:style>
  <w:style w:type="paragraph" w:customStyle="1" w:styleId="55">
    <w:name w:val="表格正文"/>
    <w:basedOn w:val="1"/>
    <w:autoRedefine/>
    <w:qFormat/>
    <w:uiPriority w:val="0"/>
    <w:pPr>
      <w:snapToGrid w:val="0"/>
      <w:spacing w:line="240" w:lineRule="auto"/>
      <w:ind w:firstLine="0" w:firstLineChars="0"/>
    </w:pPr>
    <w:rPr>
      <w:snapToGrid w:val="0"/>
      <w:sz w:val="21"/>
      <w:szCs w:val="21"/>
    </w:rPr>
  </w:style>
  <w:style w:type="character" w:customStyle="1" w:styleId="56">
    <w:name w:val="font71"/>
    <w:basedOn w:val="22"/>
    <w:qFormat/>
    <w:uiPriority w:val="0"/>
    <w:rPr>
      <w:rFonts w:hint="default" w:ascii="Times New Roman" w:hAnsi="Times New Roman" w:cs="Times New Roman"/>
      <w:color w:val="000000"/>
      <w:sz w:val="21"/>
      <w:szCs w:val="21"/>
      <w:u w:val="none"/>
      <w:vertAlign w:val="subscript"/>
    </w:rPr>
  </w:style>
  <w:style w:type="character" w:customStyle="1" w:styleId="57">
    <w:name w:val="font81"/>
    <w:basedOn w:val="22"/>
    <w:qFormat/>
    <w:uiPriority w:val="0"/>
    <w:rPr>
      <w:rFonts w:hint="default" w:ascii="Times New Roman" w:hAnsi="Times New Roman" w:cs="Times New Roman"/>
      <w:color w:val="000000"/>
      <w:sz w:val="21"/>
      <w:szCs w:val="21"/>
      <w:u w:val="none"/>
      <w:vertAlign w:val="subscript"/>
    </w:rPr>
  </w:style>
  <w:style w:type="character" w:customStyle="1" w:styleId="58">
    <w:name w:val="font101"/>
    <w:basedOn w:val="22"/>
    <w:qFormat/>
    <w:uiPriority w:val="0"/>
    <w:rPr>
      <w:rFonts w:hint="default" w:ascii="Times New Roman" w:hAnsi="Times New Roman" w:cs="Times New Roman"/>
      <w:color w:val="0000C8"/>
      <w:sz w:val="21"/>
      <w:szCs w:val="21"/>
      <w:u w:val="none"/>
      <w:vertAlign w:val="superscript"/>
    </w:rPr>
  </w:style>
  <w:style w:type="character" w:customStyle="1" w:styleId="59">
    <w:name w:val="font51"/>
    <w:basedOn w:val="22"/>
    <w:qFormat/>
    <w:uiPriority w:val="0"/>
    <w:rPr>
      <w:rFonts w:hint="eastAsia" w:ascii="宋体" w:hAnsi="宋体" w:eastAsia="宋体" w:cs="宋体"/>
      <w:color w:val="0000C8"/>
      <w:sz w:val="21"/>
      <w:szCs w:val="21"/>
      <w:u w:val="none"/>
    </w:rPr>
  </w:style>
  <w:style w:type="character" w:customStyle="1" w:styleId="60">
    <w:name w:val="font61"/>
    <w:basedOn w:val="22"/>
    <w:qFormat/>
    <w:uiPriority w:val="0"/>
    <w:rPr>
      <w:rFonts w:hint="default" w:ascii="Times New Roman" w:hAnsi="Times New Roman" w:cs="Times New Roman"/>
      <w:color w:val="0000C8"/>
      <w:sz w:val="21"/>
      <w:szCs w:val="21"/>
      <w:u w:val="none"/>
    </w:rPr>
  </w:style>
  <w:style w:type="character" w:customStyle="1" w:styleId="61">
    <w:name w:val="font91"/>
    <w:basedOn w:val="22"/>
    <w:qFormat/>
    <w:uiPriority w:val="0"/>
    <w:rPr>
      <w:rFonts w:hint="default" w:ascii="Times New Roman" w:hAnsi="Times New Roman" w:cs="Times New Roman"/>
      <w:color w:val="0000C8"/>
      <w:sz w:val="21"/>
      <w:szCs w:val="21"/>
      <w:u w:val="none"/>
      <w:vertAlign w:val="subscript"/>
    </w:rPr>
  </w:style>
  <w:style w:type="character" w:customStyle="1" w:styleId="62">
    <w:name w:val="font41"/>
    <w:basedOn w:val="22"/>
    <w:qFormat/>
    <w:uiPriority w:val="0"/>
    <w:rPr>
      <w:rFonts w:hint="eastAsia" w:ascii="宋体" w:hAnsi="宋体" w:eastAsia="宋体" w:cs="宋体"/>
      <w:color w:val="000000"/>
      <w:sz w:val="21"/>
      <w:szCs w:val="21"/>
      <w:u w:val="none"/>
    </w:rPr>
  </w:style>
  <w:style w:type="character" w:customStyle="1" w:styleId="63">
    <w:name w:val="font31"/>
    <w:basedOn w:val="22"/>
    <w:qFormat/>
    <w:uiPriority w:val="0"/>
    <w:rPr>
      <w:rFonts w:hint="default" w:ascii="Times New Roman" w:hAnsi="Times New Roman" w:cs="Times New Roman"/>
      <w:color w:val="0000C8"/>
      <w:sz w:val="21"/>
      <w:szCs w:val="21"/>
      <w:u w:val="none"/>
    </w:rPr>
  </w:style>
  <w:style w:type="character" w:customStyle="1" w:styleId="64">
    <w:name w:val="font11"/>
    <w:basedOn w:val="22"/>
    <w:qFormat/>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wmf"/><Relationship Id="rId3" Type="http://schemas.openxmlformats.org/officeDocument/2006/relationships/footer" Target="footer1.xml"/><Relationship Id="rId29" Type="http://schemas.openxmlformats.org/officeDocument/2006/relationships/oleObject" Target="embeddings/oleObject2.bin"/><Relationship Id="rId28" Type="http://schemas.openxmlformats.org/officeDocument/2006/relationships/image" Target="media/image15.jpeg"/><Relationship Id="rId27" Type="http://schemas.openxmlformats.org/officeDocument/2006/relationships/image" Target="media/image14.jpeg"/><Relationship Id="rId26" Type="http://schemas.openxmlformats.org/officeDocument/2006/relationships/image" Target="media/image13.jpeg"/><Relationship Id="rId25" Type="http://schemas.openxmlformats.org/officeDocument/2006/relationships/image" Target="media/image12.jpeg"/><Relationship Id="rId24" Type="http://schemas.openxmlformats.org/officeDocument/2006/relationships/image" Target="media/image11.jpeg"/><Relationship Id="rId23" Type="http://schemas.openxmlformats.org/officeDocument/2006/relationships/image" Target="media/image10.jpeg"/><Relationship Id="rId22" Type="http://schemas.openxmlformats.org/officeDocument/2006/relationships/image" Target="media/image9.jpeg"/><Relationship Id="rId21" Type="http://schemas.openxmlformats.org/officeDocument/2006/relationships/image" Target="media/image8.jpeg"/><Relationship Id="rId20" Type="http://schemas.openxmlformats.org/officeDocument/2006/relationships/image" Target="media/image7.w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81</Pages>
  <Words>26978</Words>
  <Characters>28829</Characters>
  <Lines>13</Lines>
  <Paragraphs>3</Paragraphs>
  <TotalTime>3</TotalTime>
  <ScaleCrop>false</ScaleCrop>
  <LinksUpToDate>false</LinksUpToDate>
  <CharactersWithSpaces>28936</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高柒柒</cp:lastModifiedBy>
  <cp:lastPrinted>2020-12-29T02:43:00Z</cp:lastPrinted>
  <dcterms:modified xsi:type="dcterms:W3CDTF">2025-10-30T01:45:56Z</dcterms:modified>
  <dc:title>附件2</dc:title>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BC76521E530546BFA74A394F13BAC6D7_13</vt:lpwstr>
  </property>
  <property fmtid="{D5CDD505-2E9C-101B-9397-08002B2CF9AE}" pid="4" name="KSOTemplateDocerSaveRecord">
    <vt:lpwstr>eyJoZGlkIjoiNjE3ZWEyOGI0MzJhZDBkY2MxMDBhNTU4OTI4N2M0YzEiLCJ1c2VySWQiOiIyOTM4ODU4NjUifQ==</vt:lpwstr>
  </property>
</Properties>
</file>