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442FC">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728335" cy="7630795"/>
            <wp:effectExtent l="0" t="0" r="571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rcRect l="11339" t="2672" r="5545" b="4633"/>
                    <a:stretch>
                      <a:fillRect/>
                    </a:stretch>
                  </pic:blipFill>
                  <pic:spPr>
                    <a:xfrm>
                      <a:off x="0" y="0"/>
                      <a:ext cx="5728335" cy="7630795"/>
                    </a:xfrm>
                    <a:prstGeom prst="rect">
                      <a:avLst/>
                    </a:prstGeom>
                    <a:noFill/>
                    <a:ln>
                      <a:noFill/>
                    </a:ln>
                  </pic:spPr>
                </pic:pic>
              </a:graphicData>
            </a:graphic>
          </wp:inline>
        </w:drawing>
      </w:r>
      <w:bookmarkStart w:id="1" w:name="_GoBack"/>
      <w:bookmarkEnd w:id="1"/>
    </w:p>
    <w:p w14:paraId="64D8A8DB">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615305" cy="7597140"/>
            <wp:effectExtent l="0" t="0" r="4445"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5615305" cy="7597140"/>
                    </a:xfrm>
                    <a:prstGeom prst="rect">
                      <a:avLst/>
                    </a:prstGeom>
                    <a:noFill/>
                    <a:ln>
                      <a:noFill/>
                    </a:ln>
                  </pic:spPr>
                </pic:pic>
              </a:graphicData>
            </a:graphic>
          </wp:inline>
        </w:drawing>
      </w:r>
    </w:p>
    <w:p w14:paraId="77E42BD6">
      <w:pPr>
        <w:pStyle w:val="16"/>
        <w:jc w:val="center"/>
        <w:outlineLvl w:val="0"/>
      </w:pPr>
      <w:r>
        <w:drawing>
          <wp:inline distT="0" distB="0" distL="114300" distR="114300">
            <wp:extent cx="5612765" cy="7530465"/>
            <wp:effectExtent l="0" t="0" r="698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5612765" cy="7530465"/>
                    </a:xfrm>
                    <a:prstGeom prst="rect">
                      <a:avLst/>
                    </a:prstGeom>
                    <a:noFill/>
                    <a:ln>
                      <a:noFill/>
                    </a:ln>
                  </pic:spPr>
                </pic:pic>
              </a:graphicData>
            </a:graphic>
          </wp:inline>
        </w:drawing>
      </w:r>
    </w:p>
    <w:p w14:paraId="3AABD071">
      <w:pPr>
        <w:pStyle w:val="16"/>
        <w:jc w:val="center"/>
        <w:outlineLvl w:val="0"/>
      </w:pPr>
    </w:p>
    <w:p w14:paraId="17485E21">
      <w:pPr>
        <w:pStyle w:val="16"/>
        <w:jc w:val="center"/>
        <w:outlineLvl w:val="0"/>
      </w:pPr>
    </w:p>
    <w:p w14:paraId="401ACB5E">
      <w:pPr>
        <w:pStyle w:val="16"/>
        <w:jc w:val="center"/>
        <w:outlineLvl w:val="0"/>
      </w:pPr>
      <w:r>
        <w:drawing>
          <wp:inline distT="0" distB="0" distL="114300" distR="114300">
            <wp:extent cx="5614670" cy="7369175"/>
            <wp:effectExtent l="0" t="0" r="5080" b="317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a:stretch>
                      <a:fillRect/>
                    </a:stretch>
                  </pic:blipFill>
                  <pic:spPr>
                    <a:xfrm>
                      <a:off x="0" y="0"/>
                      <a:ext cx="5614670" cy="7369175"/>
                    </a:xfrm>
                    <a:prstGeom prst="rect">
                      <a:avLst/>
                    </a:prstGeom>
                    <a:noFill/>
                    <a:ln>
                      <a:noFill/>
                    </a:ln>
                  </pic:spPr>
                </pic:pic>
              </a:graphicData>
            </a:graphic>
          </wp:inline>
        </w:drawing>
      </w:r>
    </w:p>
    <w:p w14:paraId="6F78FB53">
      <w:pPr>
        <w:pStyle w:val="16"/>
        <w:jc w:val="center"/>
        <w:outlineLvl w:val="0"/>
        <w:rPr>
          <w:rFonts w:hint="default"/>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ADC639F">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9"/>
        <w:gridCol w:w="2250"/>
        <w:gridCol w:w="2212"/>
        <w:gridCol w:w="2639"/>
      </w:tblGrid>
      <w:tr w14:paraId="007D6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5476D75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建设项目名称</w:t>
            </w:r>
          </w:p>
        </w:tc>
        <w:tc>
          <w:tcPr>
            <w:tcW w:w="7101" w:type="dxa"/>
            <w:gridSpan w:val="3"/>
            <w:noWrap w:val="0"/>
            <w:vAlign w:val="center"/>
          </w:tcPr>
          <w:p w14:paraId="47347E9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渝爱动物医院建设项目</w:t>
            </w:r>
          </w:p>
        </w:tc>
      </w:tr>
      <w:tr w14:paraId="01A49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251FD5E3">
            <w:pPr>
              <w:adjustRightInd w:val="0"/>
              <w:snapToGrid w:val="0"/>
              <w:jc w:val="center"/>
              <w:rPr>
                <w:rFonts w:hint="default" w:cs="Times New Roman"/>
                <w:color w:val="auto"/>
                <w:szCs w:val="21"/>
                <w:highlight w:val="none"/>
                <w:lang w:val="en-US" w:eastAsia="zh-CN"/>
              </w:rPr>
            </w:pPr>
            <w:r>
              <w:rPr>
                <w:rFonts w:hint="default" w:cs="Times New Roman"/>
                <w:color w:val="auto"/>
                <w:szCs w:val="21"/>
                <w:highlight w:val="none"/>
                <w:lang w:val="en-US" w:eastAsia="zh-CN"/>
              </w:rPr>
              <w:t>项目代码</w:t>
            </w:r>
          </w:p>
        </w:tc>
        <w:tc>
          <w:tcPr>
            <w:tcW w:w="7101" w:type="dxa"/>
            <w:gridSpan w:val="3"/>
            <w:noWrap w:val="0"/>
            <w:vAlign w:val="center"/>
          </w:tcPr>
          <w:p w14:paraId="349A28D0">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2507-500107-04-03-466402</w:t>
            </w:r>
          </w:p>
        </w:tc>
      </w:tr>
      <w:tr w14:paraId="74FC5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4402D77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250" w:type="dxa"/>
            <w:noWrap w:val="0"/>
            <w:vAlign w:val="center"/>
          </w:tcPr>
          <w:p w14:paraId="0CC9CD04">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夏**</w:t>
            </w:r>
          </w:p>
        </w:tc>
        <w:tc>
          <w:tcPr>
            <w:tcW w:w="2212" w:type="dxa"/>
            <w:noWrap w:val="0"/>
            <w:vAlign w:val="center"/>
          </w:tcPr>
          <w:p w14:paraId="13C817C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639" w:type="dxa"/>
            <w:noWrap w:val="0"/>
            <w:vAlign w:val="center"/>
          </w:tcPr>
          <w:p w14:paraId="7AE604A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17*******59</w:t>
            </w:r>
          </w:p>
        </w:tc>
      </w:tr>
      <w:tr w14:paraId="1B34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25ADD66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7101" w:type="dxa"/>
            <w:gridSpan w:val="3"/>
            <w:noWrap w:val="0"/>
            <w:vAlign w:val="center"/>
          </w:tcPr>
          <w:p w14:paraId="58E0A576">
            <w:pPr>
              <w:adjustRightInd w:val="0"/>
              <w:snapToGrid w:val="0"/>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重庆市九龙坡区二郎街道火炬大道100号附24号及附23-2号</w:t>
            </w:r>
          </w:p>
        </w:tc>
      </w:tr>
      <w:tr w14:paraId="5B615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3F6C527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101" w:type="dxa"/>
            <w:gridSpan w:val="3"/>
            <w:noWrap w:val="0"/>
            <w:vAlign w:val="center"/>
          </w:tcPr>
          <w:p w14:paraId="2C133DAC">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lang w:val="en-US" w:eastAsia="zh-CN"/>
              </w:rPr>
              <w:t>东经</w:t>
            </w:r>
            <w:r>
              <w:rPr>
                <w:rFonts w:hint="eastAsia" w:ascii="Times New Roman" w:hAnsi="Times New Roman" w:cs="Times New Roman"/>
                <w:color w:val="auto"/>
                <w:szCs w:val="21"/>
              </w:rPr>
              <w:t>10</w:t>
            </w:r>
            <w:r>
              <w:rPr>
                <w:rFonts w:hint="eastAsia" w:ascii="Times New Roman" w:hAnsi="Times New Roman" w:cs="Times New Roman"/>
                <w:color w:val="auto"/>
                <w:szCs w:val="21"/>
                <w:lang w:val="en-US" w:eastAsia="zh-CN"/>
              </w:rPr>
              <w:t>6</w:t>
            </w:r>
            <w:r>
              <w:rPr>
                <w:rFonts w:hint="eastAsia" w:ascii="Times New Roman" w:hAnsi="Times New Roman" w:cs="Times New Roman"/>
                <w:color w:val="auto"/>
                <w:szCs w:val="21"/>
              </w:rPr>
              <w:t>°</w:t>
            </w:r>
            <w:r>
              <w:rPr>
                <w:rFonts w:hint="eastAsia" w:cs="Times New Roman"/>
                <w:color w:val="auto"/>
                <w:szCs w:val="21"/>
                <w:lang w:val="en-US" w:eastAsia="zh-CN"/>
              </w:rPr>
              <w:t>27</w:t>
            </w:r>
            <w:r>
              <w:rPr>
                <w:rFonts w:hint="eastAsia" w:ascii="Times New Roman" w:hAnsi="Times New Roman" w:cs="Times New Roman"/>
                <w:color w:val="auto"/>
                <w:szCs w:val="21"/>
              </w:rPr>
              <w:t>′</w:t>
            </w:r>
            <w:r>
              <w:rPr>
                <w:rFonts w:hint="eastAsia" w:cs="Times New Roman"/>
                <w:color w:val="auto"/>
                <w:szCs w:val="21"/>
                <w:lang w:val="en-US" w:eastAsia="zh-CN"/>
              </w:rPr>
              <w:t>48.284</w:t>
            </w:r>
            <w:r>
              <w:rPr>
                <w:rFonts w:hint="eastAsia" w:ascii="Times New Roman" w:hAnsi="Times New Roman" w:cs="Times New Roman"/>
                <w:color w:val="auto"/>
                <w:szCs w:val="21"/>
              </w:rPr>
              <w:t>″</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北纬29</w:t>
            </w:r>
            <w:r>
              <w:rPr>
                <w:rFonts w:hint="eastAsia" w:ascii="Times New Roman" w:hAnsi="Times New Roman" w:cs="Times New Roman"/>
                <w:color w:val="auto"/>
                <w:szCs w:val="21"/>
              </w:rPr>
              <w:t>°</w:t>
            </w:r>
            <w:r>
              <w:rPr>
                <w:rFonts w:hint="eastAsia" w:cs="Times New Roman"/>
                <w:color w:val="auto"/>
                <w:szCs w:val="21"/>
                <w:lang w:val="en-US" w:eastAsia="zh-CN"/>
              </w:rPr>
              <w:t>30</w:t>
            </w:r>
            <w:r>
              <w:rPr>
                <w:rFonts w:hint="eastAsia" w:ascii="Times New Roman" w:hAnsi="Times New Roman" w:cs="Times New Roman"/>
                <w:color w:val="auto"/>
                <w:szCs w:val="21"/>
              </w:rPr>
              <w:t>′</w:t>
            </w:r>
            <w:r>
              <w:rPr>
                <w:rFonts w:hint="eastAsia" w:cs="Times New Roman"/>
                <w:color w:val="auto"/>
                <w:szCs w:val="21"/>
                <w:lang w:val="en-US" w:eastAsia="zh-CN"/>
              </w:rPr>
              <w:t>21.419</w:t>
            </w:r>
            <w:r>
              <w:rPr>
                <w:rFonts w:hint="eastAsia" w:ascii="Times New Roman" w:hAnsi="Times New Roman" w:cs="Times New Roman"/>
                <w:color w:val="auto"/>
                <w:szCs w:val="21"/>
              </w:rPr>
              <w:t>″</w:t>
            </w:r>
          </w:p>
        </w:tc>
      </w:tr>
      <w:tr w14:paraId="6334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69" w:type="dxa"/>
            <w:noWrap w:val="0"/>
            <w:tcMar>
              <w:top w:w="16" w:type="dxa"/>
              <w:left w:w="16" w:type="dxa"/>
              <w:right w:w="16" w:type="dxa"/>
            </w:tcMar>
            <w:vAlign w:val="center"/>
          </w:tcPr>
          <w:p w14:paraId="65BE0B3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14:paraId="67FF21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250" w:type="dxa"/>
            <w:noWrap w:val="0"/>
            <w:vAlign w:val="center"/>
          </w:tcPr>
          <w:p w14:paraId="08C524B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O822</w:t>
            </w:r>
            <w:r>
              <w:rPr>
                <w:rFonts w:hint="eastAsia" w:cs="Times New Roman"/>
                <w:color w:val="auto"/>
                <w:szCs w:val="21"/>
                <w:highlight w:val="none"/>
                <w:lang w:val="en-US" w:eastAsia="zh-CN"/>
              </w:rPr>
              <w:t>2宠物医院服务</w:t>
            </w:r>
          </w:p>
        </w:tc>
        <w:tc>
          <w:tcPr>
            <w:tcW w:w="2212" w:type="dxa"/>
            <w:noWrap w:val="0"/>
            <w:vAlign w:val="center"/>
          </w:tcPr>
          <w:p w14:paraId="55B7525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54EFD45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639" w:type="dxa"/>
            <w:noWrap w:val="0"/>
            <w:vAlign w:val="center"/>
          </w:tcPr>
          <w:p w14:paraId="4354C6CC">
            <w:pPr>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五十、社会事业与服务业 123动物医院</w:t>
            </w:r>
          </w:p>
        </w:tc>
      </w:tr>
      <w:tr w14:paraId="418D7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noWrap w:val="0"/>
            <w:tcMar>
              <w:top w:w="16" w:type="dxa"/>
              <w:left w:w="16" w:type="dxa"/>
              <w:right w:w="16" w:type="dxa"/>
            </w:tcMar>
            <w:vAlign w:val="center"/>
          </w:tcPr>
          <w:p w14:paraId="77CE6C4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250" w:type="dxa"/>
            <w:noWrap w:val="0"/>
            <w:vAlign w:val="center"/>
          </w:tcPr>
          <w:p w14:paraId="5F631645">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新建（迁建）</w:t>
            </w:r>
          </w:p>
          <w:p w14:paraId="52A6F7E1">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改建</w:t>
            </w:r>
          </w:p>
          <w:p w14:paraId="13216234">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扩建</w:t>
            </w:r>
          </w:p>
          <w:p w14:paraId="2EB6A43F">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技术改造</w:t>
            </w:r>
          </w:p>
        </w:tc>
        <w:tc>
          <w:tcPr>
            <w:tcW w:w="2212" w:type="dxa"/>
            <w:noWrap w:val="0"/>
            <w:vAlign w:val="center"/>
          </w:tcPr>
          <w:p w14:paraId="692E83D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553D17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639" w:type="dxa"/>
            <w:noWrap w:val="0"/>
            <w:vAlign w:val="center"/>
          </w:tcPr>
          <w:p w14:paraId="74D1F8BA">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 xml:space="preserve">首次申报项目             </w:t>
            </w:r>
          </w:p>
          <w:p w14:paraId="59AB295C">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不予批准后再次申报项目</w:t>
            </w:r>
          </w:p>
          <w:p w14:paraId="048BC264">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超五年重新审核项目     </w:t>
            </w:r>
          </w:p>
          <w:p w14:paraId="69F77F02">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重大变动重新报批项目</w:t>
            </w:r>
          </w:p>
        </w:tc>
      </w:tr>
      <w:tr w14:paraId="152A2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9" w:type="dxa"/>
            <w:noWrap w:val="0"/>
            <w:tcMar>
              <w:top w:w="16" w:type="dxa"/>
              <w:left w:w="16" w:type="dxa"/>
              <w:right w:w="16" w:type="dxa"/>
            </w:tcMar>
            <w:vAlign w:val="center"/>
          </w:tcPr>
          <w:p w14:paraId="6A3AEB3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4E790CE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250" w:type="dxa"/>
            <w:noWrap w:val="0"/>
            <w:vAlign w:val="center"/>
          </w:tcPr>
          <w:p w14:paraId="720542E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重庆市九龙坡区发展和改革委员会</w:t>
            </w:r>
          </w:p>
        </w:tc>
        <w:tc>
          <w:tcPr>
            <w:tcW w:w="2212" w:type="dxa"/>
            <w:noWrap w:val="0"/>
            <w:vAlign w:val="center"/>
          </w:tcPr>
          <w:p w14:paraId="1134787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471C8D5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639" w:type="dxa"/>
            <w:noWrap w:val="0"/>
            <w:vAlign w:val="center"/>
          </w:tcPr>
          <w:p w14:paraId="08DEF864">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2507-500107-04-03-466402</w:t>
            </w:r>
          </w:p>
        </w:tc>
      </w:tr>
      <w:tr w14:paraId="2B42A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6CAB1A8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总投资（万元）</w:t>
            </w:r>
          </w:p>
        </w:tc>
        <w:tc>
          <w:tcPr>
            <w:tcW w:w="2250" w:type="dxa"/>
            <w:noWrap w:val="0"/>
            <w:vAlign w:val="center"/>
          </w:tcPr>
          <w:p w14:paraId="7FFC1FCD">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c>
          <w:tcPr>
            <w:tcW w:w="2212" w:type="dxa"/>
            <w:noWrap w:val="0"/>
            <w:tcMar>
              <w:top w:w="16" w:type="dxa"/>
              <w:left w:w="16" w:type="dxa"/>
              <w:right w:w="16" w:type="dxa"/>
            </w:tcMar>
            <w:vAlign w:val="center"/>
          </w:tcPr>
          <w:p w14:paraId="6FEBAB8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环保投资（万元）</w:t>
            </w:r>
          </w:p>
        </w:tc>
        <w:tc>
          <w:tcPr>
            <w:tcW w:w="2639" w:type="dxa"/>
            <w:noWrap w:val="0"/>
            <w:vAlign w:val="center"/>
          </w:tcPr>
          <w:p w14:paraId="5DBCA5B0">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w:t>
            </w:r>
          </w:p>
        </w:tc>
      </w:tr>
      <w:tr w14:paraId="2317D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0FC077F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环保投资占比（%）</w:t>
            </w:r>
          </w:p>
        </w:tc>
        <w:tc>
          <w:tcPr>
            <w:tcW w:w="2250" w:type="dxa"/>
            <w:noWrap w:val="0"/>
            <w:vAlign w:val="center"/>
          </w:tcPr>
          <w:p w14:paraId="2E71ACF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c>
          <w:tcPr>
            <w:tcW w:w="2212" w:type="dxa"/>
            <w:noWrap w:val="0"/>
            <w:tcMar>
              <w:top w:w="16" w:type="dxa"/>
              <w:left w:w="16" w:type="dxa"/>
              <w:right w:w="16" w:type="dxa"/>
            </w:tcMar>
            <w:vAlign w:val="center"/>
          </w:tcPr>
          <w:p w14:paraId="192F1F3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施工工期</w:t>
            </w:r>
          </w:p>
        </w:tc>
        <w:tc>
          <w:tcPr>
            <w:tcW w:w="2639" w:type="dxa"/>
            <w:noWrap w:val="0"/>
            <w:vAlign w:val="center"/>
          </w:tcPr>
          <w:p w14:paraId="2A07F930">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r>
      <w:tr w14:paraId="5964B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noWrap w:val="0"/>
            <w:tcMar>
              <w:top w:w="16" w:type="dxa"/>
              <w:left w:w="16" w:type="dxa"/>
              <w:right w:w="16" w:type="dxa"/>
            </w:tcMar>
            <w:vAlign w:val="center"/>
          </w:tcPr>
          <w:p w14:paraId="400EE3A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是否开工建设</w:t>
            </w:r>
          </w:p>
        </w:tc>
        <w:tc>
          <w:tcPr>
            <w:tcW w:w="2250" w:type="dxa"/>
            <w:noWrap w:val="0"/>
            <w:vAlign w:val="center"/>
          </w:tcPr>
          <w:p w14:paraId="70024CCD">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否</w:t>
            </w:r>
          </w:p>
          <w:p w14:paraId="728BADF4">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是</w:t>
            </w:r>
          </w:p>
        </w:tc>
        <w:tc>
          <w:tcPr>
            <w:tcW w:w="2212" w:type="dxa"/>
            <w:noWrap w:val="0"/>
            <w:tcMar>
              <w:top w:w="16" w:type="dxa"/>
              <w:left w:w="16" w:type="dxa"/>
              <w:right w:w="16" w:type="dxa"/>
            </w:tcMar>
            <w:vAlign w:val="center"/>
          </w:tcPr>
          <w:p w14:paraId="53DC3AE3">
            <w:pPr>
              <w:adjustRightInd w:val="0"/>
              <w:snapToGrid w:val="0"/>
              <w:jc w:val="center"/>
              <w:rPr>
                <w:rFonts w:hint="default" w:ascii="Times New Roman" w:hAnsi="Times New Roman" w:cs="Times New Roman"/>
                <w:color w:val="000000" w:themeColor="text1"/>
                <w:spacing w:val="-6"/>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用地（用海）</w:t>
            </w:r>
          </w:p>
          <w:p w14:paraId="2FAD801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面积（m</w:t>
            </w:r>
            <w:r>
              <w:rPr>
                <w:rFonts w:hint="default" w:ascii="Times New Roman" w:hAnsi="Times New Roman"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Cs w:val="21"/>
                <w:highlight w:val="none"/>
                <w14:textFill>
                  <w14:solidFill>
                    <w14:schemeClr w14:val="tx1"/>
                  </w14:solidFill>
                </w14:textFill>
              </w:rPr>
              <w:t>）</w:t>
            </w:r>
          </w:p>
        </w:tc>
        <w:tc>
          <w:tcPr>
            <w:tcW w:w="2639" w:type="dxa"/>
            <w:noWrap w:val="0"/>
            <w:vAlign w:val="center"/>
          </w:tcPr>
          <w:p w14:paraId="44E564B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132.61</w:t>
            </w:r>
          </w:p>
        </w:tc>
      </w:tr>
      <w:tr w14:paraId="16395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1A4C0065">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专项评价设置情况</w:t>
            </w:r>
          </w:p>
        </w:tc>
        <w:tc>
          <w:tcPr>
            <w:tcW w:w="7101" w:type="dxa"/>
            <w:gridSpan w:val="3"/>
            <w:noWrap w:val="0"/>
            <w:vAlign w:val="center"/>
          </w:tcPr>
          <w:p w14:paraId="1400CEA9">
            <w:pPr>
              <w:autoSpaceDE w:val="0"/>
              <w:autoSpaceDN w:val="0"/>
              <w:adjustRightInd w:val="0"/>
              <w:snapToGrid w:val="0"/>
              <w:jc w:val="center"/>
              <w:rPr>
                <w:rFonts w:hint="default" w:ascii="Times New Roman" w:hAnsi="Times New Roman" w:cs="Times New Roman"/>
                <w:b/>
                <w:bCs/>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w:t>
            </w:r>
            <w:r>
              <w:rPr>
                <w:rFonts w:hint="eastAsia" w:cs="Times New Roman"/>
                <w:b/>
                <w:bCs/>
                <w:color w:val="000000" w:themeColor="text1"/>
                <w:kern w:val="0"/>
                <w:szCs w:val="21"/>
                <w:highlight w:val="none"/>
                <w:lang w:val="en-US" w:eastAsia="zh-CN"/>
                <w14:textFill>
                  <w14:solidFill>
                    <w14:schemeClr w14:val="tx1"/>
                  </w14:solidFill>
                </w14:textFill>
              </w:rPr>
              <w:t>1-1</w:t>
            </w: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Cs w:val="21"/>
                <w:highlight w:val="none"/>
                <w14:textFill>
                  <w14:solidFill>
                    <w14:schemeClr w14:val="tx1"/>
                  </w14:solidFill>
                </w14:textFill>
              </w:rPr>
              <w:t>专项评价设置原则表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3326"/>
              <w:gridCol w:w="2465"/>
            </w:tblGrid>
            <w:tr w14:paraId="3D302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6617F4AB">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专项评价类别</w:t>
                  </w:r>
                </w:p>
              </w:tc>
              <w:tc>
                <w:tcPr>
                  <w:tcW w:w="2427" w:type="pct"/>
                  <w:tcBorders>
                    <w:tl2br w:val="nil"/>
                    <w:tr2bl w:val="nil"/>
                  </w:tcBorders>
                  <w:noWrap w:val="0"/>
                  <w:vAlign w:val="center"/>
                </w:tcPr>
                <w:p w14:paraId="2F623705">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设置原则</w:t>
                  </w:r>
                </w:p>
              </w:tc>
              <w:tc>
                <w:tcPr>
                  <w:tcW w:w="1798" w:type="pct"/>
                  <w:tcBorders>
                    <w:tl2br w:val="nil"/>
                    <w:tr2bl w:val="nil"/>
                  </w:tcBorders>
                  <w:noWrap w:val="0"/>
                  <w:vAlign w:val="center"/>
                </w:tcPr>
                <w:p w14:paraId="1C864283">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本项目专项评价设置情况</w:t>
                  </w:r>
                </w:p>
              </w:tc>
            </w:tr>
            <w:tr w14:paraId="04299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2F462366">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大气</w:t>
                  </w:r>
                </w:p>
              </w:tc>
              <w:tc>
                <w:tcPr>
                  <w:tcW w:w="2427" w:type="pct"/>
                  <w:tcBorders>
                    <w:tl2br w:val="nil"/>
                    <w:tr2bl w:val="nil"/>
                  </w:tcBorders>
                  <w:noWrap w:val="0"/>
                  <w:vAlign w:val="center"/>
                </w:tcPr>
                <w:p w14:paraId="4E907846">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排放废气含有毒有害污染物、二噁英、苯并</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a</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芘、氰化物、氯气且厂界外 500m范围内有环境空气保护目标的建设项目</w:t>
                  </w:r>
                </w:p>
              </w:tc>
              <w:tc>
                <w:tcPr>
                  <w:tcW w:w="1798" w:type="pct"/>
                  <w:tcBorders>
                    <w:tl2br w:val="nil"/>
                    <w:tr2bl w:val="nil"/>
                  </w:tcBorders>
                  <w:noWrap w:val="0"/>
                  <w:vAlign w:val="center"/>
                </w:tcPr>
                <w:p w14:paraId="4EAA4238">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本项目排放的废气不涉及有毒有害污染物、二噁英、苯并</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a</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芘、氰化物、氯气</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故本项目不设置大气专项评价。</w:t>
                  </w:r>
                </w:p>
              </w:tc>
            </w:tr>
            <w:tr w14:paraId="366AB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6C41D29">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地表水</w:t>
                  </w:r>
                </w:p>
              </w:tc>
              <w:tc>
                <w:tcPr>
                  <w:tcW w:w="2427" w:type="pct"/>
                  <w:tcBorders>
                    <w:tl2br w:val="nil"/>
                    <w:tr2bl w:val="nil"/>
                  </w:tcBorders>
                  <w:noWrap w:val="0"/>
                  <w:vAlign w:val="center"/>
                </w:tcPr>
                <w:p w14:paraId="77469D5B">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新增工业废水直排建设项目</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槽罐车外送污水处理厂的除外</w:t>
                  </w:r>
                  <w:r>
                    <w:rPr>
                      <w:rFonts w:hint="default" w:ascii="Times New Roman" w:hAnsi="Times New Roman" w:cs="Times New Roman"/>
                      <w:color w:val="000000" w:themeColor="text1"/>
                      <w:kern w:val="0"/>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新增废水直排的污水集中处理厂</w:t>
                  </w:r>
                </w:p>
              </w:tc>
              <w:tc>
                <w:tcPr>
                  <w:tcW w:w="1798" w:type="pct"/>
                  <w:tcBorders>
                    <w:tl2br w:val="nil"/>
                    <w:tr2bl w:val="nil"/>
                  </w:tcBorders>
                  <w:noWrap w:val="0"/>
                  <w:vAlign w:val="center"/>
                </w:tcPr>
                <w:p w14:paraId="26EC7CC5">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本项目无废水直排</w:t>
                  </w:r>
                  <w:r>
                    <w:rPr>
                      <w:rFonts w:hint="eastAsia" w:cs="Times New Roman"/>
                      <w:color w:val="000000" w:themeColor="text1"/>
                      <w:kern w:val="0"/>
                      <w:szCs w:val="21"/>
                      <w:highlight w:val="none"/>
                      <w:vertAlign w:val="baseli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故本项目不设置地表水专项评价。</w:t>
                  </w:r>
                </w:p>
              </w:tc>
            </w:tr>
            <w:tr w14:paraId="57329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6E02FEE0">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环境风险</w:t>
                  </w:r>
                </w:p>
              </w:tc>
              <w:tc>
                <w:tcPr>
                  <w:tcW w:w="2427" w:type="pct"/>
                  <w:tcBorders>
                    <w:tl2br w:val="nil"/>
                    <w:tr2bl w:val="nil"/>
                  </w:tcBorders>
                  <w:noWrap w:val="0"/>
                  <w:vAlign w:val="center"/>
                </w:tcPr>
                <w:p w14:paraId="6D22525D">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有毒有害和易燃易爆危险物质存储量超过临界量的建设项目</w:t>
                  </w:r>
                </w:p>
              </w:tc>
              <w:tc>
                <w:tcPr>
                  <w:tcW w:w="1798" w:type="pct"/>
                  <w:tcBorders>
                    <w:tl2br w:val="nil"/>
                    <w:tr2bl w:val="nil"/>
                  </w:tcBorders>
                  <w:noWrap w:val="0"/>
                  <w:vAlign w:val="center"/>
                </w:tcPr>
                <w:p w14:paraId="544F265A">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本项目涉及</w:t>
                  </w: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的</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有毒有害物质</w:t>
                  </w: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和</w:t>
                  </w:r>
                  <w:r>
                    <w:rPr>
                      <w:rFonts w:hint="default" w:ascii="Times New Roman" w:hAnsi="Times New Roman" w:cs="Times New Roman"/>
                      <w:color w:val="000000" w:themeColor="text1"/>
                      <w:kern w:val="0"/>
                      <w:szCs w:val="21"/>
                      <w:highlight w:val="none"/>
                      <w:vertAlign w:val="baseline"/>
                      <w14:textFill>
                        <w14:solidFill>
                          <w14:schemeClr w14:val="tx1"/>
                        </w14:solidFill>
                      </w14:textFill>
                    </w:rPr>
                    <w:t>易燃易爆物质存放量未超过临界量</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故本项目不设置环境风险专项评价。</w:t>
                  </w:r>
                </w:p>
              </w:tc>
            </w:tr>
            <w:tr w14:paraId="78F24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AD4AEDA">
                  <w:pPr>
                    <w:autoSpaceDE w:val="0"/>
                    <w:autoSpaceDN w:val="0"/>
                    <w:adjustRightInd w:val="0"/>
                    <w:snapToGrid w:val="0"/>
                    <w:jc w:val="center"/>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生态</w:t>
                  </w:r>
                </w:p>
              </w:tc>
              <w:tc>
                <w:tcPr>
                  <w:tcW w:w="2427" w:type="pct"/>
                  <w:tcBorders>
                    <w:tl2br w:val="nil"/>
                    <w:tr2bl w:val="nil"/>
                  </w:tcBorders>
                  <w:noWrap w:val="0"/>
                  <w:vAlign w:val="center"/>
                </w:tcPr>
                <w:p w14:paraId="5E817101">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取水口下游500 米范围内有重要水生 生物的自然产卵场、索饵场、越冬场和洄游通道的新增河道取水的污染类建设项目</w:t>
                  </w:r>
                </w:p>
              </w:tc>
              <w:tc>
                <w:tcPr>
                  <w:tcW w:w="1798" w:type="pct"/>
                  <w:tcBorders>
                    <w:tl2br w:val="nil"/>
                    <w:tr2bl w:val="nil"/>
                  </w:tcBorders>
                  <w:noWrap w:val="0"/>
                  <w:vAlign w:val="center"/>
                </w:tcPr>
                <w:p w14:paraId="5EACD205">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本项目不涉及取水口</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故本项目不设置生态专项评价。</w:t>
                  </w:r>
                </w:p>
              </w:tc>
            </w:tr>
            <w:tr w14:paraId="378D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4E666DD8">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lang w:val="en-US" w:eastAsia="zh-CN"/>
                      <w14:textFill>
                        <w14:solidFill>
                          <w14:schemeClr w14:val="tx1"/>
                        </w14:solidFill>
                      </w14:textFill>
                    </w:rPr>
                    <w:t>海洋</w:t>
                  </w:r>
                </w:p>
              </w:tc>
              <w:tc>
                <w:tcPr>
                  <w:tcW w:w="2427" w:type="pct"/>
                  <w:tcBorders>
                    <w:tl2br w:val="nil"/>
                    <w:tr2bl w:val="nil"/>
                  </w:tcBorders>
                  <w:noWrap w:val="0"/>
                  <w:vAlign w:val="center"/>
                </w:tcPr>
                <w:p w14:paraId="1D633F1E">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直接向海排放污染物的海洋工程建设项目</w:t>
                  </w:r>
                </w:p>
              </w:tc>
              <w:tc>
                <w:tcPr>
                  <w:tcW w:w="1798" w:type="pct"/>
                  <w:tcBorders>
                    <w:tl2br w:val="nil"/>
                    <w:tr2bl w:val="nil"/>
                  </w:tcBorders>
                  <w:noWrap w:val="0"/>
                  <w:vAlign w:val="center"/>
                </w:tcPr>
                <w:p w14:paraId="55C49332">
                  <w:pPr>
                    <w:autoSpaceDE w:val="0"/>
                    <w:autoSpaceDN w:val="0"/>
                    <w:adjustRightInd w:val="0"/>
                    <w:snapToGrid w:val="0"/>
                    <w:jc w:val="center"/>
                    <w:rPr>
                      <w:rFonts w:hint="default" w:ascii="Times New Roman" w:hAnsi="Times New Roman" w:cs="Times New Roman"/>
                      <w:color w:val="000000" w:themeColor="text1"/>
                      <w:kern w:val="0"/>
                      <w:szCs w:val="21"/>
                      <w:highlight w:val="none"/>
                      <w:vertAlign w:val="baseline"/>
                      <w14:textFill>
                        <w14:solidFill>
                          <w14:schemeClr w14:val="tx1"/>
                        </w14:solidFill>
                      </w14:textFill>
                    </w:rPr>
                  </w:pPr>
                  <w:r>
                    <w:rPr>
                      <w:rFonts w:hint="default" w:ascii="Times New Roman" w:hAnsi="Times New Roman" w:cs="Times New Roman"/>
                      <w:color w:val="000000" w:themeColor="text1"/>
                      <w:kern w:val="0"/>
                      <w:szCs w:val="21"/>
                      <w:highlight w:val="none"/>
                      <w:vertAlign w:val="baseline"/>
                      <w14:textFill>
                        <w14:solidFill>
                          <w14:schemeClr w14:val="tx1"/>
                        </w14:solidFill>
                      </w14:textFill>
                    </w:rPr>
                    <w:t>本项目不涉及向海洋排放污染物</w:t>
                  </w:r>
                  <w:r>
                    <w:rPr>
                      <w:rFonts w:hint="eastAsia" w:cs="Times New Roman"/>
                      <w:color w:val="000000" w:themeColor="text1"/>
                      <w:kern w:val="0"/>
                      <w:szCs w:val="21"/>
                      <w:highlight w:val="none"/>
                      <w:vertAlign w:val="baseli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故本项目不设置海洋专项评价。</w:t>
                  </w:r>
                </w:p>
              </w:tc>
            </w:tr>
          </w:tbl>
          <w:p w14:paraId="029F96CA">
            <w:pPr>
              <w:autoSpaceDE w:val="0"/>
              <w:autoSpaceDN w:val="0"/>
              <w:adjustRightInd w:val="0"/>
              <w:snapToGrid w:val="0"/>
              <w:jc w:val="both"/>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综上，经与专项评价设置原则表对照分析，本项目无需设置专项评</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价</w:t>
            </w:r>
            <w:r>
              <w:rPr>
                <w:rFonts w:hint="eastAsia" w:cs="Times New Roman"/>
                <w:b/>
                <w:bCs/>
                <w:color w:val="000000" w:themeColor="text1"/>
                <w:kern w:val="0"/>
                <w:sz w:val="24"/>
                <w:szCs w:val="24"/>
                <w:highlight w:val="none"/>
                <w:lang w:val="en-US" w:eastAsia="zh-CN"/>
                <w14:textFill>
                  <w14:solidFill>
                    <w14:schemeClr w14:val="tx1"/>
                  </w14:solidFill>
                </w14:textFill>
              </w:rPr>
              <w:t>。</w:t>
            </w:r>
          </w:p>
        </w:tc>
      </w:tr>
      <w:tr w14:paraId="0EC91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3F6D89A1">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7101" w:type="dxa"/>
            <w:gridSpan w:val="3"/>
            <w:noWrap w:val="0"/>
            <w:vAlign w:val="center"/>
          </w:tcPr>
          <w:p w14:paraId="52F6F61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无</w:t>
            </w:r>
          </w:p>
        </w:tc>
      </w:tr>
      <w:tr w14:paraId="4B00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5EC4969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14:paraId="6B90071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7101" w:type="dxa"/>
            <w:gridSpan w:val="3"/>
            <w:noWrap w:val="0"/>
            <w:vAlign w:val="center"/>
          </w:tcPr>
          <w:p w14:paraId="42E5A63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无</w:t>
            </w:r>
          </w:p>
        </w:tc>
      </w:tr>
      <w:tr w14:paraId="5100C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010458C3">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7101" w:type="dxa"/>
            <w:gridSpan w:val="3"/>
            <w:noWrap w:val="0"/>
            <w:vAlign w:val="center"/>
          </w:tcPr>
          <w:p w14:paraId="46880035">
            <w:pPr>
              <w:pStyle w:val="2"/>
              <w:keepNext/>
              <w:keepLines w:val="0"/>
              <w:pageBreakBefore w:val="0"/>
              <w:widowControl w:val="0"/>
              <w:kinsoku/>
              <w:wordWrap/>
              <w:overflowPunct w:val="0"/>
              <w:topLinePunct w:val="0"/>
              <w:autoSpaceDE/>
              <w:autoSpaceDN/>
              <w:bidi w:val="0"/>
              <w:adjustRightInd/>
              <w:snapToGrid w:val="0"/>
              <w:spacing w:before="0" w:after="0" w:line="360" w:lineRule="auto"/>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szCs w:val="24"/>
                <w:highlight w:val="none"/>
                <w:shd w:val="clear" w:color="auto" w:fill="auto"/>
                <w:lang w:val="en-US" w:eastAsia="zh-CN"/>
              </w:rPr>
              <w:t>无</w:t>
            </w:r>
          </w:p>
        </w:tc>
      </w:tr>
      <w:tr w14:paraId="4F756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6B764576">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7101" w:type="dxa"/>
            <w:gridSpan w:val="3"/>
            <w:noWrap w:val="0"/>
            <w:vAlign w:val="center"/>
          </w:tcPr>
          <w:p w14:paraId="79217917">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三线一单符合性分析</w:t>
            </w:r>
          </w:p>
          <w:p w14:paraId="3CCFDB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根据《重庆市“三线一单”生态环境分区管控调整方案）（2023年）》及</w:t>
            </w:r>
            <w:r>
              <w:rPr>
                <w:rFonts w:hint="eastAsia" w:cs="Times New Roman"/>
                <w:b w:val="0"/>
                <w:bCs w:val="0"/>
                <w:color w:val="auto"/>
                <w:kern w:val="0"/>
                <w:sz w:val="24"/>
                <w:szCs w:val="24"/>
                <w:highlight w:val="none"/>
                <w:lang w:val="en-US" w:eastAsia="zh-CN"/>
              </w:rPr>
              <w:t>《重庆市九龙坡区“三线一单”生态环境分区管控调整方案（2023年）》</w:t>
            </w:r>
            <w:r>
              <w:rPr>
                <w:rFonts w:hint="default" w:ascii="Times New Roman" w:hAnsi="Times New Roman" w:eastAsia="宋体" w:cs="Times New Roman"/>
                <w:b w:val="0"/>
                <w:bCs w:val="0"/>
                <w:color w:val="auto"/>
                <w:kern w:val="0"/>
                <w:sz w:val="24"/>
                <w:szCs w:val="24"/>
                <w:highlight w:val="none"/>
                <w:lang w:val="en-US" w:eastAsia="zh-CN"/>
              </w:rPr>
              <w:t>，项目位于</w:t>
            </w:r>
            <w:r>
              <w:rPr>
                <w:rFonts w:hint="eastAsia" w:cs="Times New Roman"/>
                <w:b w:val="0"/>
                <w:bCs w:val="0"/>
                <w:color w:val="auto"/>
                <w:kern w:val="0"/>
                <w:sz w:val="24"/>
                <w:szCs w:val="24"/>
                <w:highlight w:val="none"/>
                <w:lang w:val="en-US" w:eastAsia="zh-CN"/>
              </w:rPr>
              <w:t>重庆市九龙坡区二郎街道火炬大道100号附24号及附23-2号</w:t>
            </w:r>
            <w:r>
              <w:rPr>
                <w:rFonts w:hint="default" w:ascii="Times New Roman" w:hAnsi="Times New Roman" w:eastAsia="宋体" w:cs="Times New Roman"/>
                <w:b w:val="0"/>
                <w:bCs w:val="0"/>
                <w:color w:val="auto"/>
                <w:kern w:val="0"/>
                <w:sz w:val="24"/>
                <w:szCs w:val="24"/>
                <w:highlight w:val="none"/>
                <w:lang w:val="en-US" w:eastAsia="zh-CN"/>
              </w:rPr>
              <w:t>，从事宠物医</w:t>
            </w:r>
            <w:r>
              <w:rPr>
                <w:rFonts w:hint="default" w:ascii="Times New Roman" w:hAnsi="Times New Roman" w:cs="Times New Roman"/>
                <w:b w:val="0"/>
                <w:bCs w:val="0"/>
                <w:color w:val="auto"/>
                <w:kern w:val="0"/>
                <w:sz w:val="24"/>
                <w:szCs w:val="24"/>
                <w:highlight w:val="none"/>
                <w:lang w:val="en-US" w:eastAsia="zh-CN"/>
              </w:rPr>
              <w:t>院诊疗服务，项目所在地不属于生态保护红线和一般生态空间，属于ZH50010720001</w:t>
            </w:r>
            <w:r>
              <w:rPr>
                <w:rFonts w:hint="eastAsia" w:cs="Times New Roman"/>
                <w:b w:val="0"/>
                <w:bCs w:val="0"/>
                <w:color w:val="auto"/>
                <w:kern w:val="0"/>
                <w:sz w:val="24"/>
                <w:szCs w:val="24"/>
                <w:highlight w:val="none"/>
                <w:lang w:val="en-US" w:eastAsia="zh-CN"/>
              </w:rPr>
              <w:t>九龙坡区工业城镇重点管控单元-九龙东城片区</w:t>
            </w:r>
            <w:r>
              <w:rPr>
                <w:rFonts w:hint="default" w:ascii="Times New Roman" w:hAnsi="Times New Roman" w:cs="Times New Roman"/>
                <w:b w:val="0"/>
                <w:bCs w:val="0"/>
                <w:color w:val="auto"/>
                <w:kern w:val="0"/>
                <w:sz w:val="24"/>
                <w:szCs w:val="24"/>
                <w:highlight w:val="none"/>
                <w:lang w:val="en-US" w:eastAsia="zh-CN"/>
              </w:rPr>
              <w:t>，系重点管控单元</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eastAsia="zh-CN"/>
              </w:rPr>
              <w:t>。</w:t>
            </w:r>
          </w:p>
          <w:p w14:paraId="14D6E5B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b w:val="0"/>
                <w:bCs/>
                <w:color w:val="auto"/>
                <w:sz w:val="24"/>
                <w:szCs w:val="21"/>
                <w:highlight w:val="none"/>
              </w:rPr>
            </w:pPr>
            <w:r>
              <w:rPr>
                <w:rFonts w:hint="default" w:ascii="Times New Roman" w:hAnsi="Times New Roman" w:cs="Times New Roman"/>
                <w:b w:val="0"/>
                <w:bCs/>
                <w:color w:val="auto"/>
                <w:sz w:val="21"/>
                <w:szCs w:val="18"/>
                <w:highlight w:val="none"/>
              </w:rPr>
              <w:t>表1.</w:t>
            </w:r>
            <w:r>
              <w:rPr>
                <w:rFonts w:hint="default" w:ascii="Times New Roman" w:hAnsi="Times New Roman" w:cs="Times New Roman"/>
                <w:b w:val="0"/>
                <w:bCs/>
                <w:color w:val="auto"/>
                <w:sz w:val="21"/>
                <w:szCs w:val="18"/>
                <w:highlight w:val="none"/>
                <w:lang w:val="en-US" w:eastAsia="zh-CN"/>
              </w:rPr>
              <w:t>1</w:t>
            </w:r>
            <w:r>
              <w:rPr>
                <w:rFonts w:hint="default" w:ascii="Times New Roman" w:hAnsi="Times New Roman" w:cs="Times New Roman"/>
                <w:b w:val="0"/>
                <w:bCs/>
                <w:color w:val="auto"/>
                <w:sz w:val="21"/>
                <w:szCs w:val="18"/>
                <w:highlight w:val="none"/>
              </w:rPr>
              <w:t>-1  本项目与“三线一单”符合性分析</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2"/>
              <w:gridCol w:w="3522"/>
              <w:gridCol w:w="1534"/>
              <w:gridCol w:w="399"/>
            </w:tblGrid>
            <w:tr w14:paraId="19F5F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5" w:type="dxa"/>
                  <w:gridSpan w:val="2"/>
                  <w:noWrap w:val="0"/>
                  <w:tcMar>
                    <w:top w:w="0" w:type="dxa"/>
                    <w:left w:w="0" w:type="dxa"/>
                    <w:bottom w:w="0" w:type="dxa"/>
                    <w:right w:w="0" w:type="dxa"/>
                  </w:tcMar>
                  <w:vAlign w:val="center"/>
                </w:tcPr>
                <w:p w14:paraId="363457B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环境管控单元编码</w:t>
                  </w:r>
                </w:p>
              </w:tc>
              <w:tc>
                <w:tcPr>
                  <w:tcW w:w="3663" w:type="dxa"/>
                  <w:noWrap w:val="0"/>
                  <w:tcMar>
                    <w:top w:w="0" w:type="dxa"/>
                    <w:left w:w="0" w:type="dxa"/>
                    <w:bottom w:w="0" w:type="dxa"/>
                    <w:right w:w="0" w:type="dxa"/>
                  </w:tcMar>
                  <w:vAlign w:val="center"/>
                </w:tcPr>
                <w:p w14:paraId="02F3975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环境管控单元名称</w:t>
                  </w:r>
                </w:p>
              </w:tc>
              <w:tc>
                <w:tcPr>
                  <w:tcW w:w="2009" w:type="dxa"/>
                  <w:gridSpan w:val="2"/>
                  <w:noWrap w:val="0"/>
                  <w:tcMar>
                    <w:top w:w="0" w:type="dxa"/>
                    <w:left w:w="0" w:type="dxa"/>
                    <w:bottom w:w="0" w:type="dxa"/>
                    <w:right w:w="0" w:type="dxa"/>
                  </w:tcMar>
                  <w:vAlign w:val="center"/>
                </w:tcPr>
                <w:p w14:paraId="5072E39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环境管控单元类型</w:t>
                  </w:r>
                </w:p>
              </w:tc>
            </w:tr>
            <w:tr w14:paraId="719D0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5" w:type="dxa"/>
                  <w:gridSpan w:val="2"/>
                  <w:noWrap w:val="0"/>
                  <w:tcMar>
                    <w:top w:w="0" w:type="dxa"/>
                    <w:left w:w="0" w:type="dxa"/>
                    <w:bottom w:w="0" w:type="dxa"/>
                    <w:right w:w="0" w:type="dxa"/>
                  </w:tcMar>
                  <w:vAlign w:val="center"/>
                </w:tcPr>
                <w:p w14:paraId="5E64E02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default" w:ascii="Times New Roman" w:hAnsi="Times New Roman" w:eastAsia="宋体" w:cs="Times New Roman"/>
                      <w:color w:val="auto"/>
                      <w:spacing w:val="0"/>
                      <w:sz w:val="21"/>
                      <w:highlight w:val="none"/>
                      <w:lang w:eastAsia="zh-CN"/>
                    </w:rPr>
                    <w:t>ZH50010</w:t>
                  </w:r>
                  <w:r>
                    <w:rPr>
                      <w:rFonts w:hint="eastAsia" w:ascii="Times New Roman" w:hAnsi="Times New Roman" w:eastAsia="宋体" w:cs="Times New Roman"/>
                      <w:color w:val="auto"/>
                      <w:spacing w:val="0"/>
                      <w:sz w:val="21"/>
                      <w:highlight w:val="none"/>
                      <w:lang w:val="en-US" w:eastAsia="zh-CN"/>
                    </w:rPr>
                    <w:t>7</w:t>
                  </w:r>
                  <w:r>
                    <w:rPr>
                      <w:rFonts w:hint="default" w:ascii="Times New Roman" w:hAnsi="Times New Roman" w:eastAsia="宋体" w:cs="Times New Roman"/>
                      <w:color w:val="auto"/>
                      <w:spacing w:val="0"/>
                      <w:sz w:val="21"/>
                      <w:highlight w:val="none"/>
                      <w:lang w:eastAsia="zh-CN"/>
                    </w:rPr>
                    <w:t>20001</w:t>
                  </w:r>
                </w:p>
              </w:tc>
              <w:tc>
                <w:tcPr>
                  <w:tcW w:w="3663" w:type="dxa"/>
                  <w:noWrap w:val="0"/>
                  <w:tcMar>
                    <w:top w:w="0" w:type="dxa"/>
                    <w:left w:w="0" w:type="dxa"/>
                    <w:bottom w:w="0" w:type="dxa"/>
                    <w:right w:w="0" w:type="dxa"/>
                  </w:tcMar>
                  <w:vAlign w:val="center"/>
                </w:tcPr>
                <w:p w14:paraId="554CFF4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九龙坡区</w:t>
                  </w:r>
                  <w:r>
                    <w:rPr>
                      <w:rFonts w:hint="default" w:ascii="Times New Roman" w:hAnsi="Times New Roman" w:eastAsia="宋体" w:cs="Times New Roman"/>
                      <w:color w:val="auto"/>
                      <w:spacing w:val="0"/>
                      <w:sz w:val="21"/>
                      <w:highlight w:val="none"/>
                      <w:lang w:eastAsia="zh-CN"/>
                    </w:rPr>
                    <w:t>工业城镇重点管控单元</w:t>
                  </w:r>
                  <w:r>
                    <w:rPr>
                      <w:rFonts w:hint="eastAsia" w:ascii="Times New Roman" w:hAnsi="Times New Roman" w:eastAsia="宋体" w:cs="Times New Roman"/>
                      <w:color w:val="auto"/>
                      <w:spacing w:val="0"/>
                      <w:sz w:val="21"/>
                      <w:highlight w:val="none"/>
                      <w:lang w:val="en-US" w:eastAsia="zh-CN"/>
                    </w:rPr>
                    <w:t>-九龙东城片区</w:t>
                  </w:r>
                </w:p>
              </w:tc>
              <w:tc>
                <w:tcPr>
                  <w:tcW w:w="2009" w:type="dxa"/>
                  <w:gridSpan w:val="2"/>
                  <w:noWrap w:val="0"/>
                  <w:tcMar>
                    <w:top w:w="0" w:type="dxa"/>
                    <w:left w:w="0" w:type="dxa"/>
                    <w:bottom w:w="0" w:type="dxa"/>
                    <w:right w:w="0" w:type="dxa"/>
                  </w:tcMar>
                  <w:vAlign w:val="center"/>
                </w:tcPr>
                <w:p w14:paraId="2334E2C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重点管控单元</w:t>
                  </w:r>
                </w:p>
              </w:tc>
            </w:tr>
            <w:tr w14:paraId="5034F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noWrap w:val="0"/>
                  <w:tcMar>
                    <w:top w:w="0" w:type="dxa"/>
                    <w:left w:w="0" w:type="dxa"/>
                    <w:bottom w:w="0" w:type="dxa"/>
                    <w:right w:w="0" w:type="dxa"/>
                  </w:tcMar>
                  <w:vAlign w:val="center"/>
                </w:tcPr>
                <w:p w14:paraId="0A930E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管控要求层级</w:t>
                  </w:r>
                </w:p>
              </w:tc>
              <w:tc>
                <w:tcPr>
                  <w:tcW w:w="594" w:type="dxa"/>
                  <w:noWrap w:val="0"/>
                  <w:tcMar>
                    <w:top w:w="0" w:type="dxa"/>
                    <w:left w:w="0" w:type="dxa"/>
                    <w:bottom w:w="0" w:type="dxa"/>
                    <w:right w:w="0" w:type="dxa"/>
                  </w:tcMar>
                  <w:vAlign w:val="center"/>
                </w:tcPr>
                <w:p w14:paraId="49F5E42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管控类型</w:t>
                  </w:r>
                </w:p>
              </w:tc>
              <w:tc>
                <w:tcPr>
                  <w:tcW w:w="3663" w:type="dxa"/>
                  <w:noWrap w:val="0"/>
                  <w:tcMar>
                    <w:top w:w="0" w:type="dxa"/>
                    <w:left w:w="0" w:type="dxa"/>
                    <w:bottom w:w="0" w:type="dxa"/>
                    <w:right w:w="0" w:type="dxa"/>
                  </w:tcMar>
                  <w:vAlign w:val="center"/>
                </w:tcPr>
                <w:p w14:paraId="6E2228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管控要求</w:t>
                  </w:r>
                </w:p>
              </w:tc>
              <w:tc>
                <w:tcPr>
                  <w:tcW w:w="1595" w:type="dxa"/>
                  <w:noWrap w:val="0"/>
                  <w:tcMar>
                    <w:top w:w="0" w:type="dxa"/>
                    <w:left w:w="0" w:type="dxa"/>
                    <w:bottom w:w="0" w:type="dxa"/>
                    <w:right w:w="0" w:type="dxa"/>
                  </w:tcMar>
                  <w:vAlign w:val="center"/>
                </w:tcPr>
                <w:p w14:paraId="3D07F2A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本项目相关情况</w:t>
                  </w:r>
                </w:p>
              </w:tc>
              <w:tc>
                <w:tcPr>
                  <w:tcW w:w="414" w:type="dxa"/>
                  <w:noWrap w:val="0"/>
                  <w:tcMar>
                    <w:top w:w="0" w:type="dxa"/>
                    <w:left w:w="0" w:type="dxa"/>
                    <w:bottom w:w="0" w:type="dxa"/>
                    <w:right w:w="0" w:type="dxa"/>
                  </w:tcMar>
                  <w:vAlign w:val="center"/>
                </w:tcPr>
                <w:p w14:paraId="4390942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符合性</w:t>
                  </w:r>
                </w:p>
              </w:tc>
            </w:tr>
            <w:tr w14:paraId="7EA11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0047059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全市总体管控要求</w:t>
                  </w:r>
                </w:p>
              </w:tc>
              <w:tc>
                <w:tcPr>
                  <w:tcW w:w="594" w:type="dxa"/>
                  <w:vMerge w:val="restart"/>
                  <w:noWrap w:val="0"/>
                  <w:tcMar>
                    <w:top w:w="0" w:type="dxa"/>
                    <w:left w:w="0" w:type="dxa"/>
                    <w:bottom w:w="0" w:type="dxa"/>
                    <w:right w:w="0" w:type="dxa"/>
                  </w:tcMar>
                  <w:vAlign w:val="center"/>
                </w:tcPr>
                <w:p w14:paraId="694505A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空间布局约束</w:t>
                  </w:r>
                </w:p>
              </w:tc>
              <w:tc>
                <w:tcPr>
                  <w:tcW w:w="3663" w:type="dxa"/>
                  <w:noWrap w:val="0"/>
                  <w:tcMar>
                    <w:top w:w="0" w:type="dxa"/>
                    <w:left w:w="0" w:type="dxa"/>
                    <w:bottom w:w="0" w:type="dxa"/>
                    <w:right w:w="0" w:type="dxa"/>
                  </w:tcMar>
                  <w:vAlign w:val="center"/>
                </w:tcPr>
                <w:p w14:paraId="0EEF7EB7">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第一条 深入贯彻习近平生态文明思想，筑牢长江上游重要生态屏障，推动优势区域重点发展、生态功能区重点保护、城乡融合发展，优化重点区域、流域、产业的空间布局。</w:t>
                  </w:r>
                </w:p>
              </w:tc>
              <w:tc>
                <w:tcPr>
                  <w:tcW w:w="1595" w:type="dxa"/>
                  <w:noWrap w:val="0"/>
                  <w:tcMar>
                    <w:top w:w="0" w:type="dxa"/>
                    <w:left w:w="0" w:type="dxa"/>
                    <w:bottom w:w="0" w:type="dxa"/>
                    <w:right w:w="0" w:type="dxa"/>
                  </w:tcMar>
                  <w:vAlign w:val="center"/>
                </w:tcPr>
                <w:p w14:paraId="0DCF0FD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项目严格按照“三线一单”管控要求，认真落实废气、废水、噪声及固体废物污染防治措施，确保各污染物稳定达标排放，减小对环境的不利影响。</w:t>
                  </w:r>
                </w:p>
              </w:tc>
              <w:tc>
                <w:tcPr>
                  <w:tcW w:w="414" w:type="dxa"/>
                  <w:noWrap w:val="0"/>
                  <w:tcMar>
                    <w:top w:w="0" w:type="dxa"/>
                    <w:left w:w="0" w:type="dxa"/>
                    <w:bottom w:w="0" w:type="dxa"/>
                    <w:right w:w="0" w:type="dxa"/>
                  </w:tcMar>
                  <w:vAlign w:val="center"/>
                </w:tcPr>
                <w:p w14:paraId="5BE6A9F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C682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3521A1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E3CFF3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2DC989F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595" w:type="dxa"/>
                  <w:noWrap w:val="0"/>
                  <w:tcMar>
                    <w:top w:w="0" w:type="dxa"/>
                    <w:left w:w="0" w:type="dxa"/>
                    <w:bottom w:w="0" w:type="dxa"/>
                    <w:right w:w="0" w:type="dxa"/>
                  </w:tcMar>
                  <w:vAlign w:val="center"/>
                </w:tcPr>
                <w:p w14:paraId="48E08D1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rPr>
                    <w:t>，位于</w:t>
                  </w:r>
                  <w:r>
                    <w:rPr>
                      <w:rFonts w:hint="eastAsia" w:ascii="Times New Roman" w:hAnsi="Times New Roman" w:eastAsia="宋体" w:cs="Times New Roman"/>
                      <w:color w:val="auto"/>
                      <w:spacing w:val="0"/>
                      <w:sz w:val="21"/>
                      <w:highlight w:val="none"/>
                      <w:lang w:val="en-US" w:eastAsia="zh-CN"/>
                    </w:rPr>
                    <w:t>重庆市九龙坡区二郎街道火炬大道100号附24号及附23-2号</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3CDA797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D6CF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906BFD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4BCF37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69A8F0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595" w:type="dxa"/>
                  <w:noWrap w:val="0"/>
                  <w:tcMar>
                    <w:top w:w="0" w:type="dxa"/>
                    <w:left w:w="0" w:type="dxa"/>
                    <w:bottom w:w="0" w:type="dxa"/>
                    <w:right w:w="0" w:type="dxa"/>
                  </w:tcMar>
                  <w:vAlign w:val="center"/>
                </w:tcPr>
                <w:p w14:paraId="7DD753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lang w:val="en-US" w:eastAsia="zh-CN"/>
                    </w:rPr>
                    <w:t>，</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0E6F97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CF3B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DF17D1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D03CA8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2E55D592">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595" w:type="dxa"/>
                  <w:noWrap w:val="0"/>
                  <w:tcMar>
                    <w:top w:w="0" w:type="dxa"/>
                    <w:left w:w="0" w:type="dxa"/>
                    <w:bottom w:w="0" w:type="dxa"/>
                    <w:right w:w="0" w:type="dxa"/>
                  </w:tcMar>
                  <w:vAlign w:val="center"/>
                </w:tcPr>
                <w:p w14:paraId="06014B7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lang w:val="en-US" w:eastAsia="zh-CN"/>
                    </w:rPr>
                    <w:t>，</w:t>
                  </w:r>
                  <w:r>
                    <w:rPr>
                      <w:rFonts w:hint="default" w:ascii="Times New Roman" w:hAnsi="Times New Roman" w:eastAsia="宋体" w:cs="Times New Roman"/>
                      <w:color w:val="auto"/>
                      <w:spacing w:val="0"/>
                      <w:sz w:val="21"/>
                      <w:highlight w:val="none"/>
                    </w:rPr>
                    <w:t>不属于高耗能、高排放、低水平项目</w:t>
                  </w:r>
                  <w:r>
                    <w:rPr>
                      <w:rFonts w:hint="default"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447018C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0392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3A336A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07D28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844FF81">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第五条 新建、扩建有色金属冶炼、电镀、铅蓄电池等企业应布设在依法合规设立并经过规划环评的产业园区。</w:t>
                  </w:r>
                </w:p>
              </w:tc>
              <w:tc>
                <w:tcPr>
                  <w:tcW w:w="1595" w:type="dxa"/>
                  <w:noWrap w:val="0"/>
                  <w:tcMar>
                    <w:top w:w="0" w:type="dxa"/>
                    <w:left w:w="0" w:type="dxa"/>
                    <w:bottom w:w="0" w:type="dxa"/>
                    <w:right w:w="0" w:type="dxa"/>
                  </w:tcMar>
                  <w:vAlign w:val="center"/>
                </w:tcPr>
                <w:p w14:paraId="5D3AE99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7C525DF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3D9E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947945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B9F8E3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13E43ED3">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第六条 涉及环境防护距离的工业企业或项目应通过选址或调整布局原则上将环境防护距离控制在园区边界或用地红线内，提前合理规划项目地块布置、预防环境风险。</w:t>
                  </w:r>
                </w:p>
              </w:tc>
              <w:tc>
                <w:tcPr>
                  <w:tcW w:w="1595" w:type="dxa"/>
                  <w:noWrap w:val="0"/>
                  <w:tcMar>
                    <w:top w:w="0" w:type="dxa"/>
                    <w:left w:w="0" w:type="dxa"/>
                    <w:bottom w:w="0" w:type="dxa"/>
                    <w:right w:w="0" w:type="dxa"/>
                  </w:tcMar>
                  <w:vAlign w:val="center"/>
                </w:tcPr>
                <w:p w14:paraId="54DB78A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本项目不属于工业企业，</w:t>
                  </w:r>
                  <w:r>
                    <w:rPr>
                      <w:rFonts w:hint="default" w:ascii="Times New Roman" w:hAnsi="Times New Roman" w:eastAsia="宋体" w:cs="Times New Roman"/>
                      <w:color w:val="auto"/>
                      <w:spacing w:val="0"/>
                      <w:sz w:val="21"/>
                      <w:highlight w:val="none"/>
                    </w:rPr>
                    <w:t>不涉及环境防护距离。</w:t>
                  </w:r>
                </w:p>
              </w:tc>
              <w:tc>
                <w:tcPr>
                  <w:tcW w:w="414" w:type="dxa"/>
                  <w:noWrap w:val="0"/>
                  <w:tcMar>
                    <w:top w:w="0" w:type="dxa"/>
                    <w:left w:w="0" w:type="dxa"/>
                    <w:bottom w:w="0" w:type="dxa"/>
                    <w:right w:w="0" w:type="dxa"/>
                  </w:tcMar>
                  <w:vAlign w:val="center"/>
                </w:tcPr>
                <w:p w14:paraId="6417D8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AA98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DC6202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C7E593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0D60523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第七条 有效规范空间开发秩序，合理控制空间开发强度，切实将各类开发活动限制在资源环境承载能力之内，为构建高效协调可持续的国土空间开发格局奠定坚实基础。</w:t>
                  </w:r>
                </w:p>
              </w:tc>
              <w:tc>
                <w:tcPr>
                  <w:tcW w:w="1595" w:type="dxa"/>
                  <w:noWrap w:val="0"/>
                  <w:tcMar>
                    <w:top w:w="0" w:type="dxa"/>
                    <w:left w:w="0" w:type="dxa"/>
                    <w:bottom w:w="0" w:type="dxa"/>
                    <w:right w:w="0" w:type="dxa"/>
                  </w:tcMar>
                  <w:vAlign w:val="center"/>
                </w:tcPr>
                <w:p w14:paraId="64F50E4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lang w:val="en-US" w:eastAsia="zh-CN"/>
                    </w:rPr>
                    <w:t>本项目的建设符合空间布局要求</w:t>
                  </w:r>
                  <w:r>
                    <w:rPr>
                      <w:rFonts w:hint="default"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1E33F08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3F1B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8626B5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05B63C5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污染物排放管控</w:t>
                  </w:r>
                </w:p>
              </w:tc>
              <w:tc>
                <w:tcPr>
                  <w:tcW w:w="3663" w:type="dxa"/>
                  <w:noWrap w:val="0"/>
                  <w:tcMar>
                    <w:top w:w="0" w:type="dxa"/>
                    <w:left w:w="0" w:type="dxa"/>
                    <w:bottom w:w="0" w:type="dxa"/>
                    <w:right w:w="0" w:type="dxa"/>
                  </w:tcMar>
                  <w:vAlign w:val="center"/>
                </w:tcPr>
                <w:p w14:paraId="4377AF8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595" w:type="dxa"/>
                  <w:noWrap w:val="0"/>
                  <w:tcMar>
                    <w:top w:w="0" w:type="dxa"/>
                    <w:left w:w="0" w:type="dxa"/>
                    <w:bottom w:w="0" w:type="dxa"/>
                    <w:right w:w="0" w:type="dxa"/>
                  </w:tcMar>
                  <w:vAlign w:val="center"/>
                </w:tcPr>
                <w:p w14:paraId="336C9BD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本项目为动物医院扩建项目</w:t>
                  </w:r>
                  <w:r>
                    <w:rPr>
                      <w:rFonts w:hint="default" w:ascii="Times New Roman" w:hAnsi="Times New Roman" w:eastAsia="宋体" w:cs="Times New Roman"/>
                      <w:color w:val="auto"/>
                      <w:spacing w:val="0"/>
                      <w:sz w:val="21"/>
                      <w:highlight w:val="none"/>
                    </w:rPr>
                    <w:t>，不属于</w:t>
                  </w:r>
                  <w:r>
                    <w:rPr>
                      <w:rFonts w:hint="eastAsia" w:ascii="Times New Roman" w:hAnsi="Times New Roman" w:eastAsia="宋体" w:cs="Times New Roman"/>
                      <w:color w:val="auto"/>
                      <w:spacing w:val="0"/>
                      <w:sz w:val="21"/>
                      <w:highlight w:val="none"/>
                      <w:lang w:val="en-US" w:eastAsia="zh-CN"/>
                    </w:rPr>
                    <w:t>前述行业</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6D6FCFA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27B58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B69E05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66BC16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F6F6BF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595" w:type="dxa"/>
                  <w:noWrap w:val="0"/>
                  <w:tcMar>
                    <w:top w:w="0" w:type="dxa"/>
                    <w:left w:w="0" w:type="dxa"/>
                    <w:bottom w:w="0" w:type="dxa"/>
                    <w:right w:w="0" w:type="dxa"/>
                  </w:tcMar>
                  <w:vAlign w:val="center"/>
                </w:tcPr>
                <w:p w14:paraId="2D29DC4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w:t>
                  </w:r>
                  <w:r>
                    <w:rPr>
                      <w:rFonts w:hint="eastAsia" w:eastAsia="宋体" w:cs="Times New Roman"/>
                      <w:color w:val="auto"/>
                      <w:spacing w:val="0"/>
                      <w:sz w:val="21"/>
                      <w:highlight w:val="none"/>
                      <w:lang w:val="en-US" w:eastAsia="zh-CN"/>
                    </w:rPr>
                    <w:t>属于</w:t>
                  </w:r>
                  <w:r>
                    <w:rPr>
                      <w:rFonts w:hint="eastAsia" w:ascii="Times New Roman" w:hAnsi="Times New Roman" w:eastAsia="宋体"/>
                      <w:color w:val="auto"/>
                      <w:spacing w:val="0"/>
                      <w:sz w:val="21"/>
                    </w:rPr>
                    <w:t>大气环境质量</w:t>
                  </w:r>
                  <w:r>
                    <w:rPr>
                      <w:rFonts w:hint="eastAsia" w:eastAsia="宋体"/>
                      <w:color w:val="auto"/>
                      <w:spacing w:val="0"/>
                      <w:sz w:val="21"/>
                      <w:lang w:val="en-US" w:eastAsia="zh-CN"/>
                    </w:rPr>
                    <w:t>达标区。</w:t>
                  </w:r>
                </w:p>
              </w:tc>
              <w:tc>
                <w:tcPr>
                  <w:tcW w:w="414" w:type="dxa"/>
                  <w:noWrap w:val="0"/>
                  <w:tcMar>
                    <w:top w:w="0" w:type="dxa"/>
                    <w:left w:w="0" w:type="dxa"/>
                    <w:bottom w:w="0" w:type="dxa"/>
                    <w:right w:w="0" w:type="dxa"/>
                  </w:tcMar>
                  <w:vAlign w:val="center"/>
                </w:tcPr>
                <w:p w14:paraId="19F8D0D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0D1E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6DBA4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C8DD06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5FE3254">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595" w:type="dxa"/>
                  <w:noWrap w:val="0"/>
                  <w:tcMar>
                    <w:top w:w="0" w:type="dxa"/>
                    <w:left w:w="0" w:type="dxa"/>
                    <w:bottom w:w="0" w:type="dxa"/>
                    <w:right w:w="0" w:type="dxa"/>
                  </w:tcMar>
                  <w:vAlign w:val="center"/>
                </w:tcPr>
                <w:p w14:paraId="36950D6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lang w:val="en-US" w:eastAsia="zh-CN"/>
                    </w:rPr>
                    <w:t>本项目为动物医院扩建项目</w:t>
                  </w:r>
                  <w:r>
                    <w:rPr>
                      <w:rFonts w:hint="default" w:ascii="Times New Roman" w:hAnsi="Times New Roman" w:eastAsia="宋体" w:cs="Times New Roman"/>
                      <w:color w:val="auto"/>
                      <w:spacing w:val="0"/>
                      <w:sz w:val="21"/>
                      <w:highlight w:val="none"/>
                    </w:rPr>
                    <w:t>，不属于重点行业（石化、化工、工业涂装、包装印刷、油品储运销等）</w:t>
                  </w:r>
                  <w:r>
                    <w:rPr>
                      <w:rFonts w:hint="default" w:ascii="Times New Roman" w:hAnsi="Times New Roman" w:eastAsia="宋体" w:cs="Times New Roman"/>
                      <w:color w:val="auto"/>
                      <w:spacing w:val="0"/>
                      <w:sz w:val="21"/>
                      <w:highlight w:val="none"/>
                      <w:lang w:eastAsia="zh-CN"/>
                    </w:rPr>
                    <w:t>，</w:t>
                  </w:r>
                  <w:r>
                    <w:rPr>
                      <w:rFonts w:hint="default" w:ascii="Times New Roman" w:hAnsi="Times New Roman" w:eastAsia="宋体" w:cs="Times New Roman"/>
                      <w:color w:val="auto"/>
                      <w:spacing w:val="0"/>
                      <w:sz w:val="21"/>
                      <w:highlight w:val="none"/>
                      <w:lang w:val="en-US" w:eastAsia="zh-CN"/>
                    </w:rPr>
                    <w:t>不涉及喷涂工序</w:t>
                  </w:r>
                  <w:r>
                    <w:rPr>
                      <w:rFonts w:hint="default"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0790590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3225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91A58D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AFAF5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1F42FC63">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595" w:type="dxa"/>
                  <w:noWrap w:val="0"/>
                  <w:tcMar>
                    <w:top w:w="0" w:type="dxa"/>
                    <w:left w:w="0" w:type="dxa"/>
                    <w:bottom w:w="0" w:type="dxa"/>
                    <w:right w:w="0" w:type="dxa"/>
                  </w:tcMar>
                  <w:vAlign w:val="center"/>
                </w:tcPr>
                <w:p w14:paraId="33D01C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本项目位于</w:t>
                  </w:r>
                  <w:r>
                    <w:rPr>
                      <w:rFonts w:hint="eastAsia" w:cs="Times New Roman"/>
                      <w:color w:val="auto"/>
                      <w:spacing w:val="0"/>
                      <w:sz w:val="21"/>
                      <w:lang w:val="en-US" w:eastAsia="zh-CN"/>
                    </w:rPr>
                    <w:t>重庆市</w:t>
                  </w:r>
                  <w:r>
                    <w:rPr>
                      <w:rFonts w:hint="eastAsia" w:ascii="Times New Roman" w:hAnsi="Times New Roman" w:eastAsia="宋体" w:cs="Times New Roman"/>
                      <w:color w:val="auto"/>
                      <w:spacing w:val="0"/>
                      <w:sz w:val="21"/>
                      <w:highlight w:val="none"/>
                      <w:lang w:val="en-US" w:eastAsia="zh-CN"/>
                    </w:rPr>
                    <w:t>九龙坡区二郎街道火炬大道100号附24号及附23-2号</w:t>
                  </w:r>
                  <w:r>
                    <w:rPr>
                      <w:rFonts w:hint="eastAsia" w:ascii="Times New Roman" w:hAnsi="Times New Roman" w:eastAsia="宋体" w:cs="Times New Roman"/>
                      <w:color w:val="auto"/>
                      <w:spacing w:val="0"/>
                      <w:sz w:val="21"/>
                      <w:lang w:val="en-US" w:eastAsia="zh-CN"/>
                    </w:rPr>
                    <w:t>，不属于工业集聚区</w:t>
                  </w:r>
                  <w:r>
                    <w:rPr>
                      <w:rFonts w:hint="default" w:ascii="Times New Roman" w:hAnsi="Times New Roman" w:eastAsia="宋体" w:cs="Times New Roman"/>
                      <w:color w:val="auto"/>
                      <w:spacing w:val="0"/>
                      <w:sz w:val="21"/>
                      <w:highlight w:val="none"/>
                    </w:rPr>
                    <w:t>。</w:t>
                  </w:r>
                </w:p>
              </w:tc>
              <w:tc>
                <w:tcPr>
                  <w:tcW w:w="414" w:type="dxa"/>
                  <w:noWrap w:val="0"/>
                  <w:tcMar>
                    <w:top w:w="0" w:type="dxa"/>
                    <w:left w:w="0" w:type="dxa"/>
                    <w:bottom w:w="0" w:type="dxa"/>
                    <w:right w:w="0" w:type="dxa"/>
                  </w:tcMar>
                  <w:vAlign w:val="center"/>
                </w:tcPr>
                <w:p w14:paraId="2BF5A99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D90E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B78919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8CC543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48C92B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595" w:type="dxa"/>
                  <w:noWrap w:val="0"/>
                  <w:tcMar>
                    <w:top w:w="0" w:type="dxa"/>
                    <w:left w:w="0" w:type="dxa"/>
                    <w:bottom w:w="0" w:type="dxa"/>
                    <w:right w:w="0" w:type="dxa"/>
                  </w:tcMar>
                  <w:vAlign w:val="center"/>
                </w:tcPr>
                <w:p w14:paraId="7CF4E1A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项目不涉及。</w:t>
                  </w:r>
                </w:p>
              </w:tc>
              <w:tc>
                <w:tcPr>
                  <w:tcW w:w="414" w:type="dxa"/>
                  <w:noWrap w:val="0"/>
                  <w:tcMar>
                    <w:top w:w="0" w:type="dxa"/>
                    <w:left w:w="0" w:type="dxa"/>
                    <w:bottom w:w="0" w:type="dxa"/>
                    <w:right w:w="0" w:type="dxa"/>
                  </w:tcMar>
                  <w:vAlign w:val="center"/>
                </w:tcPr>
                <w:p w14:paraId="36EF305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1671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BAB240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754EA6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635C241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595" w:type="dxa"/>
                  <w:noWrap w:val="0"/>
                  <w:tcMar>
                    <w:top w:w="0" w:type="dxa"/>
                    <w:left w:w="0" w:type="dxa"/>
                    <w:bottom w:w="0" w:type="dxa"/>
                    <w:right w:w="0" w:type="dxa"/>
                  </w:tcMar>
                  <w:vAlign w:val="center"/>
                </w:tcPr>
                <w:p w14:paraId="7C0056A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rPr>
                    <w:t>项目不属于重点行业，且不涉及重点重金属污染物排放。</w:t>
                  </w:r>
                </w:p>
              </w:tc>
              <w:tc>
                <w:tcPr>
                  <w:tcW w:w="414" w:type="dxa"/>
                  <w:noWrap w:val="0"/>
                  <w:tcMar>
                    <w:top w:w="0" w:type="dxa"/>
                    <w:left w:w="0" w:type="dxa"/>
                    <w:bottom w:w="0" w:type="dxa"/>
                    <w:right w:w="0" w:type="dxa"/>
                  </w:tcMar>
                  <w:vAlign w:val="center"/>
                </w:tcPr>
                <w:p w14:paraId="35E5A6B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225B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7F4C0F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5DFE4FB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C3057B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595" w:type="dxa"/>
                  <w:noWrap w:val="0"/>
                  <w:tcMar>
                    <w:top w:w="0" w:type="dxa"/>
                    <w:left w:w="0" w:type="dxa"/>
                    <w:bottom w:w="0" w:type="dxa"/>
                    <w:right w:w="0" w:type="dxa"/>
                  </w:tcMar>
                  <w:vAlign w:val="center"/>
                </w:tcPr>
                <w:p w14:paraId="07EF4FD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lang w:val="en-US" w:eastAsia="zh-CN"/>
                    </w:rPr>
                    <w:t>设置医废</w:t>
                  </w:r>
                  <w:r>
                    <w:rPr>
                      <w:rFonts w:hint="eastAsia" w:ascii="Times New Roman" w:hAnsi="Times New Roman" w:eastAsia="宋体" w:cs="Times New Roman"/>
                      <w:color w:val="auto"/>
                      <w:spacing w:val="0"/>
                      <w:sz w:val="21"/>
                      <w:highlight w:val="none"/>
                      <w:lang w:val="en-US" w:eastAsia="zh-CN"/>
                    </w:rPr>
                    <w:t>暂存间</w:t>
                  </w:r>
                  <w:r>
                    <w:rPr>
                      <w:rFonts w:hint="default" w:ascii="Times New Roman" w:hAnsi="Times New Roman" w:eastAsia="宋体" w:cs="Times New Roman"/>
                      <w:color w:val="auto"/>
                      <w:spacing w:val="0"/>
                      <w:sz w:val="21"/>
                      <w:highlight w:val="none"/>
                    </w:rPr>
                    <w:t>并</w:t>
                  </w:r>
                  <w:r>
                    <w:rPr>
                      <w:rFonts w:hint="default" w:ascii="Times New Roman" w:hAnsi="Times New Roman" w:eastAsia="宋体" w:cs="Times New Roman"/>
                      <w:color w:val="auto"/>
                      <w:spacing w:val="0"/>
                      <w:sz w:val="21"/>
                      <w:highlight w:val="none"/>
                      <w:lang w:val="en-US" w:eastAsia="zh-CN"/>
                    </w:rPr>
                    <w:t>建立</w:t>
                  </w:r>
                  <w:r>
                    <w:rPr>
                      <w:rFonts w:hint="default" w:ascii="Times New Roman" w:hAnsi="Times New Roman" w:eastAsia="宋体" w:cs="Times New Roman"/>
                      <w:color w:val="auto"/>
                      <w:spacing w:val="0"/>
                      <w:sz w:val="21"/>
                      <w:highlight w:val="none"/>
                    </w:rPr>
                    <w:t>废物污染环境防治责任制度及管理台账</w:t>
                  </w:r>
                  <w:r>
                    <w:rPr>
                      <w:rFonts w:hint="eastAsia" w:ascii="Times New Roman" w:hAnsi="Times New Roman" w:eastAsia="宋体" w:cs="Times New Roman"/>
                      <w:color w:val="auto"/>
                      <w:spacing w:val="0"/>
                      <w:sz w:val="21"/>
                      <w:highlight w:val="none"/>
                      <w:lang w:eastAsia="zh-CN"/>
                    </w:rPr>
                    <w:t>。</w:t>
                  </w:r>
                </w:p>
              </w:tc>
              <w:tc>
                <w:tcPr>
                  <w:tcW w:w="414" w:type="dxa"/>
                  <w:noWrap w:val="0"/>
                  <w:tcMar>
                    <w:top w:w="0" w:type="dxa"/>
                    <w:left w:w="0" w:type="dxa"/>
                    <w:bottom w:w="0" w:type="dxa"/>
                    <w:right w:w="0" w:type="dxa"/>
                  </w:tcMar>
                  <w:vAlign w:val="center"/>
                </w:tcPr>
                <w:p w14:paraId="0DA3A9B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8760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372ADB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3BF6720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5667214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595" w:type="dxa"/>
                  <w:noWrap w:val="0"/>
                  <w:tcMar>
                    <w:top w:w="0" w:type="dxa"/>
                    <w:left w:w="0" w:type="dxa"/>
                    <w:bottom w:w="0" w:type="dxa"/>
                    <w:right w:w="0" w:type="dxa"/>
                  </w:tcMar>
                  <w:vAlign w:val="center"/>
                </w:tcPr>
                <w:p w14:paraId="230DEE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lang w:val="en-US" w:eastAsia="zh-CN"/>
                    </w:rPr>
                    <w:t>本项目院内设置垃圾桶，生活垃圾袋装收集后定期交由当地环卫部门处置。</w:t>
                  </w:r>
                </w:p>
              </w:tc>
              <w:tc>
                <w:tcPr>
                  <w:tcW w:w="414" w:type="dxa"/>
                  <w:noWrap w:val="0"/>
                  <w:tcMar>
                    <w:top w:w="0" w:type="dxa"/>
                    <w:left w:w="0" w:type="dxa"/>
                    <w:bottom w:w="0" w:type="dxa"/>
                    <w:right w:w="0" w:type="dxa"/>
                  </w:tcMar>
                  <w:vAlign w:val="center"/>
                </w:tcPr>
                <w:p w14:paraId="2445CA6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F17D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A9B79C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43DCA27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环境风险防控</w:t>
                  </w:r>
                </w:p>
              </w:tc>
              <w:tc>
                <w:tcPr>
                  <w:tcW w:w="3663" w:type="dxa"/>
                  <w:noWrap w:val="0"/>
                  <w:tcMar>
                    <w:top w:w="0" w:type="dxa"/>
                    <w:left w:w="0" w:type="dxa"/>
                    <w:bottom w:w="0" w:type="dxa"/>
                    <w:right w:w="0" w:type="dxa"/>
                  </w:tcMar>
                  <w:vAlign w:val="center"/>
                </w:tcPr>
                <w:p w14:paraId="3D160CE1">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595" w:type="dxa"/>
                  <w:noWrap w:val="0"/>
                  <w:tcMar>
                    <w:top w:w="0" w:type="dxa"/>
                    <w:left w:w="0" w:type="dxa"/>
                    <w:bottom w:w="0" w:type="dxa"/>
                    <w:right w:w="0" w:type="dxa"/>
                  </w:tcMar>
                  <w:vAlign w:val="center"/>
                </w:tcPr>
                <w:p w14:paraId="576F037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w:t>
                  </w:r>
                  <w:r>
                    <w:rPr>
                      <w:rFonts w:hint="default" w:ascii="Times New Roman" w:hAnsi="Times New Roman" w:eastAsia="宋体" w:cs="Times New Roman"/>
                      <w:color w:val="auto"/>
                      <w:spacing w:val="0"/>
                      <w:sz w:val="21"/>
                      <w:highlight w:val="none"/>
                      <w:lang w:val="en-US" w:eastAsia="zh-CN"/>
                    </w:rPr>
                    <w:t>项目不涉及。</w:t>
                  </w:r>
                </w:p>
              </w:tc>
              <w:tc>
                <w:tcPr>
                  <w:tcW w:w="414" w:type="dxa"/>
                  <w:noWrap w:val="0"/>
                  <w:tcMar>
                    <w:top w:w="0" w:type="dxa"/>
                    <w:left w:w="0" w:type="dxa"/>
                    <w:bottom w:w="0" w:type="dxa"/>
                    <w:right w:w="0" w:type="dxa"/>
                  </w:tcMar>
                  <w:vAlign w:val="center"/>
                </w:tcPr>
                <w:p w14:paraId="6BE6D66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D00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B8F36A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58ECE7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CAEF9A9">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第十七条 强化化工园区涉水突发环境事件四级环境风险防范体系建设。持续推进重点化工园区（化工集中区）建设有毒有害气体监测预警体系和水质生物毒性预警体系。</w:t>
                  </w:r>
                </w:p>
              </w:tc>
              <w:tc>
                <w:tcPr>
                  <w:tcW w:w="1595" w:type="dxa"/>
                  <w:noWrap w:val="0"/>
                  <w:tcMar>
                    <w:top w:w="0" w:type="dxa"/>
                    <w:left w:w="0" w:type="dxa"/>
                    <w:bottom w:w="0" w:type="dxa"/>
                    <w:right w:w="0" w:type="dxa"/>
                  </w:tcMar>
                  <w:vAlign w:val="center"/>
                </w:tcPr>
                <w:p w14:paraId="4813915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val="0"/>
                      <w:color w:val="auto"/>
                      <w:spacing w:val="0"/>
                      <w:kern w:val="2"/>
                      <w:sz w:val="21"/>
                      <w:szCs w:val="21"/>
                      <w:highlight w:val="none"/>
                      <w:lang w:val="en-US" w:eastAsia="zh-CN" w:bidi="ar-SA"/>
                    </w:rPr>
                    <w:t>本项目不涉及。</w:t>
                  </w:r>
                </w:p>
              </w:tc>
              <w:tc>
                <w:tcPr>
                  <w:tcW w:w="414" w:type="dxa"/>
                  <w:noWrap w:val="0"/>
                  <w:tcMar>
                    <w:top w:w="0" w:type="dxa"/>
                    <w:left w:w="0" w:type="dxa"/>
                    <w:bottom w:w="0" w:type="dxa"/>
                    <w:right w:w="0" w:type="dxa"/>
                  </w:tcMar>
                  <w:vAlign w:val="center"/>
                </w:tcPr>
                <w:p w14:paraId="4888101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3A7A8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5E6DD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597189B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资源开发利用效率</w:t>
                  </w:r>
                </w:p>
              </w:tc>
              <w:tc>
                <w:tcPr>
                  <w:tcW w:w="3663" w:type="dxa"/>
                  <w:noWrap w:val="0"/>
                  <w:tcMar>
                    <w:top w:w="0" w:type="dxa"/>
                    <w:left w:w="0" w:type="dxa"/>
                    <w:bottom w:w="0" w:type="dxa"/>
                    <w:right w:w="0" w:type="dxa"/>
                  </w:tcMar>
                  <w:vAlign w:val="center"/>
                </w:tcPr>
                <w:p w14:paraId="6FAF4F1D">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595" w:type="dxa"/>
                  <w:noWrap w:val="0"/>
                  <w:tcMar>
                    <w:top w:w="0" w:type="dxa"/>
                    <w:left w:w="0" w:type="dxa"/>
                    <w:bottom w:w="0" w:type="dxa"/>
                    <w:right w:w="0" w:type="dxa"/>
                  </w:tcMar>
                  <w:vAlign w:val="center"/>
                </w:tcPr>
                <w:p w14:paraId="66EC02C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color w:val="auto"/>
                      <w:spacing w:val="0"/>
                      <w:kern w:val="2"/>
                      <w:sz w:val="21"/>
                      <w:szCs w:val="21"/>
                      <w:highlight w:val="none"/>
                      <w:lang w:val="en-US" w:eastAsia="zh-CN" w:bidi="ar-SA"/>
                    </w:rPr>
                    <w:t>本项目不属于碳排放管控行业。</w:t>
                  </w:r>
                </w:p>
              </w:tc>
              <w:tc>
                <w:tcPr>
                  <w:tcW w:w="414" w:type="dxa"/>
                  <w:noWrap w:val="0"/>
                  <w:tcMar>
                    <w:top w:w="0" w:type="dxa"/>
                    <w:left w:w="0" w:type="dxa"/>
                    <w:bottom w:w="0" w:type="dxa"/>
                    <w:right w:w="0" w:type="dxa"/>
                  </w:tcMar>
                  <w:vAlign w:val="center"/>
                </w:tcPr>
                <w:p w14:paraId="131B63F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3C7C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5F8F55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2EE539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6B174EFC">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595" w:type="dxa"/>
                  <w:noWrap w:val="0"/>
                  <w:tcMar>
                    <w:top w:w="0" w:type="dxa"/>
                    <w:left w:w="0" w:type="dxa"/>
                    <w:bottom w:w="0" w:type="dxa"/>
                    <w:right w:w="0" w:type="dxa"/>
                  </w:tcMar>
                  <w:vAlign w:val="center"/>
                </w:tcPr>
                <w:p w14:paraId="762A9F2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lang w:val="en-US" w:eastAsia="zh-CN"/>
                    </w:rPr>
                    <w:t>本项目不涉及高能耗设备，所用设备无国家淘汰落后设备。</w:t>
                  </w:r>
                </w:p>
              </w:tc>
              <w:tc>
                <w:tcPr>
                  <w:tcW w:w="414" w:type="dxa"/>
                  <w:noWrap w:val="0"/>
                  <w:tcMar>
                    <w:top w:w="0" w:type="dxa"/>
                    <w:left w:w="0" w:type="dxa"/>
                    <w:bottom w:w="0" w:type="dxa"/>
                    <w:right w:w="0" w:type="dxa"/>
                  </w:tcMar>
                  <w:vAlign w:val="center"/>
                </w:tcPr>
                <w:p w14:paraId="507706D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D868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90CD0B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BADE25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3DEF2D7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第二十条 新建、扩建“两高”项目应采用先进适用的工艺技术和装备，单位产品物耗、能耗、水耗等达到清洁生产先进水平。</w:t>
                  </w:r>
                </w:p>
              </w:tc>
              <w:tc>
                <w:tcPr>
                  <w:tcW w:w="1595" w:type="dxa"/>
                  <w:noWrap w:val="0"/>
                  <w:tcMar>
                    <w:top w:w="0" w:type="dxa"/>
                    <w:left w:w="0" w:type="dxa"/>
                    <w:bottom w:w="0" w:type="dxa"/>
                    <w:right w:w="0" w:type="dxa"/>
                  </w:tcMar>
                  <w:vAlign w:val="center"/>
                </w:tcPr>
                <w:p w14:paraId="0072BDC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eastAsia="zh-CN"/>
                    </w:rPr>
                  </w:pPr>
                  <w:r>
                    <w:rPr>
                      <w:rFonts w:hint="eastAsia" w:ascii="Times New Roman" w:hAnsi="Times New Roman" w:eastAsia="宋体"/>
                      <w:color w:val="auto"/>
                      <w:spacing w:val="0"/>
                      <w:sz w:val="21"/>
                      <w:lang w:eastAsia="zh-CN"/>
                    </w:rPr>
                    <w:t>本项目</w:t>
                  </w:r>
                  <w:r>
                    <w:rPr>
                      <w:rFonts w:hint="default" w:ascii="Times New Roman" w:hAnsi="Times New Roman" w:eastAsia="宋体" w:cs="Times New Roman"/>
                      <w:color w:val="auto"/>
                      <w:spacing w:val="0"/>
                      <w:sz w:val="21"/>
                      <w:lang w:val="en-US" w:eastAsia="zh-CN"/>
                    </w:rPr>
                    <w:t>不属于“两高”项目。</w:t>
                  </w:r>
                </w:p>
              </w:tc>
              <w:tc>
                <w:tcPr>
                  <w:tcW w:w="414" w:type="dxa"/>
                  <w:noWrap w:val="0"/>
                  <w:tcMar>
                    <w:top w:w="0" w:type="dxa"/>
                    <w:left w:w="0" w:type="dxa"/>
                    <w:bottom w:w="0" w:type="dxa"/>
                    <w:right w:w="0" w:type="dxa"/>
                  </w:tcMar>
                  <w:vAlign w:val="center"/>
                </w:tcPr>
                <w:p w14:paraId="0151B8C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FCE2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49625A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951BA7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7D239916">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eastAsia" w:ascii="Times New Roman" w:hAnsi="Times New Roman" w:eastAsia="宋体"/>
                      <w:color w:val="auto"/>
                      <w:spacing w:val="0"/>
                      <w:sz w:val="21"/>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595" w:type="dxa"/>
                  <w:noWrap w:val="0"/>
                  <w:tcMar>
                    <w:top w:w="0" w:type="dxa"/>
                    <w:left w:w="0" w:type="dxa"/>
                    <w:bottom w:w="0" w:type="dxa"/>
                    <w:right w:w="0" w:type="dxa"/>
                  </w:tcMar>
                  <w:vAlign w:val="center"/>
                </w:tcPr>
                <w:p w14:paraId="4D10CFB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本项目不属于前述行业。</w:t>
                  </w:r>
                </w:p>
              </w:tc>
              <w:tc>
                <w:tcPr>
                  <w:tcW w:w="414" w:type="dxa"/>
                  <w:noWrap w:val="0"/>
                  <w:tcMar>
                    <w:top w:w="0" w:type="dxa"/>
                    <w:left w:w="0" w:type="dxa"/>
                    <w:bottom w:w="0" w:type="dxa"/>
                    <w:right w:w="0" w:type="dxa"/>
                  </w:tcMar>
                  <w:vAlign w:val="center"/>
                </w:tcPr>
                <w:p w14:paraId="3770778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653A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248BDD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2B9BA0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3663" w:type="dxa"/>
                  <w:noWrap w:val="0"/>
                  <w:tcMar>
                    <w:top w:w="0" w:type="dxa"/>
                    <w:left w:w="0" w:type="dxa"/>
                    <w:bottom w:w="0" w:type="dxa"/>
                    <w:right w:w="0" w:type="dxa"/>
                  </w:tcMar>
                  <w:vAlign w:val="center"/>
                </w:tcPr>
                <w:p w14:paraId="4B74C1CF">
                  <w:pPr>
                    <w:keepNext w:val="0"/>
                    <w:keepLines w:val="0"/>
                    <w:pageBreakBefore w:val="0"/>
                    <w:kinsoku/>
                    <w:wordWrap/>
                    <w:overflowPunct/>
                    <w:topLinePunct w:val="0"/>
                    <w:autoSpaceDE/>
                    <w:autoSpaceDN/>
                    <w:bidi w:val="0"/>
                    <w:snapToGrid w:val="0"/>
                    <w:jc w:val="center"/>
                    <w:textAlignment w:val="auto"/>
                    <w:rPr>
                      <w:rFonts w:hint="eastAsia" w:ascii="Times New Roman" w:hAnsi="Times New Roman" w:eastAsia="宋体"/>
                      <w:color w:val="auto"/>
                      <w:spacing w:val="0"/>
                      <w:sz w:val="21"/>
                    </w:rPr>
                  </w:pPr>
                  <w:r>
                    <w:rPr>
                      <w:rFonts w:hint="eastAsia" w:ascii="Times New Roman" w:hAnsi="Times New Roman" w:eastAsia="宋体"/>
                      <w:color w:val="auto"/>
                      <w:spacing w:val="0"/>
                      <w:sz w:val="21"/>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595" w:type="dxa"/>
                  <w:noWrap w:val="0"/>
                  <w:tcMar>
                    <w:top w:w="0" w:type="dxa"/>
                    <w:left w:w="0" w:type="dxa"/>
                    <w:bottom w:w="0" w:type="dxa"/>
                    <w:right w:w="0" w:type="dxa"/>
                  </w:tcMar>
                  <w:vAlign w:val="center"/>
                </w:tcPr>
                <w:p w14:paraId="24C5C3A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snapToGrid w:val="0"/>
                      <w:color w:val="auto"/>
                      <w:spacing w:val="0"/>
                      <w:kern w:val="2"/>
                      <w:sz w:val="21"/>
                      <w:szCs w:val="21"/>
                      <w:highlight w:val="none"/>
                      <w:lang w:val="en-US" w:eastAsia="zh-CN" w:bidi="ar-SA"/>
                    </w:rPr>
                    <w:t>本项目不涉及。</w:t>
                  </w:r>
                </w:p>
              </w:tc>
              <w:tc>
                <w:tcPr>
                  <w:tcW w:w="414" w:type="dxa"/>
                  <w:noWrap w:val="0"/>
                  <w:tcMar>
                    <w:top w:w="0" w:type="dxa"/>
                    <w:left w:w="0" w:type="dxa"/>
                    <w:bottom w:w="0" w:type="dxa"/>
                    <w:right w:w="0" w:type="dxa"/>
                  </w:tcMar>
                  <w:vAlign w:val="center"/>
                </w:tcPr>
                <w:p w14:paraId="0FDD0A4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符合</w:t>
                  </w:r>
                </w:p>
              </w:tc>
            </w:tr>
            <w:tr w14:paraId="5B509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26F4061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区县总体管控要求</w:t>
                  </w:r>
                </w:p>
              </w:tc>
              <w:tc>
                <w:tcPr>
                  <w:tcW w:w="594" w:type="dxa"/>
                  <w:vMerge w:val="restart"/>
                  <w:noWrap w:val="0"/>
                  <w:tcMar>
                    <w:top w:w="0" w:type="dxa"/>
                    <w:left w:w="0" w:type="dxa"/>
                    <w:bottom w:w="0" w:type="dxa"/>
                    <w:right w:w="0" w:type="dxa"/>
                  </w:tcMar>
                  <w:vAlign w:val="center"/>
                </w:tcPr>
                <w:p w14:paraId="651F891C">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空间布局约束</w:t>
                  </w:r>
                </w:p>
              </w:tc>
              <w:tc>
                <w:tcPr>
                  <w:tcW w:w="3663" w:type="dxa"/>
                  <w:noWrap w:val="0"/>
                  <w:tcMar>
                    <w:top w:w="0" w:type="dxa"/>
                    <w:left w:w="0" w:type="dxa"/>
                    <w:bottom w:w="0" w:type="dxa"/>
                    <w:right w:w="0" w:type="dxa"/>
                  </w:tcMar>
                  <w:vAlign w:val="center"/>
                </w:tcPr>
                <w:p w14:paraId="04CFB6F7">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olor w:val="auto"/>
                      <w:spacing w:val="0"/>
                      <w:kern w:val="2"/>
                      <w:sz w:val="21"/>
                      <w:szCs w:val="24"/>
                      <w:lang w:val="en-US" w:eastAsia="zh-CN" w:bidi="ar-SA"/>
                    </w:rPr>
                  </w:pPr>
                  <w:r>
                    <w:rPr>
                      <w:rFonts w:hint="default" w:ascii="Times New Roman" w:hAnsi="Times New Roman" w:eastAsia="宋体" w:cs="Times New Roman"/>
                      <w:color w:val="auto"/>
                      <w:spacing w:val="0"/>
                      <w:sz w:val="21"/>
                      <w:szCs w:val="21"/>
                      <w:highlight w:val="none"/>
                    </w:rPr>
                    <w:t>第一条 执行重点管控单元市级总体要求第一条、第二条、第三条、第四条、第五条和第七条。</w:t>
                  </w:r>
                </w:p>
              </w:tc>
              <w:tc>
                <w:tcPr>
                  <w:tcW w:w="1595" w:type="dxa"/>
                  <w:noWrap w:val="0"/>
                  <w:tcMar>
                    <w:top w:w="0" w:type="dxa"/>
                    <w:left w:w="0" w:type="dxa"/>
                    <w:bottom w:w="0" w:type="dxa"/>
                    <w:right w:w="0" w:type="dxa"/>
                  </w:tcMar>
                  <w:vAlign w:val="center"/>
                </w:tcPr>
                <w:p w14:paraId="28C0DF8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重点管控单元市级总体要求第一条、第二条、第三条、第四条、第五条和第七条</w:t>
                  </w:r>
                  <w:r>
                    <w:rPr>
                      <w:rFonts w:hint="eastAsia" w:ascii="Times New Roman" w:hAnsi="Times New Roman" w:eastAsia="宋体" w:cs="Times New Roman"/>
                      <w:color w:val="auto"/>
                      <w:spacing w:val="0"/>
                      <w:sz w:val="21"/>
                      <w:szCs w:val="21"/>
                      <w:highlight w:val="none"/>
                      <w:lang w:eastAsia="zh-CN"/>
                    </w:rPr>
                    <w:t>。</w:t>
                  </w:r>
                </w:p>
              </w:tc>
              <w:tc>
                <w:tcPr>
                  <w:tcW w:w="414" w:type="dxa"/>
                  <w:noWrap w:val="0"/>
                  <w:tcMar>
                    <w:top w:w="0" w:type="dxa"/>
                    <w:left w:w="0" w:type="dxa"/>
                    <w:bottom w:w="0" w:type="dxa"/>
                    <w:right w:w="0" w:type="dxa"/>
                  </w:tcMar>
                  <w:vAlign w:val="center"/>
                </w:tcPr>
                <w:p w14:paraId="02A6EE4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28837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2951B8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38B003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7E76FA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1595" w:type="dxa"/>
                  <w:noWrap w:val="0"/>
                  <w:tcMar>
                    <w:top w:w="0" w:type="dxa"/>
                    <w:left w:w="0" w:type="dxa"/>
                    <w:bottom w:w="0" w:type="dxa"/>
                    <w:right w:w="0" w:type="dxa"/>
                  </w:tcMar>
                  <w:vAlign w:val="center"/>
                </w:tcPr>
                <w:p w14:paraId="603490E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本项目位于重庆市九龙坡区二郎街道火炬大道100号附24号及附23-2号，不位于工业园区内。</w:t>
                  </w:r>
                </w:p>
              </w:tc>
              <w:tc>
                <w:tcPr>
                  <w:tcW w:w="414" w:type="dxa"/>
                  <w:noWrap w:val="0"/>
                  <w:tcMar>
                    <w:top w:w="0" w:type="dxa"/>
                    <w:left w:w="0" w:type="dxa"/>
                    <w:bottom w:w="0" w:type="dxa"/>
                    <w:right w:w="0" w:type="dxa"/>
                  </w:tcMar>
                  <w:vAlign w:val="center"/>
                </w:tcPr>
                <w:p w14:paraId="4EDA27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BAD9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81B3D0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12EC0B7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污染物排放管控</w:t>
                  </w:r>
                </w:p>
              </w:tc>
              <w:tc>
                <w:tcPr>
                  <w:tcW w:w="3663" w:type="dxa"/>
                  <w:noWrap w:val="0"/>
                  <w:tcMar>
                    <w:top w:w="0" w:type="dxa"/>
                    <w:left w:w="0" w:type="dxa"/>
                    <w:bottom w:w="0" w:type="dxa"/>
                    <w:right w:w="0" w:type="dxa"/>
                  </w:tcMar>
                  <w:vAlign w:val="center"/>
                </w:tcPr>
                <w:p w14:paraId="1430BC8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第三条 执行重点管控单元市级总体要求第八条、第九条、第十一条、第十二条、第十四条和第十五条。</w:t>
                  </w:r>
                </w:p>
              </w:tc>
              <w:tc>
                <w:tcPr>
                  <w:tcW w:w="1595" w:type="dxa"/>
                  <w:noWrap w:val="0"/>
                  <w:tcMar>
                    <w:top w:w="0" w:type="dxa"/>
                    <w:left w:w="0" w:type="dxa"/>
                    <w:bottom w:w="0" w:type="dxa"/>
                    <w:right w:w="0" w:type="dxa"/>
                  </w:tcMar>
                  <w:vAlign w:val="center"/>
                </w:tcPr>
                <w:p w14:paraId="26A0849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重点管控单元市级总体要求第八条、第九条、第十一条、第十二条、第十四条和第十五条。</w:t>
                  </w:r>
                </w:p>
              </w:tc>
              <w:tc>
                <w:tcPr>
                  <w:tcW w:w="414" w:type="dxa"/>
                  <w:noWrap w:val="0"/>
                  <w:tcMar>
                    <w:top w:w="0" w:type="dxa"/>
                    <w:left w:w="0" w:type="dxa"/>
                    <w:bottom w:w="0" w:type="dxa"/>
                    <w:right w:w="0" w:type="dxa"/>
                  </w:tcMar>
                  <w:vAlign w:val="center"/>
                </w:tcPr>
                <w:p w14:paraId="0B8022E3">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1D50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585E2A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D325830">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39E44B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1595" w:type="dxa"/>
                  <w:noWrap w:val="0"/>
                  <w:tcMar>
                    <w:top w:w="0" w:type="dxa"/>
                    <w:left w:w="0" w:type="dxa"/>
                    <w:bottom w:w="0" w:type="dxa"/>
                    <w:right w:w="0" w:type="dxa"/>
                  </w:tcMar>
                  <w:vAlign w:val="center"/>
                </w:tcPr>
                <w:p w14:paraId="348A7D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本项目为动物医院扩建项目，不属于重点行业，不涉及</w:t>
                  </w:r>
                  <w:r>
                    <w:rPr>
                      <w:rFonts w:hint="default" w:ascii="Times New Roman" w:hAnsi="Times New Roman" w:eastAsia="宋体" w:cs="Times New Roman"/>
                      <w:color w:val="auto"/>
                      <w:spacing w:val="0"/>
                      <w:sz w:val="21"/>
                      <w:szCs w:val="21"/>
                      <w:highlight w:val="none"/>
                    </w:rPr>
                    <w:t>工业涂装、汽车维修、油品储运</w:t>
                  </w:r>
                  <w:r>
                    <w:rPr>
                      <w:rFonts w:hint="eastAsia" w:ascii="Times New Roman" w:hAnsi="Times New Roman" w:eastAsia="宋体" w:cs="Times New Roman"/>
                      <w:color w:val="auto"/>
                      <w:spacing w:val="0"/>
                      <w:sz w:val="21"/>
                      <w:szCs w:val="21"/>
                      <w:highlight w:val="none"/>
                      <w:lang w:eastAsia="zh-CN"/>
                    </w:rPr>
                    <w:t>。</w:t>
                  </w:r>
                </w:p>
              </w:tc>
              <w:tc>
                <w:tcPr>
                  <w:tcW w:w="414" w:type="dxa"/>
                  <w:noWrap w:val="0"/>
                  <w:tcMar>
                    <w:top w:w="0" w:type="dxa"/>
                    <w:left w:w="0" w:type="dxa"/>
                    <w:bottom w:w="0" w:type="dxa"/>
                    <w:right w:w="0" w:type="dxa"/>
                  </w:tcMar>
                  <w:vAlign w:val="center"/>
                </w:tcPr>
                <w:p w14:paraId="20939667">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6E98B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698605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CEA87B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FF23FE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第五条 以餐饮油烟为重点，强化生活污染防治。加大居民生活油烟排放治理，推动具备条件的餐饮单位安装餐饮油烟在线监控设施，加强对重点区域无油烟净化设施露天摊位的管理。</w:t>
                  </w:r>
                </w:p>
              </w:tc>
              <w:tc>
                <w:tcPr>
                  <w:tcW w:w="1595" w:type="dxa"/>
                  <w:noWrap w:val="0"/>
                  <w:tcMar>
                    <w:top w:w="0" w:type="dxa"/>
                    <w:left w:w="0" w:type="dxa"/>
                    <w:bottom w:w="0" w:type="dxa"/>
                    <w:right w:w="0" w:type="dxa"/>
                  </w:tcMar>
                  <w:vAlign w:val="center"/>
                </w:tcPr>
                <w:p w14:paraId="6DB9162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rPr>
                  </w:pPr>
                  <w:r>
                    <w:rPr>
                      <w:rFonts w:hint="eastAsia" w:ascii="Times New Roman" w:hAnsi="Times New Roman" w:eastAsia="宋体" w:cs="Times New Roman"/>
                      <w:color w:val="auto"/>
                      <w:spacing w:val="0"/>
                      <w:sz w:val="21"/>
                      <w:highlight w:val="none"/>
                      <w:lang w:val="en-US" w:eastAsia="zh-CN"/>
                    </w:rPr>
                    <w:t>本项目为动物医院扩建项目，不设置食堂。</w:t>
                  </w:r>
                </w:p>
              </w:tc>
              <w:tc>
                <w:tcPr>
                  <w:tcW w:w="414" w:type="dxa"/>
                  <w:noWrap w:val="0"/>
                  <w:tcMar>
                    <w:top w:w="0" w:type="dxa"/>
                    <w:left w:w="0" w:type="dxa"/>
                    <w:bottom w:w="0" w:type="dxa"/>
                    <w:right w:w="0" w:type="dxa"/>
                  </w:tcMar>
                  <w:vAlign w:val="center"/>
                </w:tcPr>
                <w:p w14:paraId="73A8DC8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3C63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567122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316F30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1D4D9F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1595" w:type="dxa"/>
                  <w:noWrap w:val="0"/>
                  <w:tcMar>
                    <w:top w:w="0" w:type="dxa"/>
                    <w:left w:w="0" w:type="dxa"/>
                    <w:bottom w:w="0" w:type="dxa"/>
                    <w:right w:w="0" w:type="dxa"/>
                  </w:tcMar>
                  <w:vAlign w:val="center"/>
                </w:tcPr>
                <w:p w14:paraId="5178BA1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交通和扬尘污染</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28FB612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4FF3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392EFD8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6DE560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78089AD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1595" w:type="dxa"/>
                  <w:noWrap w:val="0"/>
                  <w:tcMar>
                    <w:top w:w="0" w:type="dxa"/>
                    <w:left w:w="0" w:type="dxa"/>
                    <w:bottom w:w="0" w:type="dxa"/>
                    <w:right w:w="0" w:type="dxa"/>
                  </w:tcMar>
                  <w:vAlign w:val="center"/>
                </w:tcPr>
                <w:p w14:paraId="278EDBB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改善次级河流水质</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5C6B67F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074C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27BA204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3F2FBF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90D9399">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595" w:type="dxa"/>
                  <w:noWrap w:val="0"/>
                  <w:tcMar>
                    <w:top w:w="0" w:type="dxa"/>
                    <w:left w:w="0" w:type="dxa"/>
                    <w:bottom w:w="0" w:type="dxa"/>
                    <w:right w:w="0" w:type="dxa"/>
                  </w:tcMar>
                  <w:vAlign w:val="center"/>
                </w:tcPr>
                <w:p w14:paraId="48D9A7E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w:t>
                  </w:r>
                  <w:r>
                    <w:rPr>
                      <w:rFonts w:hint="default" w:ascii="Times New Roman" w:hAnsi="Times New Roman" w:eastAsia="宋体" w:cs="Times New Roman"/>
                      <w:color w:val="auto"/>
                      <w:spacing w:val="0"/>
                      <w:sz w:val="21"/>
                      <w:szCs w:val="21"/>
                      <w:highlight w:val="none"/>
                    </w:rPr>
                    <w:t>面源污染防治</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78F4900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0E6D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778F096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0C3064B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环境风险防控</w:t>
                  </w:r>
                </w:p>
              </w:tc>
              <w:tc>
                <w:tcPr>
                  <w:tcW w:w="3663" w:type="dxa"/>
                  <w:noWrap w:val="0"/>
                  <w:tcMar>
                    <w:top w:w="0" w:type="dxa"/>
                    <w:left w:w="0" w:type="dxa"/>
                    <w:bottom w:w="0" w:type="dxa"/>
                    <w:right w:w="0" w:type="dxa"/>
                  </w:tcMar>
                  <w:vAlign w:val="center"/>
                </w:tcPr>
                <w:p w14:paraId="12FD176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第九条 执行重点管控单元市级总体要求第十六条。</w:t>
                  </w:r>
                </w:p>
              </w:tc>
              <w:tc>
                <w:tcPr>
                  <w:tcW w:w="1595" w:type="dxa"/>
                  <w:noWrap w:val="0"/>
                  <w:tcMar>
                    <w:top w:w="0" w:type="dxa"/>
                    <w:left w:w="0" w:type="dxa"/>
                    <w:bottom w:w="0" w:type="dxa"/>
                    <w:right w:w="0" w:type="dxa"/>
                  </w:tcMar>
                  <w:vAlign w:val="center"/>
                </w:tcPr>
                <w:p w14:paraId="5013FF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重点管控单元市级总体要求第十六条。</w:t>
                  </w:r>
                </w:p>
              </w:tc>
              <w:tc>
                <w:tcPr>
                  <w:tcW w:w="414" w:type="dxa"/>
                  <w:noWrap w:val="0"/>
                  <w:tcMar>
                    <w:top w:w="0" w:type="dxa"/>
                    <w:left w:w="0" w:type="dxa"/>
                    <w:bottom w:w="0" w:type="dxa"/>
                    <w:right w:w="0" w:type="dxa"/>
                  </w:tcMar>
                  <w:vAlign w:val="center"/>
                </w:tcPr>
                <w:p w14:paraId="376D6D8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ADF6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9A692F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334F67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4B44B64">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第十条 以保障饮用水源安全为目标，完善区域环境风险措施。加强长江沿江1km范围内化工企业及危化品仓库环境风险监管，进一步完善西彭工业园区铜罐驿组团流域级环境风险防范措施；西彭工业园区应与下游饮用水水源取水口运营单位建立水源地突发环境事件应急联动机制。</w:t>
                  </w:r>
                </w:p>
              </w:tc>
              <w:tc>
                <w:tcPr>
                  <w:tcW w:w="1595" w:type="dxa"/>
                  <w:noWrap w:val="0"/>
                  <w:tcMar>
                    <w:top w:w="0" w:type="dxa"/>
                    <w:left w:w="0" w:type="dxa"/>
                    <w:bottom w:w="0" w:type="dxa"/>
                    <w:right w:w="0" w:type="dxa"/>
                  </w:tcMar>
                  <w:vAlign w:val="center"/>
                </w:tcPr>
                <w:p w14:paraId="4FCB953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eastAsia"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本项目为动物医院扩建项目，</w:t>
                  </w:r>
                  <w:r>
                    <w:rPr>
                      <w:rFonts w:hint="default" w:ascii="Times New Roman" w:hAnsi="Times New Roman" w:eastAsia="宋体" w:cs="Times New Roman"/>
                      <w:color w:val="auto"/>
                      <w:spacing w:val="0"/>
                      <w:sz w:val="21"/>
                      <w:szCs w:val="21"/>
                      <w:highlight w:val="none"/>
                    </w:rPr>
                    <w:t>环境风险</w:t>
                  </w:r>
                  <w:r>
                    <w:rPr>
                      <w:rFonts w:hint="eastAsia" w:ascii="Times New Roman" w:hAnsi="Times New Roman" w:eastAsia="宋体" w:cs="Times New Roman"/>
                      <w:color w:val="auto"/>
                      <w:spacing w:val="0"/>
                      <w:sz w:val="21"/>
                      <w:szCs w:val="21"/>
                      <w:highlight w:val="none"/>
                      <w:lang w:val="en-US" w:eastAsia="zh-CN"/>
                    </w:rPr>
                    <w:t>较小，不属于</w:t>
                  </w:r>
                  <w:r>
                    <w:rPr>
                      <w:rFonts w:hint="default" w:ascii="Times New Roman" w:hAnsi="Times New Roman" w:eastAsia="宋体" w:cs="Times New Roman"/>
                      <w:color w:val="auto"/>
                      <w:spacing w:val="0"/>
                      <w:sz w:val="21"/>
                      <w:szCs w:val="21"/>
                      <w:highlight w:val="none"/>
                    </w:rPr>
                    <w:t>化工企业及危化品仓库</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不属于</w:t>
                  </w:r>
                  <w:r>
                    <w:rPr>
                      <w:rFonts w:hint="default" w:ascii="Times New Roman" w:hAnsi="Times New Roman" w:eastAsia="宋体" w:cs="Times New Roman"/>
                      <w:color w:val="auto"/>
                      <w:spacing w:val="0"/>
                      <w:sz w:val="21"/>
                      <w:szCs w:val="21"/>
                      <w:highlight w:val="none"/>
                    </w:rPr>
                    <w:t>西彭工业园区</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941011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FE5E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A235F5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00878B56">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4C6830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595" w:type="dxa"/>
                  <w:noWrap w:val="0"/>
                  <w:tcMar>
                    <w:top w:w="0" w:type="dxa"/>
                    <w:left w:w="0" w:type="dxa"/>
                    <w:bottom w:w="0" w:type="dxa"/>
                    <w:right w:w="0" w:type="dxa"/>
                  </w:tcMar>
                  <w:vAlign w:val="center"/>
                </w:tcPr>
                <w:p w14:paraId="63B080D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本项目为动物医院扩建项目，不涉及土壤污染和防治。</w:t>
                  </w:r>
                </w:p>
              </w:tc>
              <w:tc>
                <w:tcPr>
                  <w:tcW w:w="414" w:type="dxa"/>
                  <w:noWrap w:val="0"/>
                  <w:tcMar>
                    <w:top w:w="0" w:type="dxa"/>
                    <w:left w:w="0" w:type="dxa"/>
                    <w:bottom w:w="0" w:type="dxa"/>
                    <w:right w:w="0" w:type="dxa"/>
                  </w:tcMar>
                  <w:vAlign w:val="center"/>
                </w:tcPr>
                <w:p w14:paraId="3DA43F4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D1A2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6A74804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6DC6381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资源利用效率</w:t>
                  </w:r>
                </w:p>
              </w:tc>
              <w:tc>
                <w:tcPr>
                  <w:tcW w:w="3663" w:type="dxa"/>
                  <w:noWrap w:val="0"/>
                  <w:tcMar>
                    <w:top w:w="0" w:type="dxa"/>
                    <w:left w:w="0" w:type="dxa"/>
                    <w:bottom w:w="0" w:type="dxa"/>
                    <w:right w:w="0" w:type="dxa"/>
                  </w:tcMar>
                  <w:vAlign w:val="center"/>
                </w:tcPr>
                <w:p w14:paraId="3F916CAB">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第十二条 执行重点管控单元市级总体要求第十八条、第十九条、第二十条、第二十一条。</w:t>
                  </w:r>
                </w:p>
              </w:tc>
              <w:tc>
                <w:tcPr>
                  <w:tcW w:w="1595" w:type="dxa"/>
                  <w:noWrap w:val="0"/>
                  <w:tcMar>
                    <w:top w:w="0" w:type="dxa"/>
                    <w:left w:w="0" w:type="dxa"/>
                    <w:bottom w:w="0" w:type="dxa"/>
                    <w:right w:w="0" w:type="dxa"/>
                  </w:tcMar>
                  <w:vAlign w:val="center"/>
                </w:tcPr>
                <w:p w14:paraId="0B4AAD5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val="en-US" w:eastAsia="zh-CN"/>
                    </w:rPr>
                    <w:t>本项目满足</w:t>
                  </w:r>
                  <w:r>
                    <w:rPr>
                      <w:rFonts w:hint="default" w:ascii="Times New Roman" w:hAnsi="Times New Roman" w:eastAsia="宋体" w:cs="Times New Roman"/>
                      <w:color w:val="auto"/>
                      <w:spacing w:val="0"/>
                      <w:sz w:val="21"/>
                      <w:szCs w:val="21"/>
                      <w:highlight w:val="none"/>
                    </w:rPr>
                    <w:t>重点管控单元市级总体要求第十八条、第十九条、第二十条、第二十一条。</w:t>
                  </w:r>
                </w:p>
              </w:tc>
              <w:tc>
                <w:tcPr>
                  <w:tcW w:w="414" w:type="dxa"/>
                  <w:noWrap w:val="0"/>
                  <w:tcMar>
                    <w:top w:w="0" w:type="dxa"/>
                    <w:left w:w="0" w:type="dxa"/>
                    <w:bottom w:w="0" w:type="dxa"/>
                    <w:right w:w="0" w:type="dxa"/>
                  </w:tcMar>
                  <w:vAlign w:val="center"/>
                </w:tcPr>
                <w:p w14:paraId="60FDF53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8D77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EB427F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F03FB5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71D06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第十三条 以促进产业绿色低碳循环发展为导向，推动减污降碳协同共治。结合西彭工业园区近零碳园区建设，深化有色金属冶炼及压延加工业、化学原料及化学制品制造业和汽车制造业等行业减污降碳。</w:t>
                  </w:r>
                </w:p>
              </w:tc>
              <w:tc>
                <w:tcPr>
                  <w:tcW w:w="1595" w:type="dxa"/>
                  <w:noWrap w:val="0"/>
                  <w:tcMar>
                    <w:top w:w="0" w:type="dxa"/>
                    <w:left w:w="0" w:type="dxa"/>
                    <w:bottom w:w="0" w:type="dxa"/>
                    <w:right w:w="0" w:type="dxa"/>
                  </w:tcMar>
                  <w:vAlign w:val="center"/>
                </w:tcPr>
                <w:p w14:paraId="4D60FE8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本项目为动物医院，不涉及碳排放。</w:t>
                  </w:r>
                </w:p>
              </w:tc>
              <w:tc>
                <w:tcPr>
                  <w:tcW w:w="414" w:type="dxa"/>
                  <w:noWrap w:val="0"/>
                  <w:tcMar>
                    <w:top w:w="0" w:type="dxa"/>
                    <w:left w:w="0" w:type="dxa"/>
                    <w:bottom w:w="0" w:type="dxa"/>
                    <w:right w:w="0" w:type="dxa"/>
                  </w:tcMar>
                  <w:vAlign w:val="center"/>
                </w:tcPr>
                <w:p w14:paraId="1DD98209">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1D4E7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861" w:type="dxa"/>
                  <w:vMerge w:val="continue"/>
                  <w:noWrap w:val="0"/>
                  <w:tcMar>
                    <w:top w:w="0" w:type="dxa"/>
                    <w:left w:w="0" w:type="dxa"/>
                    <w:bottom w:w="0" w:type="dxa"/>
                    <w:right w:w="0" w:type="dxa"/>
                  </w:tcMar>
                  <w:vAlign w:val="center"/>
                </w:tcPr>
                <w:p w14:paraId="38B5AE6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7092B8A">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2C6C40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第十四条 提升工业、城镇生活、农业节水能力，推进再生水循环利用，提高水资源利用效率。</w:t>
                  </w:r>
                </w:p>
                <w:p w14:paraId="086B5CA7">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595" w:type="dxa"/>
                  <w:noWrap w:val="0"/>
                  <w:tcMar>
                    <w:top w:w="0" w:type="dxa"/>
                    <w:left w:w="0" w:type="dxa"/>
                    <w:bottom w:w="0" w:type="dxa"/>
                    <w:right w:w="0" w:type="dxa"/>
                  </w:tcMar>
                  <w:vAlign w:val="center"/>
                </w:tcPr>
                <w:p w14:paraId="1CFE81C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本项目为动物医院扩建项目</w:t>
                  </w:r>
                  <w:r>
                    <w:rPr>
                      <w:rFonts w:hint="default" w:ascii="Times New Roman" w:hAnsi="Times New Roman" w:eastAsia="宋体" w:cs="Times New Roman"/>
                      <w:color w:val="auto"/>
                      <w:spacing w:val="0"/>
                      <w:sz w:val="21"/>
                      <w:highlight w:val="none"/>
                    </w:rPr>
                    <w:t>，</w:t>
                  </w:r>
                  <w:r>
                    <w:rPr>
                      <w:rFonts w:hint="eastAsia" w:ascii="Times New Roman" w:hAnsi="Times New Roman" w:eastAsia="宋体" w:cs="Times New Roman"/>
                      <w:color w:val="auto"/>
                      <w:spacing w:val="0"/>
                      <w:sz w:val="21"/>
                      <w:highlight w:val="none"/>
                      <w:lang w:val="en-US" w:eastAsia="zh-CN"/>
                    </w:rPr>
                    <w:t>不属于工业项目，</w:t>
                  </w:r>
                  <w:r>
                    <w:rPr>
                      <w:rFonts w:hint="default" w:ascii="Times New Roman" w:hAnsi="Times New Roman" w:eastAsia="宋体" w:cs="Times New Roman"/>
                      <w:color w:val="auto"/>
                      <w:spacing w:val="0"/>
                      <w:sz w:val="21"/>
                      <w:highlight w:val="none"/>
                      <w:lang w:val="en-US" w:eastAsia="zh-CN"/>
                    </w:rPr>
                    <w:t>不涉及</w:t>
                  </w:r>
                  <w:r>
                    <w:rPr>
                      <w:rFonts w:hint="eastAsia" w:ascii="Times New Roman" w:hAnsi="Times New Roman" w:eastAsia="宋体" w:cs="Times New Roman"/>
                      <w:color w:val="auto"/>
                      <w:spacing w:val="0"/>
                      <w:sz w:val="21"/>
                      <w:highlight w:val="none"/>
                      <w:lang w:val="en-US" w:eastAsia="zh-CN"/>
                    </w:rPr>
                    <w:t>工业水循环利用，在满足运营的前提条件下优先选用节水设备。</w:t>
                  </w:r>
                </w:p>
              </w:tc>
              <w:tc>
                <w:tcPr>
                  <w:tcW w:w="414" w:type="dxa"/>
                  <w:noWrap w:val="0"/>
                  <w:tcMar>
                    <w:top w:w="0" w:type="dxa"/>
                    <w:left w:w="0" w:type="dxa"/>
                    <w:bottom w:w="0" w:type="dxa"/>
                    <w:right w:w="0" w:type="dxa"/>
                  </w:tcMar>
                  <w:vAlign w:val="center"/>
                </w:tcPr>
                <w:p w14:paraId="7198AAE0">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02573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restart"/>
                  <w:noWrap w:val="0"/>
                  <w:tcMar>
                    <w:top w:w="0" w:type="dxa"/>
                    <w:left w:w="0" w:type="dxa"/>
                    <w:bottom w:w="0" w:type="dxa"/>
                    <w:right w:w="0" w:type="dxa"/>
                  </w:tcMar>
                  <w:vAlign w:val="center"/>
                </w:tcPr>
                <w:p w14:paraId="22EC251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单元管控要求</w:t>
                  </w:r>
                </w:p>
              </w:tc>
              <w:tc>
                <w:tcPr>
                  <w:tcW w:w="594" w:type="dxa"/>
                  <w:vMerge w:val="restart"/>
                  <w:noWrap w:val="0"/>
                  <w:tcMar>
                    <w:top w:w="0" w:type="dxa"/>
                    <w:left w:w="0" w:type="dxa"/>
                    <w:bottom w:w="0" w:type="dxa"/>
                    <w:right w:w="0" w:type="dxa"/>
                  </w:tcMar>
                  <w:vAlign w:val="center"/>
                </w:tcPr>
                <w:p w14:paraId="78A623C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空间布局约束</w:t>
                  </w:r>
                </w:p>
              </w:tc>
              <w:tc>
                <w:tcPr>
                  <w:tcW w:w="3663" w:type="dxa"/>
                  <w:noWrap w:val="0"/>
                  <w:tcMar>
                    <w:top w:w="0" w:type="dxa"/>
                    <w:left w:w="0" w:type="dxa"/>
                    <w:bottom w:w="0" w:type="dxa"/>
                    <w:right w:w="0" w:type="dxa"/>
                  </w:tcMar>
                  <w:vAlign w:val="center"/>
                </w:tcPr>
                <w:p w14:paraId="54D6409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1.有序推动九龙工业园区“东三街”和九龙街道工业用地转型升级，重点发展制造服务业</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vMerge w:val="restart"/>
                  <w:noWrap w:val="0"/>
                  <w:tcMar>
                    <w:top w:w="0" w:type="dxa"/>
                    <w:left w:w="0" w:type="dxa"/>
                    <w:bottom w:w="0" w:type="dxa"/>
                    <w:right w:w="0" w:type="dxa"/>
                  </w:tcMar>
                  <w:vAlign w:val="center"/>
                </w:tcPr>
                <w:p w14:paraId="62F8CAA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，位于重庆市九龙坡区二郎街道火炬大道100号附24号及附23-2号，不在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B48EF6A">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06C1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D9B1C9C">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B748E5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CB2C23B">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2.九龙工业园区B区为智能制造工业区，未来周边规划布局为居住区，应优化工业区内部布局，将污染较大的企业远离居住区一侧布设。</w:t>
                  </w:r>
                </w:p>
              </w:tc>
              <w:tc>
                <w:tcPr>
                  <w:tcW w:w="1595" w:type="dxa"/>
                  <w:vMerge w:val="continue"/>
                  <w:noWrap w:val="0"/>
                  <w:tcMar>
                    <w:top w:w="0" w:type="dxa"/>
                    <w:left w:w="0" w:type="dxa"/>
                    <w:bottom w:w="0" w:type="dxa"/>
                    <w:right w:w="0" w:type="dxa"/>
                  </w:tcMar>
                  <w:vAlign w:val="center"/>
                </w:tcPr>
                <w:p w14:paraId="61A1112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124EF3C5">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06585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F2CDDB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29AC6961">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污染物排放管控</w:t>
                  </w:r>
                </w:p>
              </w:tc>
              <w:tc>
                <w:tcPr>
                  <w:tcW w:w="3663" w:type="dxa"/>
                  <w:noWrap w:val="0"/>
                  <w:tcMar>
                    <w:top w:w="0" w:type="dxa"/>
                    <w:left w:w="0" w:type="dxa"/>
                    <w:bottom w:w="0" w:type="dxa"/>
                    <w:right w:w="0" w:type="dxa"/>
                  </w:tcMar>
                  <w:vAlign w:val="center"/>
                </w:tcPr>
                <w:p w14:paraId="1EBC247D">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1.九龙工业园区B区内新建、改建、扩建涉VOCs排放的项目，要加强源头控制，使用低（无）VOCs含量的原辅料，加强废气收集，安装高效治理设施；</w:t>
                  </w:r>
                </w:p>
              </w:tc>
              <w:tc>
                <w:tcPr>
                  <w:tcW w:w="1595" w:type="dxa"/>
                  <w:noWrap w:val="0"/>
                  <w:tcMar>
                    <w:top w:w="0" w:type="dxa"/>
                    <w:left w:w="0" w:type="dxa"/>
                    <w:bottom w:w="0" w:type="dxa"/>
                    <w:right w:w="0" w:type="dxa"/>
                  </w:tcMar>
                  <w:vAlign w:val="center"/>
                </w:tcPr>
                <w:p w14:paraId="7883A88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en-US" w:eastAsia="zh-CN" w:bidi="ar"/>
                    </w:rPr>
                    <w:t>VOCs排放</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309FB507">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6707B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1F59F49">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836B31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807E9C6">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2.有序推动九龙工业园区“东三街”和九龙街道范围内现状工业制造类企业开展搬迁工作，搬迁前企业应深化污染治理，在减污、风险可控的前提下可进行改造升级。</w:t>
                  </w:r>
                </w:p>
              </w:tc>
              <w:tc>
                <w:tcPr>
                  <w:tcW w:w="1595" w:type="dxa"/>
                  <w:noWrap w:val="0"/>
                  <w:tcMar>
                    <w:top w:w="0" w:type="dxa"/>
                    <w:left w:w="0" w:type="dxa"/>
                    <w:bottom w:w="0" w:type="dxa"/>
                    <w:right w:w="0" w:type="dxa"/>
                  </w:tcMar>
                  <w:vAlign w:val="center"/>
                </w:tcPr>
                <w:p w14:paraId="08AAF4E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042FFEDB">
                  <w:pPr>
                    <w:pStyle w:val="51"/>
                    <w:keepNext w:val="0"/>
                    <w:keepLines w:val="0"/>
                    <w:pageBreakBefore w:val="0"/>
                    <w:tabs>
                      <w:tab w:val="left" w:pos="540"/>
                      <w:tab w:val="left" w:pos="1080"/>
                      <w:tab w:val="left" w:pos="1800"/>
                    </w:tabs>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highlight w:val="none"/>
                    </w:rPr>
                    <w:t>符合</w:t>
                  </w:r>
                </w:p>
              </w:tc>
            </w:tr>
            <w:tr w14:paraId="21713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028EE21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602363D">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4762BA6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3.推进桃花溪流域、跳蹬河流域雨污分流整治；推进扬声桥污水处理厂提标改造，出水水质达到准Ⅳ类标准</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noWrap w:val="0"/>
                  <w:tcMar>
                    <w:top w:w="0" w:type="dxa"/>
                    <w:left w:w="0" w:type="dxa"/>
                    <w:bottom w:w="0" w:type="dxa"/>
                    <w:right w:w="0" w:type="dxa"/>
                  </w:tcMar>
                  <w:vAlign w:val="center"/>
                </w:tcPr>
                <w:p w14:paraId="4F3CD30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，不涉及</w:t>
                  </w:r>
                  <w:r>
                    <w:rPr>
                      <w:rFonts w:hint="default" w:ascii="Times New Roman" w:hAnsi="Times New Roman" w:eastAsia="宋体" w:cs="Times New Roman"/>
                      <w:color w:val="auto"/>
                      <w:spacing w:val="0"/>
                      <w:kern w:val="0"/>
                      <w:sz w:val="21"/>
                      <w:szCs w:val="21"/>
                      <w:highlight w:val="none"/>
                      <w:lang w:val="en-US" w:eastAsia="zh-CN" w:bidi="ar"/>
                    </w:rPr>
                    <w:t>扬声桥污水处理厂提标改造</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70533E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52FEB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4F11AFD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59E14B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1FA3FA3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tc>
              <w:tc>
                <w:tcPr>
                  <w:tcW w:w="1595" w:type="dxa"/>
                  <w:noWrap w:val="0"/>
                  <w:tcMar>
                    <w:top w:w="0" w:type="dxa"/>
                    <w:left w:w="0" w:type="dxa"/>
                    <w:bottom w:w="0" w:type="dxa"/>
                    <w:right w:w="0" w:type="dxa"/>
                  </w:tcMar>
                  <w:vAlign w:val="center"/>
                </w:tcPr>
                <w:p w14:paraId="71AA848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，不设置食堂。</w:t>
                  </w:r>
                </w:p>
              </w:tc>
              <w:tc>
                <w:tcPr>
                  <w:tcW w:w="414" w:type="dxa"/>
                  <w:noWrap w:val="0"/>
                  <w:tcMar>
                    <w:top w:w="0" w:type="dxa"/>
                    <w:left w:w="0" w:type="dxa"/>
                    <w:bottom w:w="0" w:type="dxa"/>
                    <w:right w:w="0" w:type="dxa"/>
                  </w:tcMar>
                  <w:vAlign w:val="center"/>
                </w:tcPr>
                <w:p w14:paraId="5A87338E">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A824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5745C3B3">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4E87DA5">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68B2022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r>
                    <w:rPr>
                      <w:rFonts w:hint="eastAsia" w:ascii="Times New Roman" w:hAnsi="Times New Roman" w:eastAsia="宋体" w:cs="Times New Roman"/>
                      <w:color w:val="auto"/>
                      <w:spacing w:val="0"/>
                      <w:kern w:val="0"/>
                      <w:sz w:val="21"/>
                      <w:szCs w:val="21"/>
                      <w:highlight w:val="none"/>
                      <w:lang w:val="en-US" w:eastAsia="zh-CN" w:bidi="ar"/>
                    </w:rPr>
                    <w:t>。</w:t>
                  </w:r>
                </w:p>
              </w:tc>
              <w:tc>
                <w:tcPr>
                  <w:tcW w:w="1595" w:type="dxa"/>
                  <w:noWrap w:val="0"/>
                  <w:tcMar>
                    <w:top w:w="0" w:type="dxa"/>
                    <w:left w:w="0" w:type="dxa"/>
                    <w:bottom w:w="0" w:type="dxa"/>
                    <w:right w:w="0" w:type="dxa"/>
                  </w:tcMar>
                  <w:vAlign w:val="center"/>
                </w:tcPr>
                <w:p w14:paraId="53181D3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，不涉及车辆运输。</w:t>
                  </w:r>
                </w:p>
              </w:tc>
              <w:tc>
                <w:tcPr>
                  <w:tcW w:w="414" w:type="dxa"/>
                  <w:noWrap w:val="0"/>
                  <w:tcMar>
                    <w:top w:w="0" w:type="dxa"/>
                    <w:left w:w="0" w:type="dxa"/>
                    <w:bottom w:w="0" w:type="dxa"/>
                    <w:right w:w="0" w:type="dxa"/>
                  </w:tcMar>
                  <w:vAlign w:val="center"/>
                </w:tcPr>
                <w:p w14:paraId="39761934">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0F00E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vMerge w:val="continue"/>
                  <w:noWrap w:val="0"/>
                  <w:tcMar>
                    <w:top w:w="0" w:type="dxa"/>
                    <w:left w:w="0" w:type="dxa"/>
                    <w:bottom w:w="0" w:type="dxa"/>
                    <w:right w:w="0" w:type="dxa"/>
                  </w:tcMar>
                  <w:vAlign w:val="center"/>
                </w:tcPr>
                <w:p w14:paraId="1AAB132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238A359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3A8F3CA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0"/>
                      <w:sz w:val="21"/>
                      <w:szCs w:val="21"/>
                      <w:highlight w:val="none"/>
                      <w:lang w:val="en-US" w:eastAsia="zh-CN" w:bidi="ar"/>
                    </w:rPr>
                    <w:t>6.以九龙半岛为重点，加强施工扬尘监管，逐步推进建筑面积2万平方米以上的工地安装在线监控系统。</w:t>
                  </w:r>
                </w:p>
              </w:tc>
              <w:tc>
                <w:tcPr>
                  <w:tcW w:w="1595" w:type="dxa"/>
                  <w:noWrap w:val="0"/>
                  <w:tcMar>
                    <w:top w:w="0" w:type="dxa"/>
                    <w:left w:w="0" w:type="dxa"/>
                    <w:bottom w:w="0" w:type="dxa"/>
                    <w:right w:w="0" w:type="dxa"/>
                  </w:tcMar>
                  <w:vAlign w:val="center"/>
                </w:tcPr>
                <w:p w14:paraId="556A67D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val="en-US" w:eastAsia="zh-CN"/>
                    </w:rPr>
                    <w:t>本项目不涉及。</w:t>
                  </w:r>
                </w:p>
              </w:tc>
              <w:tc>
                <w:tcPr>
                  <w:tcW w:w="414" w:type="dxa"/>
                  <w:noWrap w:val="0"/>
                  <w:tcMar>
                    <w:top w:w="0" w:type="dxa"/>
                    <w:left w:w="0" w:type="dxa"/>
                    <w:bottom w:w="0" w:type="dxa"/>
                    <w:right w:w="0" w:type="dxa"/>
                  </w:tcMar>
                  <w:vAlign w:val="center"/>
                </w:tcPr>
                <w:p w14:paraId="02D1C33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4ACF3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730F0407">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205E9E0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环境风险防控</w:t>
                  </w:r>
                </w:p>
              </w:tc>
              <w:tc>
                <w:tcPr>
                  <w:tcW w:w="3663" w:type="dxa"/>
                  <w:noWrap w:val="0"/>
                  <w:tcMar>
                    <w:top w:w="0" w:type="dxa"/>
                    <w:left w:w="0" w:type="dxa"/>
                    <w:bottom w:w="0" w:type="dxa"/>
                    <w:right w:w="0" w:type="dxa"/>
                  </w:tcMar>
                  <w:vAlign w:val="center"/>
                </w:tcPr>
                <w:p w14:paraId="48BD38DF">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1.九龙工业园区禁止新建、扩建排放重金属（铬、镉、汞、砷、铅等五类重金属）、剧毒物质和持久性有机污染物的工业项目；</w:t>
                  </w:r>
                </w:p>
              </w:tc>
              <w:tc>
                <w:tcPr>
                  <w:tcW w:w="1595" w:type="dxa"/>
                  <w:vMerge w:val="restart"/>
                  <w:noWrap w:val="0"/>
                  <w:tcMar>
                    <w:top w:w="0" w:type="dxa"/>
                    <w:left w:w="0" w:type="dxa"/>
                    <w:bottom w:w="0" w:type="dxa"/>
                    <w:right w:w="0" w:type="dxa"/>
                  </w:tcMar>
                  <w:vAlign w:val="center"/>
                </w:tcPr>
                <w:p w14:paraId="4A83446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，位于重庆市九龙坡区二郎街道火炬大道100号附24号及附23-2号，不在</w:t>
                  </w:r>
                  <w:r>
                    <w:rPr>
                      <w:rFonts w:hint="default" w:ascii="Times New Roman" w:hAnsi="Times New Roman" w:eastAsia="宋体" w:cs="Times New Roman"/>
                      <w:color w:val="auto"/>
                      <w:spacing w:val="0"/>
                      <w:kern w:val="0"/>
                      <w:sz w:val="21"/>
                      <w:szCs w:val="21"/>
                      <w:highlight w:val="none"/>
                      <w:lang w:val="en-US" w:eastAsia="zh-CN" w:bidi="ar"/>
                    </w:rPr>
                    <w:t>九龙工业园区</w:t>
                  </w:r>
                  <w:r>
                    <w:rPr>
                      <w:rFonts w:hint="eastAsia" w:ascii="Times New Roman" w:hAnsi="Times New Roman" w:eastAsia="宋体" w:cs="Times New Roman"/>
                      <w:color w:val="auto"/>
                      <w:spacing w:val="0"/>
                      <w:kern w:val="0"/>
                      <w:sz w:val="21"/>
                      <w:szCs w:val="21"/>
                      <w:highlight w:val="none"/>
                      <w:lang w:val="en-US" w:eastAsia="zh-CN" w:bidi="ar"/>
                    </w:rPr>
                    <w:t>内，不涉及</w:t>
                  </w:r>
                  <w:r>
                    <w:rPr>
                      <w:rFonts w:hint="default" w:ascii="Times New Roman" w:hAnsi="Times New Roman" w:eastAsia="宋体" w:cs="Times New Roman"/>
                      <w:color w:val="auto"/>
                      <w:spacing w:val="0"/>
                      <w:kern w:val="0"/>
                      <w:sz w:val="21"/>
                      <w:szCs w:val="21"/>
                      <w:highlight w:val="none"/>
                      <w:lang w:val="en-US" w:eastAsia="zh-CN" w:bidi="ar"/>
                    </w:rPr>
                    <w:t>土壤污染</w:t>
                  </w:r>
                  <w:r>
                    <w:rPr>
                      <w:rFonts w:hint="eastAsia" w:ascii="Times New Roman" w:hAnsi="Times New Roman" w:eastAsia="宋体" w:cs="Times New Roman"/>
                      <w:color w:val="auto"/>
                      <w:spacing w:val="0"/>
                      <w:kern w:val="0"/>
                      <w:sz w:val="21"/>
                      <w:szCs w:val="21"/>
                      <w:highlight w:val="none"/>
                      <w:lang w:val="en-US" w:eastAsia="zh-CN" w:bidi="ar"/>
                    </w:rPr>
                    <w:t>地块</w:t>
                  </w:r>
                  <w:r>
                    <w:rPr>
                      <w:rFonts w:hint="eastAsia" w:ascii="Times New Roman" w:hAnsi="Times New Roman" w:eastAsia="宋体" w:cs="Times New Roman"/>
                      <w:color w:val="auto"/>
                      <w:spacing w:val="0"/>
                      <w:sz w:val="21"/>
                      <w:highlight w:val="none"/>
                      <w:lang w:val="en-US" w:eastAsia="zh-CN"/>
                    </w:rPr>
                    <w:t>。</w:t>
                  </w:r>
                </w:p>
              </w:tc>
              <w:tc>
                <w:tcPr>
                  <w:tcW w:w="414" w:type="dxa"/>
                  <w:noWrap w:val="0"/>
                  <w:tcMar>
                    <w:top w:w="0" w:type="dxa"/>
                    <w:left w:w="0" w:type="dxa"/>
                    <w:bottom w:w="0" w:type="dxa"/>
                    <w:right w:w="0" w:type="dxa"/>
                  </w:tcMar>
                  <w:vAlign w:val="center"/>
                </w:tcPr>
                <w:p w14:paraId="2F610E31">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B45B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5360126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622D07B0">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0C60879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2.未达到土壤污染风险评估报告确定的风险管控、修复目标的地块，禁止开工建设任何与风险管控、修复无关的项目。</w:t>
                  </w:r>
                </w:p>
              </w:tc>
              <w:tc>
                <w:tcPr>
                  <w:tcW w:w="1595" w:type="dxa"/>
                  <w:vMerge w:val="continue"/>
                  <w:noWrap w:val="0"/>
                  <w:tcMar>
                    <w:top w:w="0" w:type="dxa"/>
                    <w:left w:w="0" w:type="dxa"/>
                    <w:bottom w:w="0" w:type="dxa"/>
                    <w:right w:w="0" w:type="dxa"/>
                  </w:tcMar>
                  <w:vAlign w:val="center"/>
                </w:tcPr>
                <w:p w14:paraId="6E84E1B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1727DA58">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9BD6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6DAB212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restart"/>
                  <w:noWrap w:val="0"/>
                  <w:tcMar>
                    <w:top w:w="0" w:type="dxa"/>
                    <w:left w:w="0" w:type="dxa"/>
                    <w:bottom w:w="0" w:type="dxa"/>
                    <w:right w:w="0" w:type="dxa"/>
                  </w:tcMar>
                  <w:vAlign w:val="center"/>
                </w:tcPr>
                <w:p w14:paraId="15F12EF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资源开发效率要求</w:t>
                  </w:r>
                </w:p>
              </w:tc>
              <w:tc>
                <w:tcPr>
                  <w:tcW w:w="3663" w:type="dxa"/>
                  <w:noWrap w:val="0"/>
                  <w:tcMar>
                    <w:top w:w="0" w:type="dxa"/>
                    <w:left w:w="0" w:type="dxa"/>
                    <w:bottom w:w="0" w:type="dxa"/>
                    <w:right w:w="0" w:type="dxa"/>
                  </w:tcMar>
                  <w:vAlign w:val="center"/>
                </w:tcPr>
                <w:p w14:paraId="0DA562C7">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1.新建和改、扩建的工业项目清洁生产水平应达到国内先进水平；</w:t>
                  </w:r>
                </w:p>
              </w:tc>
              <w:tc>
                <w:tcPr>
                  <w:tcW w:w="1595" w:type="dxa"/>
                  <w:vMerge w:val="restart"/>
                  <w:noWrap w:val="0"/>
                  <w:tcMar>
                    <w:top w:w="0" w:type="dxa"/>
                    <w:left w:w="0" w:type="dxa"/>
                    <w:bottom w:w="0" w:type="dxa"/>
                    <w:right w:w="0" w:type="dxa"/>
                  </w:tcMar>
                  <w:vAlign w:val="center"/>
                </w:tcPr>
                <w:p w14:paraId="169B36AF">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eastAsia" w:ascii="Times New Roman" w:hAnsi="Times New Roman" w:eastAsia="宋体" w:cs="Times New Roman"/>
                      <w:color w:val="auto"/>
                      <w:spacing w:val="0"/>
                      <w:sz w:val="21"/>
                      <w:highlight w:val="none"/>
                      <w:lang w:eastAsia="zh-CN"/>
                    </w:rPr>
                    <w:t>本</w:t>
                  </w:r>
                  <w:r>
                    <w:rPr>
                      <w:rFonts w:hint="eastAsia" w:ascii="Times New Roman" w:hAnsi="Times New Roman" w:eastAsia="宋体" w:cs="Times New Roman"/>
                      <w:color w:val="auto"/>
                      <w:spacing w:val="0"/>
                      <w:sz w:val="21"/>
                      <w:highlight w:val="none"/>
                      <w:lang w:val="en-US" w:eastAsia="zh-CN"/>
                    </w:rPr>
                    <w:t>项目为动物医院</w:t>
                  </w:r>
                  <w:r>
                    <w:rPr>
                      <w:rFonts w:hint="eastAsia" w:ascii="Times New Roman" w:hAnsi="Times New Roman" w:eastAsia="宋体" w:cs="Times New Roman"/>
                      <w:color w:val="auto"/>
                      <w:spacing w:val="0"/>
                      <w:sz w:val="21"/>
                      <w:highlight w:val="none"/>
                      <w:lang w:eastAsia="zh-CN"/>
                    </w:rPr>
                    <w:t>扩建项目</w:t>
                  </w:r>
                  <w:r>
                    <w:rPr>
                      <w:rFonts w:hint="eastAsia" w:ascii="Times New Roman" w:hAnsi="Times New Roman" w:eastAsia="宋体" w:cs="Times New Roman"/>
                      <w:color w:val="auto"/>
                      <w:spacing w:val="0"/>
                      <w:sz w:val="21"/>
                      <w:highlight w:val="none"/>
                      <w:lang w:val="en-US" w:eastAsia="zh-CN"/>
                    </w:rPr>
                    <w:t>，不属于工业项目，在满足运营前提条件下优先选用节水设备。</w:t>
                  </w:r>
                </w:p>
              </w:tc>
              <w:tc>
                <w:tcPr>
                  <w:tcW w:w="414" w:type="dxa"/>
                  <w:noWrap w:val="0"/>
                  <w:tcMar>
                    <w:top w:w="0" w:type="dxa"/>
                    <w:left w:w="0" w:type="dxa"/>
                    <w:bottom w:w="0" w:type="dxa"/>
                    <w:right w:w="0" w:type="dxa"/>
                  </w:tcMar>
                  <w:vAlign w:val="center"/>
                </w:tcPr>
                <w:p w14:paraId="72452F6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6A958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73FAFB1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755AA504">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631B692">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2.加强工业节水改造，限制高耗水行业发展，加强重点监控用水单位监管。</w:t>
                  </w:r>
                </w:p>
              </w:tc>
              <w:tc>
                <w:tcPr>
                  <w:tcW w:w="1595" w:type="dxa"/>
                  <w:vMerge w:val="continue"/>
                  <w:noWrap w:val="0"/>
                  <w:tcMar>
                    <w:top w:w="0" w:type="dxa"/>
                    <w:left w:w="0" w:type="dxa"/>
                    <w:bottom w:w="0" w:type="dxa"/>
                    <w:right w:w="0" w:type="dxa"/>
                  </w:tcMar>
                  <w:vAlign w:val="center"/>
                </w:tcPr>
                <w:p w14:paraId="7B80216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3F37E5B5">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7035F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37ABB65D">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45B54D7E">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5CDCDFA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3.推进桃花溪流域中水回用工程建设，加快扬声桥污水处理厂尾水再生利用设施和管网建设。</w:t>
                  </w:r>
                </w:p>
              </w:tc>
              <w:tc>
                <w:tcPr>
                  <w:tcW w:w="1595" w:type="dxa"/>
                  <w:vMerge w:val="continue"/>
                  <w:noWrap w:val="0"/>
                  <w:tcMar>
                    <w:top w:w="0" w:type="dxa"/>
                    <w:left w:w="0" w:type="dxa"/>
                    <w:bottom w:w="0" w:type="dxa"/>
                    <w:right w:w="0" w:type="dxa"/>
                  </w:tcMar>
                  <w:vAlign w:val="center"/>
                </w:tcPr>
                <w:p w14:paraId="00E53136">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0017D560">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r w14:paraId="19555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 w:type="dxa"/>
                  <w:vMerge w:val="continue"/>
                  <w:noWrap w:val="0"/>
                  <w:tcMar>
                    <w:top w:w="0" w:type="dxa"/>
                    <w:left w:w="0" w:type="dxa"/>
                    <w:bottom w:w="0" w:type="dxa"/>
                    <w:right w:w="0" w:type="dxa"/>
                  </w:tcMar>
                  <w:vAlign w:val="center"/>
                </w:tcPr>
                <w:p w14:paraId="1D3BE15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594" w:type="dxa"/>
                  <w:vMerge w:val="continue"/>
                  <w:noWrap w:val="0"/>
                  <w:tcMar>
                    <w:top w:w="0" w:type="dxa"/>
                    <w:left w:w="0" w:type="dxa"/>
                    <w:bottom w:w="0" w:type="dxa"/>
                    <w:right w:w="0" w:type="dxa"/>
                  </w:tcMar>
                  <w:vAlign w:val="center"/>
                </w:tcPr>
                <w:p w14:paraId="199646E3">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3663" w:type="dxa"/>
                  <w:noWrap w:val="0"/>
                  <w:tcMar>
                    <w:top w:w="0" w:type="dxa"/>
                    <w:left w:w="0" w:type="dxa"/>
                    <w:bottom w:w="0" w:type="dxa"/>
                    <w:right w:w="0" w:type="dxa"/>
                  </w:tcMar>
                  <w:vAlign w:val="center"/>
                </w:tcPr>
                <w:p w14:paraId="28849828">
                  <w:pPr>
                    <w:pStyle w:val="51"/>
                    <w:keepNext w:val="0"/>
                    <w:keepLines w:val="0"/>
                    <w:pageBreakBefore w:val="0"/>
                    <w:tabs>
                      <w:tab w:val="left" w:pos="540"/>
                      <w:tab w:val="left" w:pos="1080"/>
                      <w:tab w:val="left" w:pos="18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4.加强城镇节水，开展公共建筑节水改造、城镇供水管网漏损治理工程。</w:t>
                  </w:r>
                </w:p>
              </w:tc>
              <w:tc>
                <w:tcPr>
                  <w:tcW w:w="1595" w:type="dxa"/>
                  <w:vMerge w:val="continue"/>
                  <w:noWrap w:val="0"/>
                  <w:tcMar>
                    <w:top w:w="0" w:type="dxa"/>
                    <w:left w:w="0" w:type="dxa"/>
                    <w:bottom w:w="0" w:type="dxa"/>
                    <w:right w:w="0" w:type="dxa"/>
                  </w:tcMar>
                  <w:vAlign w:val="center"/>
                </w:tcPr>
                <w:p w14:paraId="78041CFB">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p>
              </w:tc>
              <w:tc>
                <w:tcPr>
                  <w:tcW w:w="414" w:type="dxa"/>
                  <w:noWrap w:val="0"/>
                  <w:tcMar>
                    <w:top w:w="0" w:type="dxa"/>
                    <w:left w:w="0" w:type="dxa"/>
                    <w:bottom w:w="0" w:type="dxa"/>
                    <w:right w:w="0" w:type="dxa"/>
                  </w:tcMar>
                  <w:vAlign w:val="center"/>
                </w:tcPr>
                <w:p w14:paraId="392FDF82">
                  <w:pPr>
                    <w:pStyle w:val="51"/>
                    <w:keepNext w:val="0"/>
                    <w:keepLines w:val="0"/>
                    <w:pageBreakBefore w:val="0"/>
                    <w:tabs>
                      <w:tab w:val="left" w:pos="540"/>
                      <w:tab w:val="left" w:pos="1080"/>
                      <w:tab w:val="left" w:pos="1800"/>
                    </w:tabs>
                    <w:kinsoku/>
                    <w:wordWrap/>
                    <w:overflowPunct/>
                    <w:topLinePunct w:val="0"/>
                    <w:autoSpaceDE/>
                    <w:autoSpaceDN/>
                    <w:bidi w:val="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符合</w:t>
                  </w:r>
                </w:p>
              </w:tc>
            </w:tr>
          </w:tbl>
          <w:p w14:paraId="41A7FC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p>
        </w:tc>
      </w:tr>
      <w:tr w14:paraId="1B893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9" w:type="dxa"/>
            <w:noWrap w:val="0"/>
            <w:vAlign w:val="center"/>
          </w:tcPr>
          <w:p w14:paraId="1D047A48">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7101" w:type="dxa"/>
            <w:gridSpan w:val="3"/>
            <w:noWrap w:val="0"/>
            <w:vAlign w:val="center"/>
          </w:tcPr>
          <w:p w14:paraId="5BDCBA7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color w:val="auto"/>
                <w:sz w:val="24"/>
                <w:szCs w:val="24"/>
                <w:highlight w:val="none"/>
                <w:vertAlign w:val="baseline"/>
              </w:rPr>
            </w:pPr>
            <w:r>
              <w:rPr>
                <w:rFonts w:hint="default" w:ascii="Times New Roman" w:hAnsi="Times New Roman" w:eastAsia="宋体" w:cs="Times New Roman"/>
                <w:b/>
                <w:bCs/>
                <w:color w:val="auto"/>
                <w:sz w:val="24"/>
                <w:szCs w:val="24"/>
                <w:highlight w:val="none"/>
                <w:vertAlign w:val="baseline"/>
              </w:rPr>
              <w:t>与《产业结构调整指导目录》</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2024年本</w:t>
            </w:r>
            <w:r>
              <w:rPr>
                <w:rFonts w:hint="default" w:ascii="Times New Roman" w:hAnsi="Times New Roman" w:eastAsia="宋体" w:cs="Times New Roman"/>
                <w:b/>
                <w:bCs/>
                <w:color w:val="auto"/>
                <w:sz w:val="24"/>
                <w:szCs w:val="24"/>
                <w:highlight w:val="none"/>
                <w:vertAlign w:val="baseline"/>
                <w:lang w:eastAsia="zh-CN"/>
              </w:rPr>
              <w:t>）</w:t>
            </w:r>
            <w:r>
              <w:rPr>
                <w:rFonts w:hint="default" w:ascii="Times New Roman" w:hAnsi="Times New Roman" w:eastAsia="宋体" w:cs="Times New Roman"/>
                <w:b/>
                <w:bCs/>
                <w:color w:val="auto"/>
                <w:sz w:val="24"/>
                <w:szCs w:val="24"/>
                <w:highlight w:val="none"/>
                <w:vertAlign w:val="baseline"/>
              </w:rPr>
              <w:t>符合性分析</w:t>
            </w:r>
          </w:p>
          <w:p w14:paraId="3028117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根据《产业结构调整指导目录（20</w:t>
            </w:r>
            <w:r>
              <w:rPr>
                <w:rFonts w:hint="default" w:ascii="Times New Roman" w:hAnsi="Times New Roman" w:cs="Times New Roman"/>
                <w:b w:val="0"/>
                <w:bCs w:val="0"/>
                <w:color w:val="auto"/>
                <w:kern w:val="0"/>
                <w:sz w:val="24"/>
                <w:szCs w:val="24"/>
                <w:highlight w:val="none"/>
                <w:lang w:val="en-US" w:eastAsia="zh-CN"/>
              </w:rPr>
              <w:t>24</w:t>
            </w:r>
            <w:r>
              <w:rPr>
                <w:rFonts w:hint="default" w:ascii="Times New Roman" w:hAnsi="Times New Roman" w:eastAsia="宋体" w:cs="Times New Roman"/>
                <w:b w:val="0"/>
                <w:bCs w:val="0"/>
                <w:color w:val="auto"/>
                <w:kern w:val="0"/>
                <w:sz w:val="24"/>
                <w:szCs w:val="24"/>
                <w:highlight w:val="none"/>
                <w:lang w:val="en-US" w:eastAsia="zh-CN"/>
              </w:rPr>
              <w:t>年本）》，拟建项目不属于鼓励类、限制类和淘汰类，属于允许类项目，符合国家产业政策。</w:t>
            </w:r>
          </w:p>
          <w:p w14:paraId="23391A2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此外，项目</w:t>
            </w:r>
            <w:r>
              <w:rPr>
                <w:rFonts w:hint="eastAsia" w:cs="Times New Roman"/>
                <w:b w:val="0"/>
                <w:bCs w:val="0"/>
                <w:color w:val="auto"/>
                <w:kern w:val="0"/>
                <w:sz w:val="24"/>
                <w:szCs w:val="24"/>
                <w:highlight w:val="none"/>
                <w:lang w:val="en-US" w:eastAsia="zh-CN"/>
              </w:rPr>
              <w:t>已</w:t>
            </w:r>
            <w:r>
              <w:rPr>
                <w:rFonts w:hint="default" w:ascii="Times New Roman" w:hAnsi="Times New Roman" w:eastAsia="宋体" w:cs="Times New Roman"/>
                <w:b w:val="0"/>
                <w:bCs w:val="0"/>
                <w:color w:val="auto"/>
                <w:kern w:val="0"/>
                <w:sz w:val="24"/>
                <w:szCs w:val="24"/>
                <w:highlight w:val="none"/>
                <w:lang w:val="en-US" w:eastAsia="zh-CN"/>
              </w:rPr>
              <w:t>取得</w:t>
            </w:r>
            <w:r>
              <w:rPr>
                <w:rFonts w:hint="eastAsia" w:ascii="Times New Roman" w:hAnsi="Times New Roman" w:eastAsia="宋体" w:cs="Times New Roman"/>
                <w:b w:val="0"/>
                <w:bCs w:val="0"/>
                <w:color w:val="auto"/>
                <w:kern w:val="0"/>
                <w:sz w:val="24"/>
                <w:szCs w:val="24"/>
                <w:highlight w:val="none"/>
                <w:lang w:val="en-US" w:eastAsia="zh-CN"/>
              </w:rPr>
              <w:t>重庆市九龙坡区发展和改革委员会</w:t>
            </w:r>
            <w:r>
              <w:rPr>
                <w:rFonts w:hint="eastAsia" w:cs="Times New Roman"/>
                <w:b w:val="0"/>
                <w:bCs w:val="0"/>
                <w:color w:val="auto"/>
                <w:kern w:val="0"/>
                <w:sz w:val="24"/>
                <w:szCs w:val="24"/>
                <w:highlight w:val="none"/>
                <w:lang w:val="en-US" w:eastAsia="zh-CN"/>
              </w:rPr>
              <w:t>下发的备案证（</w:t>
            </w:r>
            <w:r>
              <w:rPr>
                <w:rFonts w:hint="default" w:ascii="Times New Roman" w:hAnsi="Times New Roman" w:eastAsia="宋体" w:cs="Times New Roman"/>
                <w:b w:val="0"/>
                <w:bCs w:val="0"/>
                <w:color w:val="auto"/>
                <w:kern w:val="0"/>
                <w:sz w:val="24"/>
                <w:szCs w:val="24"/>
                <w:highlight w:val="none"/>
                <w:lang w:val="en-US" w:eastAsia="zh-CN"/>
              </w:rPr>
              <w:t>2507-500107-04-03-466402</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，拟建项目符合产业政策的要求。</w:t>
            </w:r>
          </w:p>
          <w:p w14:paraId="7B65D35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eastAsia" w:cs="Times New Roman"/>
                <w:b/>
                <w:bCs/>
                <w:color w:val="000000" w:themeColor="text1"/>
                <w:sz w:val="24"/>
                <w:szCs w:val="24"/>
                <w:highlight w:val="none"/>
                <w:vertAlign w:val="baseline"/>
                <w:lang w:val="en-US" w:eastAsia="zh-CN"/>
                <w14:textFill>
                  <w14:solidFill>
                    <w14:schemeClr w14:val="tx1"/>
                  </w14:solidFill>
                </w14:textFill>
              </w:rPr>
              <w:t>其他</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政策</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4D3513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3.1与《重庆市发展和改革委员会关于印发重庆市产业投资准入工作手册的通知》</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渝发改投资</w:t>
            </w:r>
            <w:r>
              <w:rPr>
                <w:rFonts w:hint="eastAsia" w:cs="Times New Roman"/>
                <w:b/>
                <w:bCs/>
                <w:color w:val="000000" w:themeColor="text1"/>
                <w:sz w:val="24"/>
                <w:szCs w:val="24"/>
                <w:highlight w:val="none"/>
                <w:vertAlign w:val="baseline"/>
                <w:lang w:eastAsia="zh-CN"/>
                <w14:textFill>
                  <w14:solidFill>
                    <w14:schemeClr w14:val="tx1"/>
                  </w14:solidFill>
                </w14:textFill>
              </w:rPr>
              <w:t>〔2022〕1436号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2DB381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拟建项目与重庆市产业投资准入工作手册符合性分析见表1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44F891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 xml:space="preserve">.3-1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重庆市产业投资准入工作手册符合性分析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976"/>
              <w:gridCol w:w="1464"/>
              <w:gridCol w:w="825"/>
            </w:tblGrid>
            <w:tr w14:paraId="1C005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D336A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p>
              </w:tc>
              <w:tc>
                <w:tcPr>
                  <w:tcW w:w="2899" w:type="pct"/>
                  <w:tcBorders>
                    <w:tl2br w:val="nil"/>
                    <w:tr2bl w:val="nil"/>
                  </w:tcBorders>
                  <w:noWrap w:val="0"/>
                  <w:vAlign w:val="center"/>
                </w:tcPr>
                <w:p w14:paraId="1BD401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相关准入条件（摘录）</w:t>
                  </w:r>
                </w:p>
              </w:tc>
              <w:tc>
                <w:tcPr>
                  <w:tcW w:w="1068" w:type="pct"/>
                  <w:tcBorders>
                    <w:tl2br w:val="nil"/>
                    <w:tr2bl w:val="nil"/>
                  </w:tcBorders>
                  <w:noWrap w:val="0"/>
                  <w:vAlign w:val="center"/>
                </w:tcPr>
                <w:p w14:paraId="0C4BD4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拟建项目情况</w:t>
                  </w:r>
                </w:p>
              </w:tc>
              <w:tc>
                <w:tcPr>
                  <w:tcW w:w="601" w:type="pct"/>
                  <w:tcBorders>
                    <w:tl2br w:val="nil"/>
                    <w:tr2bl w:val="nil"/>
                  </w:tcBorders>
                  <w:noWrap w:val="0"/>
                  <w:vAlign w:val="center"/>
                </w:tcPr>
                <w:p w14:paraId="732A67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0037E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089EE8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一、全市范围内不予准入的产业</w:t>
                  </w:r>
                </w:p>
              </w:tc>
            </w:tr>
            <w:tr w14:paraId="4AD05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AA352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899" w:type="pct"/>
                  <w:tcBorders>
                    <w:tl2br w:val="nil"/>
                    <w:tr2bl w:val="nil"/>
                  </w:tcBorders>
                  <w:noWrap w:val="0"/>
                  <w:vAlign w:val="center"/>
                </w:tcPr>
                <w:p w14:paraId="34AC72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国家产业结构调整指导目录中的淘汰类</w:t>
                  </w:r>
                </w:p>
              </w:tc>
              <w:tc>
                <w:tcPr>
                  <w:tcW w:w="1068" w:type="pct"/>
                  <w:tcBorders>
                    <w:tl2br w:val="nil"/>
                    <w:tr2bl w:val="nil"/>
                  </w:tcBorders>
                  <w:noWrap w:val="0"/>
                  <w:vAlign w:val="center"/>
                </w:tcPr>
                <w:p w14:paraId="455C92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项目为O822</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2宠物医院</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服务，属于《产业结构调整指导目录（20</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年本）》允许类</w:t>
                  </w:r>
                </w:p>
              </w:tc>
              <w:tc>
                <w:tcPr>
                  <w:tcW w:w="601" w:type="pct"/>
                  <w:tcBorders>
                    <w:tl2br w:val="nil"/>
                    <w:tr2bl w:val="nil"/>
                  </w:tcBorders>
                  <w:noWrap w:val="0"/>
                  <w:vAlign w:val="center"/>
                </w:tcPr>
                <w:p w14:paraId="76317D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76ED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0279F4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899" w:type="pct"/>
                  <w:tcBorders>
                    <w:tl2br w:val="nil"/>
                    <w:tr2bl w:val="nil"/>
                  </w:tcBorders>
                  <w:noWrap w:val="0"/>
                  <w:vAlign w:val="center"/>
                </w:tcPr>
                <w:p w14:paraId="115FF4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天然林商业性采伐</w:t>
                  </w:r>
                </w:p>
              </w:tc>
              <w:tc>
                <w:tcPr>
                  <w:tcW w:w="1068" w:type="pct"/>
                  <w:tcBorders>
                    <w:tl2br w:val="nil"/>
                    <w:tr2bl w:val="nil"/>
                  </w:tcBorders>
                  <w:noWrap w:val="0"/>
                  <w:vAlign w:val="center"/>
                </w:tcPr>
                <w:p w14:paraId="12C7F0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拟建项目不属于天然林商业性采伐</w:t>
                  </w:r>
                </w:p>
              </w:tc>
              <w:tc>
                <w:tcPr>
                  <w:tcW w:w="601" w:type="pct"/>
                  <w:tcBorders>
                    <w:tl2br w:val="nil"/>
                    <w:tr2bl w:val="nil"/>
                  </w:tcBorders>
                  <w:noWrap w:val="0"/>
                  <w:vAlign w:val="center"/>
                </w:tcPr>
                <w:p w14:paraId="4B4C83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3B59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FCB53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899" w:type="pct"/>
                  <w:tcBorders>
                    <w:tl2br w:val="nil"/>
                    <w:tr2bl w:val="nil"/>
                  </w:tcBorders>
                  <w:noWrap w:val="0"/>
                  <w:vAlign w:val="center"/>
                </w:tcPr>
                <w:p w14:paraId="725250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法律法规和相关政策明令不予准入的其他项目</w:t>
                  </w:r>
                </w:p>
              </w:tc>
              <w:tc>
                <w:tcPr>
                  <w:tcW w:w="1068" w:type="pct"/>
                  <w:tcBorders>
                    <w:tl2br w:val="nil"/>
                    <w:tr2bl w:val="nil"/>
                  </w:tcBorders>
                  <w:noWrap w:val="0"/>
                  <w:vAlign w:val="center"/>
                </w:tcPr>
                <w:p w14:paraId="4F0B1F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拟建项目不属于法律法规和相关政策明令不予准入的其他项目</w:t>
                  </w:r>
                </w:p>
              </w:tc>
              <w:tc>
                <w:tcPr>
                  <w:tcW w:w="601" w:type="pct"/>
                  <w:tcBorders>
                    <w:tl2br w:val="nil"/>
                    <w:tr2bl w:val="nil"/>
                  </w:tcBorders>
                  <w:noWrap w:val="0"/>
                  <w:vAlign w:val="center"/>
                </w:tcPr>
                <w:p w14:paraId="6F70F4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11C9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5968B9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二、重点区域范围内不予准入的产业</w:t>
                  </w:r>
                </w:p>
              </w:tc>
            </w:tr>
            <w:tr w14:paraId="4763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70AA53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899" w:type="pct"/>
                  <w:tcBorders>
                    <w:tl2br w:val="nil"/>
                    <w:tr2bl w:val="nil"/>
                  </w:tcBorders>
                  <w:noWrap w:val="0"/>
                  <w:vAlign w:val="center"/>
                </w:tcPr>
                <w:p w14:paraId="518195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外环绕城高速公路以内长江、嘉陵江水域采砂。</w:t>
                  </w:r>
                </w:p>
              </w:tc>
              <w:tc>
                <w:tcPr>
                  <w:tcW w:w="1068" w:type="pct"/>
                  <w:tcBorders>
                    <w:tl2br w:val="nil"/>
                    <w:tr2bl w:val="nil"/>
                  </w:tcBorders>
                  <w:noWrap w:val="0"/>
                  <w:vAlign w:val="center"/>
                </w:tcPr>
                <w:p w14:paraId="759305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拟建项目不属于左列项目</w:t>
                  </w:r>
                </w:p>
              </w:tc>
              <w:tc>
                <w:tcPr>
                  <w:tcW w:w="601" w:type="pct"/>
                  <w:tcBorders>
                    <w:tl2br w:val="nil"/>
                    <w:tr2bl w:val="nil"/>
                  </w:tcBorders>
                  <w:noWrap w:val="0"/>
                  <w:vAlign w:val="center"/>
                </w:tcPr>
                <w:p w14:paraId="5C327C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D110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12FD1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899" w:type="pct"/>
                  <w:tcBorders>
                    <w:tl2br w:val="nil"/>
                    <w:tr2bl w:val="nil"/>
                  </w:tcBorders>
                  <w:noWrap w:val="0"/>
                  <w:vAlign w:val="center"/>
                </w:tcPr>
                <w:p w14:paraId="3F02BB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二十五度以上陡坡地开垦种植农作物。</w:t>
                  </w:r>
                </w:p>
              </w:tc>
              <w:tc>
                <w:tcPr>
                  <w:tcW w:w="1068" w:type="pct"/>
                  <w:tcBorders>
                    <w:tl2br w:val="nil"/>
                    <w:tr2bl w:val="nil"/>
                  </w:tcBorders>
                  <w:noWrap w:val="0"/>
                  <w:vAlign w:val="center"/>
                </w:tcPr>
                <w:p w14:paraId="3A2912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649E6A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6A42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06CE6F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899" w:type="pct"/>
                  <w:tcBorders>
                    <w:tl2br w:val="nil"/>
                    <w:tr2bl w:val="nil"/>
                  </w:tcBorders>
                  <w:noWrap w:val="0"/>
                  <w:vAlign w:val="center"/>
                </w:tcPr>
                <w:p w14:paraId="1624A6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在自然保护区核心区、缓冲区的岸线和河段范围内投资建设旅游和生产经营项目。</w:t>
                  </w:r>
                </w:p>
              </w:tc>
              <w:tc>
                <w:tcPr>
                  <w:tcW w:w="1068" w:type="pct"/>
                  <w:tcBorders>
                    <w:tl2br w:val="nil"/>
                    <w:tr2bl w:val="nil"/>
                  </w:tcBorders>
                  <w:noWrap w:val="0"/>
                  <w:vAlign w:val="center"/>
                </w:tcPr>
                <w:p w14:paraId="1FB514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2E0DBE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B3A1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685A57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899" w:type="pct"/>
                  <w:tcBorders>
                    <w:tl2br w:val="nil"/>
                    <w:tr2bl w:val="nil"/>
                  </w:tcBorders>
                  <w:noWrap w:val="0"/>
                  <w:vAlign w:val="center"/>
                </w:tcPr>
                <w:p w14:paraId="7A1093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饮用水水源一级保护区的岸线和河段范围内新建、改建、与供水设施和保护水源无关的项目，以及网箱养殖、畜禽养殖、放养畜禽、旅游等可能污染饮用水水体的投资建设项目。在饮用水水源二级保护区的岸线和河段范围内新建、改建、排放污染物的投资建设项目。</w:t>
                  </w:r>
                </w:p>
              </w:tc>
              <w:tc>
                <w:tcPr>
                  <w:tcW w:w="1068" w:type="pct"/>
                  <w:tcBorders>
                    <w:tl2br w:val="nil"/>
                    <w:tr2bl w:val="nil"/>
                  </w:tcBorders>
                  <w:noWrap w:val="0"/>
                  <w:vAlign w:val="center"/>
                </w:tcPr>
                <w:p w14:paraId="28C6B9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拟建项目不涉及饮用水水源</w:t>
                  </w:r>
                </w:p>
              </w:tc>
              <w:tc>
                <w:tcPr>
                  <w:tcW w:w="601" w:type="pct"/>
                  <w:tcBorders>
                    <w:tl2br w:val="nil"/>
                    <w:tr2bl w:val="nil"/>
                  </w:tcBorders>
                  <w:noWrap w:val="0"/>
                  <w:vAlign w:val="center"/>
                </w:tcPr>
                <w:p w14:paraId="5B7EF8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4D3E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1B7B1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899" w:type="pct"/>
                  <w:tcBorders>
                    <w:tl2br w:val="nil"/>
                    <w:tr2bl w:val="nil"/>
                  </w:tcBorders>
                  <w:noWrap w:val="0"/>
                  <w:vAlign w:val="center"/>
                </w:tcPr>
                <w:p w14:paraId="72990C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长江干流岸线3公里范围内和重要支流岸线1公里范围内新建、改建、扩建尾矿库、冶炼渣库和磷石膏库（以提升安全、生态环境保护水平为目的的改建除外）</w:t>
                  </w:r>
                </w:p>
              </w:tc>
              <w:tc>
                <w:tcPr>
                  <w:tcW w:w="1068" w:type="pct"/>
                  <w:tcBorders>
                    <w:tl2br w:val="nil"/>
                    <w:tr2bl w:val="nil"/>
                  </w:tcBorders>
                  <w:noWrap w:val="0"/>
                  <w:vAlign w:val="center"/>
                </w:tcPr>
                <w:p w14:paraId="239BED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拟建项目不属于左列项目</w:t>
                  </w:r>
                </w:p>
              </w:tc>
              <w:tc>
                <w:tcPr>
                  <w:tcW w:w="601" w:type="pct"/>
                  <w:tcBorders>
                    <w:tl2br w:val="nil"/>
                    <w:tr2bl w:val="nil"/>
                  </w:tcBorders>
                  <w:noWrap w:val="0"/>
                  <w:vAlign w:val="center"/>
                </w:tcPr>
                <w:p w14:paraId="00D124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C131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229542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899" w:type="pct"/>
                  <w:tcBorders>
                    <w:tl2br w:val="nil"/>
                    <w:tr2bl w:val="nil"/>
                  </w:tcBorders>
                  <w:noWrap w:val="0"/>
                  <w:vAlign w:val="center"/>
                </w:tcPr>
                <w:p w14:paraId="2D57C4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在风景名胜区核心景区的岸线和河段范围内投资建设与风景名胜资源保护无关的项目。</w:t>
                  </w:r>
                </w:p>
              </w:tc>
              <w:tc>
                <w:tcPr>
                  <w:tcW w:w="1068" w:type="pct"/>
                  <w:tcBorders>
                    <w:tl2br w:val="nil"/>
                    <w:tr2bl w:val="nil"/>
                  </w:tcBorders>
                  <w:noWrap w:val="0"/>
                  <w:vAlign w:val="center"/>
                </w:tcPr>
                <w:p w14:paraId="6BE49D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378E78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4C57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48B6B0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899" w:type="pct"/>
                  <w:tcBorders>
                    <w:tl2br w:val="nil"/>
                    <w:tr2bl w:val="nil"/>
                  </w:tcBorders>
                  <w:noWrap w:val="0"/>
                  <w:vAlign w:val="center"/>
                </w:tcPr>
                <w:p w14:paraId="6825CF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在国家湿地公园的岸线和河段范围内挖沙、采矿，以及任何不符合主体功能定位的投资建设项目。</w:t>
                  </w:r>
                </w:p>
              </w:tc>
              <w:tc>
                <w:tcPr>
                  <w:tcW w:w="1068" w:type="pct"/>
                  <w:tcBorders>
                    <w:tl2br w:val="nil"/>
                    <w:tr2bl w:val="nil"/>
                  </w:tcBorders>
                  <w:noWrap w:val="0"/>
                  <w:vAlign w:val="center"/>
                </w:tcPr>
                <w:p w14:paraId="3ACDCB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22227F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3EAE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631B93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899" w:type="pct"/>
                  <w:tcBorders>
                    <w:tl2br w:val="nil"/>
                    <w:tr2bl w:val="nil"/>
                  </w:tcBorders>
                  <w:noWrap w:val="0"/>
                  <w:vAlign w:val="center"/>
                </w:tcPr>
                <w:p w14:paraId="532249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在《长江岸线保护和开发利用总体规划》划定的岸线保护区和保留区内投资建设除事关公共安全及公众利益的防洪护岸、河道治理、供水、生态环境保护、航道整治、国家重要基础设施以外的项目。</w:t>
                  </w:r>
                </w:p>
              </w:tc>
              <w:tc>
                <w:tcPr>
                  <w:tcW w:w="1068" w:type="pct"/>
                  <w:tcBorders>
                    <w:tl2br w:val="nil"/>
                    <w:tr2bl w:val="nil"/>
                  </w:tcBorders>
                  <w:noWrap w:val="0"/>
                  <w:vAlign w:val="center"/>
                </w:tcPr>
                <w:p w14:paraId="61DBCD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6023FA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59CE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FB492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899" w:type="pct"/>
                  <w:tcBorders>
                    <w:tl2br w:val="nil"/>
                    <w:tr2bl w:val="nil"/>
                  </w:tcBorders>
                  <w:noWrap w:val="0"/>
                  <w:vAlign w:val="center"/>
                </w:tcPr>
                <w:p w14:paraId="21EED3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在《全国重要江河湖泊水功能区划》划定的河段及湖泊保护区、保留区内投资建设不利于水资源及自然生态保护的项目。</w:t>
                  </w:r>
                </w:p>
              </w:tc>
              <w:tc>
                <w:tcPr>
                  <w:tcW w:w="1068" w:type="pct"/>
                  <w:tcBorders>
                    <w:tl2br w:val="nil"/>
                    <w:tr2bl w:val="nil"/>
                  </w:tcBorders>
                  <w:noWrap w:val="0"/>
                  <w:vAlign w:val="center"/>
                </w:tcPr>
                <w:p w14:paraId="2CD3F0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w:t>
                  </w:r>
                </w:p>
              </w:tc>
              <w:tc>
                <w:tcPr>
                  <w:tcW w:w="601" w:type="pct"/>
                  <w:tcBorders>
                    <w:tl2br w:val="nil"/>
                    <w:tr2bl w:val="nil"/>
                  </w:tcBorders>
                  <w:noWrap w:val="0"/>
                  <w:vAlign w:val="center"/>
                </w:tcPr>
                <w:p w14:paraId="119E50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1030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1ABCB4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三、全市范围内限制准入的产业</w:t>
                  </w:r>
                </w:p>
              </w:tc>
            </w:tr>
            <w:tr w14:paraId="0AF06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3330" w:type="pct"/>
                  <w:gridSpan w:val="2"/>
                  <w:tcBorders>
                    <w:tl2br w:val="nil"/>
                    <w:tr2bl w:val="nil"/>
                  </w:tcBorders>
                  <w:noWrap w:val="0"/>
                  <w:vAlign w:val="center"/>
                </w:tcPr>
                <w:p w14:paraId="4A12801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1、新建、不符合国家产能置换要求的严重过剩产能行业的项目。新建、不符合要求的高耗能高排放项目。</w:t>
                  </w:r>
                </w:p>
                <w:p w14:paraId="1BF23BB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2、新建、不符合国家石化、现代煤化工等产业布局规划的项目。</w:t>
                  </w:r>
                </w:p>
                <w:p w14:paraId="4859ABC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3、在合规园区外新建、钢铁、石化、化工、焦化、建材、有色、制浆造纸等高污染项目。</w:t>
                  </w:r>
                </w:p>
                <w:p w14:paraId="5539BF3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4、《汽车产业投资管理规定》（国家发展和改革委员会令第22号）明确禁止建设的汽车投资项目。</w:t>
                  </w:r>
                </w:p>
              </w:tc>
              <w:tc>
                <w:tcPr>
                  <w:tcW w:w="1068" w:type="pct"/>
                  <w:tcBorders>
                    <w:tl2br w:val="nil"/>
                    <w:tr2bl w:val="nil"/>
                  </w:tcBorders>
                  <w:noWrap w:val="0"/>
                  <w:vAlign w:val="center"/>
                </w:tcPr>
                <w:p w14:paraId="0C6F12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1、项目属于宠物医院扩建项目，不属于高耗能高排放项目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2、项目不属于石化、现代煤化工项目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3、项目不属于新建、钢铁、石化、化工、焦化、建材、有色、制浆造纸等高污染项目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4、项目不属于文件规定的禁止投资的项目。</w:t>
                  </w:r>
                </w:p>
              </w:tc>
              <w:tc>
                <w:tcPr>
                  <w:tcW w:w="601" w:type="pct"/>
                  <w:tcBorders>
                    <w:tl2br w:val="nil"/>
                    <w:tr2bl w:val="nil"/>
                  </w:tcBorders>
                  <w:noWrap w:val="0"/>
                  <w:vAlign w:val="center"/>
                </w:tcPr>
                <w:p w14:paraId="762D9D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4FDA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362153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四、重点区域范围内限制准入的产业</w:t>
                  </w:r>
                </w:p>
              </w:tc>
            </w:tr>
            <w:tr w14:paraId="47979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pct"/>
                  <w:gridSpan w:val="2"/>
                  <w:tcBorders>
                    <w:tl2br w:val="nil"/>
                    <w:tr2bl w:val="nil"/>
                  </w:tcBorders>
                  <w:noWrap w:val="0"/>
                  <w:vAlign w:val="center"/>
                </w:tcPr>
                <w:p w14:paraId="1137D7C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长江干支流、重要湖泊岸线1公里范围内新建、化工园区和化工项目，长江、嘉陵江、乌江岸线1公里范围内布局新建纸浆制造、印染等存在环境风险的项目。</w:t>
                  </w:r>
                </w:p>
                <w:p w14:paraId="21BAEE95">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在水产种质资源保护区的岸线和河段范围内新建围湖造田等投资建设项目。</w:t>
                  </w:r>
                </w:p>
              </w:tc>
              <w:tc>
                <w:tcPr>
                  <w:tcW w:w="1068" w:type="pct"/>
                  <w:tcBorders>
                    <w:tl2br w:val="nil"/>
                    <w:tr2bl w:val="nil"/>
                  </w:tcBorders>
                  <w:noWrap w:val="0"/>
                  <w:vAlign w:val="center"/>
                </w:tcPr>
                <w:p w14:paraId="7B5A68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项目属于宠物医院扩建项目，项目不属于新建、化工园区和化工项目，不属于新建纸浆制造、印染等存在环境风险的项目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不属于围湖造田等项目</w:t>
                  </w:r>
                </w:p>
              </w:tc>
              <w:tc>
                <w:tcPr>
                  <w:tcW w:w="601" w:type="pct"/>
                  <w:tcBorders>
                    <w:tl2br w:val="nil"/>
                    <w:tr2bl w:val="nil"/>
                  </w:tcBorders>
                  <w:noWrap w:val="0"/>
                  <w:vAlign w:val="center"/>
                </w:tcPr>
                <w:p w14:paraId="06C961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63A81FC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可见，拟建项目的建设符合《重庆市发展和改革委员会重庆市经济和信息化委员会关于严格工业布局和准入的通知》的相关要求。</w:t>
            </w:r>
          </w:p>
          <w:p w14:paraId="2F9F7AE4">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3.2与《长江经济带发展负面清单指南（试行，2022年版）》（长江办（2022）</w:t>
            </w:r>
          </w:p>
          <w:p w14:paraId="6470896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7号）的符合性</w:t>
            </w:r>
          </w:p>
          <w:p w14:paraId="4387835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根据推动长江经济带发展领导小组办公室</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关于印发《长江经济带发展负面清单指南（试行，2022年版）》的通知</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(长江办</w:t>
            </w:r>
            <w:r>
              <w:rPr>
                <w:rFonts w:hint="eastAsia" w:cs="Times New Roman"/>
                <w:b w:val="0"/>
                <w:bCs w:val="0"/>
                <w:color w:val="000000" w:themeColor="text1"/>
                <w:kern w:val="0"/>
                <w:sz w:val="24"/>
                <w:szCs w:val="24"/>
                <w:highlight w:val="none"/>
                <w:lang w:val="en-US" w:eastAsia="zh-CN"/>
                <w14:textFill>
                  <w14:solidFill>
                    <w14:schemeClr w14:val="tx1"/>
                  </w14:solidFill>
                </w14:textFill>
              </w:rPr>
              <w:t>〔2022〕7号</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)，拟建项目与文件符合性见表</w:t>
            </w:r>
            <w:r>
              <w:rPr>
                <w:rFonts w:hint="eastAsia" w:cs="Times New Roman"/>
                <w:b w:val="0"/>
                <w:bCs w:val="0"/>
                <w:color w:val="000000" w:themeColor="text1"/>
                <w:kern w:val="0"/>
                <w:sz w:val="24"/>
                <w:szCs w:val="24"/>
                <w:highlight w:val="none"/>
                <w:lang w:val="en-US" w:eastAsia="zh-CN"/>
                <w14:textFill>
                  <w14:solidFill>
                    <w14:schemeClr w14:val="tx1"/>
                  </w14:solidFill>
                </w14:textFill>
              </w:rPr>
              <w:t>1.3-2</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p>
          <w:p w14:paraId="1027C5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.3-2</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《长江经济带发展负面清单指南（试行，2022年版）》符合性分析表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382"/>
              <w:gridCol w:w="1911"/>
              <w:gridCol w:w="876"/>
            </w:tblGrid>
            <w:tr w14:paraId="24D75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162CF4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466" w:type="pct"/>
                  <w:tcBorders>
                    <w:tl2br w:val="nil"/>
                    <w:tr2bl w:val="nil"/>
                  </w:tcBorders>
                  <w:noWrap w:val="0"/>
                  <w:vAlign w:val="center"/>
                </w:tcPr>
                <w:p w14:paraId="709D6B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《长江经济带发展负面清单指南（试行，2022年版）》</w:t>
                  </w:r>
                </w:p>
              </w:tc>
              <w:tc>
                <w:tcPr>
                  <w:tcW w:w="1393" w:type="pct"/>
                  <w:tcBorders>
                    <w:tl2br w:val="nil"/>
                    <w:tr2bl w:val="nil"/>
                  </w:tcBorders>
                  <w:noWrap w:val="0"/>
                  <w:vAlign w:val="center"/>
                </w:tcPr>
                <w:p w14:paraId="0D3226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639" w:type="pct"/>
                  <w:tcBorders>
                    <w:tl2br w:val="nil"/>
                    <w:tr2bl w:val="nil"/>
                  </w:tcBorders>
                  <w:noWrap w:val="0"/>
                  <w:vAlign w:val="center"/>
                </w:tcPr>
                <w:p w14:paraId="03BB51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53F3C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17B15B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466" w:type="pct"/>
                  <w:tcBorders>
                    <w:tl2br w:val="nil"/>
                    <w:tr2bl w:val="nil"/>
                  </w:tcBorders>
                  <w:noWrap w:val="0"/>
                  <w:vAlign w:val="center"/>
                </w:tcPr>
                <w:p w14:paraId="6977AD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393" w:type="pct"/>
                  <w:tcBorders>
                    <w:tl2br w:val="nil"/>
                    <w:tr2bl w:val="nil"/>
                  </w:tcBorders>
                  <w:noWrap w:val="0"/>
                  <w:vAlign w:val="center"/>
                </w:tcPr>
                <w:p w14:paraId="3620D6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项目不建设码头、长江通道</w:t>
                  </w:r>
                </w:p>
              </w:tc>
              <w:tc>
                <w:tcPr>
                  <w:tcW w:w="639" w:type="pct"/>
                  <w:tcBorders>
                    <w:tl2br w:val="nil"/>
                    <w:tr2bl w:val="nil"/>
                  </w:tcBorders>
                  <w:noWrap w:val="0"/>
                  <w:vAlign w:val="center"/>
                </w:tcPr>
                <w:p w14:paraId="53EE12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65BB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FCAA0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466" w:type="pct"/>
                  <w:tcBorders>
                    <w:tl2br w:val="nil"/>
                    <w:tr2bl w:val="nil"/>
                  </w:tcBorders>
                  <w:noWrap w:val="0"/>
                  <w:vAlign w:val="center"/>
                </w:tcPr>
                <w:p w14:paraId="5289F1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393" w:type="pct"/>
                  <w:tcBorders>
                    <w:tl2br w:val="nil"/>
                    <w:tr2bl w:val="nil"/>
                  </w:tcBorders>
                  <w:noWrap w:val="0"/>
                  <w:vAlign w:val="center"/>
                </w:tcPr>
                <w:p w14:paraId="1E3987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5C47B6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9F50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469C5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466" w:type="pct"/>
                  <w:tcBorders>
                    <w:tl2br w:val="nil"/>
                    <w:tr2bl w:val="nil"/>
                  </w:tcBorders>
                  <w:noWrap w:val="0"/>
                  <w:vAlign w:val="center"/>
                </w:tcPr>
                <w:p w14:paraId="109B2C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93" w:type="pct"/>
                  <w:tcBorders>
                    <w:tl2br w:val="nil"/>
                    <w:tr2bl w:val="nil"/>
                  </w:tcBorders>
                  <w:noWrap w:val="0"/>
                  <w:vAlign w:val="center"/>
                </w:tcPr>
                <w:p w14:paraId="197E4F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0FA356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DA43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F0C1F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466" w:type="pct"/>
                  <w:tcBorders>
                    <w:tl2br w:val="nil"/>
                    <w:tr2bl w:val="nil"/>
                  </w:tcBorders>
                  <w:noWrap w:val="0"/>
                  <w:vAlign w:val="center"/>
                </w:tcPr>
                <w:p w14:paraId="05A8BE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禁止在水产种质资源保护区的岸线和河段范围内新建围湖造田、图海造地或围填海等投资建设项目。禁止在国家湿地公园的岸线和河段范围内挖沙、采矿，以及任何不符合主体功能定位的投资建设项目。</w:t>
                  </w:r>
                </w:p>
              </w:tc>
              <w:tc>
                <w:tcPr>
                  <w:tcW w:w="1393" w:type="pct"/>
                  <w:tcBorders>
                    <w:tl2br w:val="nil"/>
                    <w:tr2bl w:val="nil"/>
                  </w:tcBorders>
                  <w:noWrap w:val="0"/>
                  <w:vAlign w:val="center"/>
                </w:tcPr>
                <w:p w14:paraId="40F545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项目不涉及上述区域</w:t>
                  </w:r>
                </w:p>
              </w:tc>
              <w:tc>
                <w:tcPr>
                  <w:tcW w:w="639" w:type="pct"/>
                  <w:tcBorders>
                    <w:tl2br w:val="nil"/>
                    <w:tr2bl w:val="nil"/>
                  </w:tcBorders>
                  <w:noWrap w:val="0"/>
                  <w:vAlign w:val="center"/>
                </w:tcPr>
                <w:p w14:paraId="6785F6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8B4C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5A0680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466" w:type="pct"/>
                  <w:tcBorders>
                    <w:tl2br w:val="nil"/>
                    <w:tr2bl w:val="nil"/>
                  </w:tcBorders>
                  <w:noWrap w:val="0"/>
                  <w:vAlign w:val="center"/>
                </w:tcPr>
                <w:p w14:paraId="23EEDB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离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93" w:type="pct"/>
                  <w:tcBorders>
                    <w:tl2br w:val="nil"/>
                    <w:tr2bl w:val="nil"/>
                  </w:tcBorders>
                  <w:noWrap w:val="0"/>
                  <w:vAlign w:val="center"/>
                </w:tcPr>
                <w:p w14:paraId="01A1FA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项目为动物医院，位于</w:t>
                  </w:r>
                  <w:r>
                    <w:rPr>
                      <w:rFonts w:hint="eastAsia" w:cs="Times New Roman"/>
                      <w:color w:val="000000" w:themeColor="text1"/>
                      <w:szCs w:val="21"/>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，不涉及上述区域</w:t>
                  </w:r>
                </w:p>
              </w:tc>
              <w:tc>
                <w:tcPr>
                  <w:tcW w:w="639" w:type="pct"/>
                  <w:tcBorders>
                    <w:tl2br w:val="nil"/>
                    <w:tr2bl w:val="nil"/>
                  </w:tcBorders>
                  <w:noWrap w:val="0"/>
                  <w:vAlign w:val="center"/>
                </w:tcPr>
                <w:p w14:paraId="5A54BD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47DC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DFC6C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466" w:type="pct"/>
                  <w:tcBorders>
                    <w:tl2br w:val="nil"/>
                    <w:tr2bl w:val="nil"/>
                  </w:tcBorders>
                  <w:noWrap w:val="0"/>
                  <w:vAlign w:val="center"/>
                </w:tcPr>
                <w:p w14:paraId="28E94A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禁止未经许可在长江干支流及湖泊新设、改设或扩大排污口。</w:t>
                  </w:r>
                </w:p>
              </w:tc>
              <w:tc>
                <w:tcPr>
                  <w:tcW w:w="1393" w:type="pct"/>
                  <w:tcBorders>
                    <w:tl2br w:val="nil"/>
                    <w:tr2bl w:val="nil"/>
                  </w:tcBorders>
                  <w:noWrap w:val="0"/>
                  <w:vAlign w:val="center"/>
                </w:tcPr>
                <w:p w14:paraId="78A5E5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项目不涉及排污口工程</w:t>
                  </w:r>
                </w:p>
              </w:tc>
              <w:tc>
                <w:tcPr>
                  <w:tcW w:w="639" w:type="pct"/>
                  <w:tcBorders>
                    <w:tl2br w:val="nil"/>
                    <w:tr2bl w:val="nil"/>
                  </w:tcBorders>
                  <w:noWrap w:val="0"/>
                  <w:vAlign w:val="center"/>
                </w:tcPr>
                <w:p w14:paraId="5CCF6F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CA8F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7DDDE5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466" w:type="pct"/>
                  <w:tcBorders>
                    <w:tl2br w:val="nil"/>
                    <w:tr2bl w:val="nil"/>
                  </w:tcBorders>
                  <w:noWrap w:val="0"/>
                  <w:vAlign w:val="center"/>
                </w:tcPr>
                <w:p w14:paraId="37B4AA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一江一口两湖七河</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和332个水生生物保护区开展生产性捕捞。</w:t>
                  </w:r>
                </w:p>
              </w:tc>
              <w:tc>
                <w:tcPr>
                  <w:tcW w:w="1393" w:type="pct"/>
                  <w:tcBorders>
                    <w:tl2br w:val="nil"/>
                    <w:tr2bl w:val="nil"/>
                  </w:tcBorders>
                  <w:noWrap w:val="0"/>
                  <w:vAlign w:val="center"/>
                </w:tcPr>
                <w:p w14:paraId="79AA68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项目不进行生产性捕捞</w:t>
                  </w:r>
                </w:p>
              </w:tc>
              <w:tc>
                <w:tcPr>
                  <w:tcW w:w="639" w:type="pct"/>
                  <w:tcBorders>
                    <w:tl2br w:val="nil"/>
                    <w:tr2bl w:val="nil"/>
                  </w:tcBorders>
                  <w:noWrap w:val="0"/>
                  <w:vAlign w:val="center"/>
                </w:tcPr>
                <w:p w14:paraId="1518A6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D0DE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59FE5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466" w:type="pct"/>
                  <w:tcBorders>
                    <w:tl2br w:val="nil"/>
                    <w:tr2bl w:val="nil"/>
                  </w:tcBorders>
                  <w:noWrap w:val="0"/>
                  <w:vAlign w:val="center"/>
                </w:tcPr>
                <w:p w14:paraId="559767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禁止在长江干支流、重要湖泊</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沿线</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93" w:type="pct"/>
                  <w:tcBorders>
                    <w:tl2br w:val="nil"/>
                    <w:tr2bl w:val="nil"/>
                  </w:tcBorders>
                  <w:noWrap w:val="0"/>
                  <w:vAlign w:val="center"/>
                </w:tcPr>
                <w:p w14:paraId="7E4F3B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项目不属于化工园区及化工项目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项目不属于尾矿库、冶炼渣车、磷石膏库。</w:t>
                  </w:r>
                </w:p>
              </w:tc>
              <w:tc>
                <w:tcPr>
                  <w:tcW w:w="639" w:type="pct"/>
                  <w:tcBorders>
                    <w:tl2br w:val="nil"/>
                    <w:tr2bl w:val="nil"/>
                  </w:tcBorders>
                  <w:noWrap w:val="0"/>
                  <w:vAlign w:val="center"/>
                </w:tcPr>
                <w:p w14:paraId="2187A3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0EFF7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00" w:type="pct"/>
                  <w:tcBorders>
                    <w:tl2br w:val="nil"/>
                    <w:tr2bl w:val="nil"/>
                  </w:tcBorders>
                  <w:noWrap w:val="0"/>
                  <w:vAlign w:val="center"/>
                </w:tcPr>
                <w:p w14:paraId="18BD4B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466" w:type="pct"/>
                  <w:tcBorders>
                    <w:tl2br w:val="nil"/>
                    <w:tr2bl w:val="nil"/>
                  </w:tcBorders>
                  <w:noWrap w:val="0"/>
                  <w:vAlign w:val="center"/>
                </w:tcPr>
                <w:p w14:paraId="00421C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禁止在合规园区外新建、扩建钢铁、石化、化工、焦化、建材、有色、制浆造纸等高污染项目。</w:t>
                  </w:r>
                </w:p>
              </w:tc>
              <w:tc>
                <w:tcPr>
                  <w:tcW w:w="1393" w:type="pct"/>
                  <w:tcBorders>
                    <w:tl2br w:val="nil"/>
                    <w:tr2bl w:val="nil"/>
                  </w:tcBorders>
                  <w:noWrap w:val="0"/>
                  <w:vAlign w:val="center"/>
                </w:tcPr>
                <w:p w14:paraId="3F8DBB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w:t>
                  </w:r>
                </w:p>
              </w:tc>
              <w:tc>
                <w:tcPr>
                  <w:tcW w:w="639" w:type="pct"/>
                  <w:vMerge w:val="restart"/>
                  <w:tcBorders>
                    <w:tl2br w:val="nil"/>
                    <w:tr2bl w:val="nil"/>
                  </w:tcBorders>
                  <w:noWrap w:val="0"/>
                  <w:vAlign w:val="center"/>
                </w:tcPr>
                <w:p w14:paraId="078017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9CB2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2FEAE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10</w:t>
                  </w:r>
                </w:p>
              </w:tc>
              <w:tc>
                <w:tcPr>
                  <w:tcW w:w="2466" w:type="pct"/>
                  <w:tcBorders>
                    <w:tl2br w:val="nil"/>
                    <w:tr2bl w:val="nil"/>
                  </w:tcBorders>
                  <w:noWrap w:val="0"/>
                  <w:vAlign w:val="center"/>
                </w:tcPr>
                <w:p w14:paraId="7FC2A8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禁止新建、扩建不符合国家石化、现代煤化工等产业布局规划的项目。</w:t>
                  </w:r>
                </w:p>
              </w:tc>
              <w:tc>
                <w:tcPr>
                  <w:tcW w:w="1393" w:type="pct"/>
                  <w:tcBorders>
                    <w:tl2br w:val="nil"/>
                    <w:tr2bl w:val="nil"/>
                  </w:tcBorders>
                  <w:noWrap w:val="0"/>
                  <w:vAlign w:val="center"/>
                </w:tcPr>
                <w:p w14:paraId="79E64E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w:t>
                  </w:r>
                </w:p>
              </w:tc>
              <w:tc>
                <w:tcPr>
                  <w:tcW w:w="639" w:type="pct"/>
                  <w:vMerge w:val="continue"/>
                  <w:tcBorders>
                    <w:tl2br w:val="nil"/>
                    <w:tr2bl w:val="nil"/>
                  </w:tcBorders>
                  <w:noWrap w:val="0"/>
                  <w:vAlign w:val="center"/>
                </w:tcPr>
                <w:p w14:paraId="5F1BE8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0AED0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193D2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11</w:t>
                  </w:r>
                </w:p>
              </w:tc>
              <w:tc>
                <w:tcPr>
                  <w:tcW w:w="2466" w:type="pct"/>
                  <w:tcBorders>
                    <w:tl2br w:val="nil"/>
                    <w:tr2bl w:val="nil"/>
                  </w:tcBorders>
                  <w:noWrap w:val="0"/>
                  <w:vAlign w:val="center"/>
                </w:tcPr>
                <w:p w14:paraId="190438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393" w:type="pct"/>
                  <w:tcBorders>
                    <w:tl2br w:val="nil"/>
                    <w:tr2bl w:val="nil"/>
                  </w:tcBorders>
                  <w:noWrap w:val="0"/>
                  <w:vAlign w:val="center"/>
                </w:tcPr>
                <w:p w14:paraId="1FA6F8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项目为动物医院，不涉及，不属于过剩产能行业和高耗能高</w:t>
                  </w:r>
                </w:p>
                <w:p w14:paraId="421FAC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排放项目</w:t>
                  </w:r>
                </w:p>
              </w:tc>
              <w:tc>
                <w:tcPr>
                  <w:tcW w:w="639" w:type="pct"/>
                  <w:tcBorders>
                    <w:tl2br w:val="nil"/>
                    <w:tr2bl w:val="nil"/>
                  </w:tcBorders>
                  <w:noWrap w:val="0"/>
                  <w:vAlign w:val="center"/>
                </w:tcPr>
                <w:p w14:paraId="28C26C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3D53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noWrap w:val="0"/>
                  <w:vAlign w:val="center"/>
                </w:tcPr>
                <w:p w14:paraId="434504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12</w:t>
                  </w:r>
                </w:p>
              </w:tc>
              <w:tc>
                <w:tcPr>
                  <w:tcW w:w="2466" w:type="pct"/>
                  <w:tcBorders>
                    <w:tl2br w:val="nil"/>
                    <w:tr2bl w:val="nil"/>
                  </w:tcBorders>
                  <w:noWrap w:val="0"/>
                  <w:vAlign w:val="center"/>
                </w:tcPr>
                <w:p w14:paraId="052652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法律法规及相关政策文件有更加严格规定的从其规定。</w:t>
                  </w:r>
                </w:p>
              </w:tc>
              <w:tc>
                <w:tcPr>
                  <w:tcW w:w="1393" w:type="pct"/>
                  <w:tcBorders>
                    <w:tl2br w:val="nil"/>
                    <w:tr2bl w:val="nil"/>
                  </w:tcBorders>
                  <w:noWrap w:val="0"/>
                  <w:vAlign w:val="center"/>
                </w:tcPr>
                <w:p w14:paraId="35F99B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拟建项目将严格执行法律法规及相关政策文件要求</w:t>
                  </w:r>
                </w:p>
              </w:tc>
              <w:tc>
                <w:tcPr>
                  <w:tcW w:w="639" w:type="pct"/>
                  <w:tcBorders>
                    <w:tl2br w:val="nil"/>
                    <w:tr2bl w:val="nil"/>
                  </w:tcBorders>
                  <w:noWrap w:val="0"/>
                  <w:vAlign w:val="center"/>
                </w:tcPr>
                <w:p w14:paraId="267E7E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2F45142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由上表1</w:t>
            </w:r>
            <w:r>
              <w:rPr>
                <w:rFonts w:hint="eastAsia" w:cs="Times New Roman"/>
                <w:b w:val="0"/>
                <w:bCs w:val="0"/>
                <w:color w:val="000000" w:themeColor="text1"/>
                <w:kern w:val="0"/>
                <w:sz w:val="24"/>
                <w:szCs w:val="24"/>
                <w:highlight w:val="none"/>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知，拟建项目符合推动长江经济带发展领导小组办公室</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关于印发《长江经济带发展负面清单指南（试行，2022年版）》的通知</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（长江办</w:t>
            </w:r>
            <w:r>
              <w:rPr>
                <w:rFonts w:hint="eastAsia" w:cs="Times New Roman"/>
                <w:b w:val="0"/>
                <w:bCs w:val="0"/>
                <w:color w:val="000000" w:themeColor="text1"/>
                <w:kern w:val="0"/>
                <w:sz w:val="24"/>
                <w:szCs w:val="24"/>
                <w:highlight w:val="none"/>
                <w:lang w:val="en-US" w:eastAsia="zh-CN"/>
                <w14:textFill>
                  <w14:solidFill>
                    <w14:schemeClr w14:val="tx1"/>
                  </w14:solidFill>
                </w14:textFill>
              </w:rPr>
              <w:t>〔2022〕7号</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）相关要求。</w:t>
            </w:r>
          </w:p>
          <w:p w14:paraId="14A9A4DA">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t>3.3与《四川省、重庆市长江经济带发展负面清单实施细则（试行2022年版）》符合性分析</w:t>
            </w:r>
          </w:p>
          <w:p w14:paraId="46FA02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center"/>
              <w:textAlignment w:val="auto"/>
              <w:outlineLvl w:val="0"/>
              <w:rPr>
                <w:rFonts w:hint="default" w:ascii="Times New Roman" w:hAnsi="Times New Roman" w:eastAsia="宋体" w:cs="Times New Roman"/>
                <w:b/>
                <w:bCs/>
                <w:color w:val="000000" w:themeColor="text1"/>
                <w:sz w:val="20"/>
                <w:szCs w:val="20"/>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val="en-US" w:eastAsia="zh-CN"/>
                <w14:textFill>
                  <w14:solidFill>
                    <w14:schemeClr w14:val="tx1"/>
                  </w14:solidFill>
                </w14:textFill>
              </w:rPr>
              <w:t>表</w:t>
            </w:r>
            <w:r>
              <w:rPr>
                <w:rFonts w:hint="eastAsia" w:cs="Times New Roman"/>
                <w:b/>
                <w:bCs/>
                <w:color w:val="000000" w:themeColor="text1"/>
                <w:kern w:val="0"/>
                <w:sz w:val="20"/>
                <w:szCs w:val="20"/>
                <w:highlight w:val="none"/>
                <w:lang w:val="en-US" w:eastAsia="zh-CN"/>
                <w14:textFill>
                  <w14:solidFill>
                    <w14:schemeClr w14:val="tx1"/>
                  </w14:solidFill>
                </w14:textFill>
              </w:rPr>
              <w:t>1.3-3</w:t>
            </w:r>
            <w:r>
              <w:rPr>
                <w:rFonts w:hint="default" w:ascii="Times New Roman" w:hAnsi="Times New Roman" w:eastAsia="宋体" w:cs="Times New Roman"/>
                <w:b/>
                <w:bCs/>
                <w:color w:val="000000" w:themeColor="text1"/>
                <w:kern w:val="0"/>
                <w:sz w:val="20"/>
                <w:szCs w:val="20"/>
                <w:highlight w:val="none"/>
                <w:lang w:val="en-US" w:eastAsia="zh-CN"/>
                <w14:textFill>
                  <w14:solidFill>
                    <w14:schemeClr w14:val="tx1"/>
                  </w14:solidFill>
                </w14:textFill>
              </w:rPr>
              <w:t>四川省、重庆市长江经济带发展负面清单实施细则（试行，2022年版）》符合性分析表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789"/>
              <w:gridCol w:w="1578"/>
              <w:gridCol w:w="849"/>
            </w:tblGrid>
            <w:tr w14:paraId="2A78F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30083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763" w:type="pct"/>
                  <w:tcBorders>
                    <w:tl2br w:val="nil"/>
                    <w:tr2bl w:val="nil"/>
                  </w:tcBorders>
                  <w:noWrap w:val="0"/>
                  <w:vAlign w:val="center"/>
                </w:tcPr>
                <w:p w14:paraId="5D3CBF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相关管控内容要求</w:t>
                  </w:r>
                </w:p>
              </w:tc>
              <w:tc>
                <w:tcPr>
                  <w:tcW w:w="1151" w:type="pct"/>
                  <w:tcBorders>
                    <w:tl2br w:val="nil"/>
                    <w:tr2bl w:val="nil"/>
                  </w:tcBorders>
                  <w:noWrap w:val="0"/>
                  <w:vAlign w:val="center"/>
                </w:tcPr>
                <w:p w14:paraId="509030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619" w:type="pct"/>
                  <w:tcBorders>
                    <w:tl2br w:val="nil"/>
                    <w:tr2bl w:val="nil"/>
                  </w:tcBorders>
                  <w:noWrap w:val="0"/>
                  <w:vAlign w:val="center"/>
                </w:tcPr>
                <w:p w14:paraId="52C922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3865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1FCC73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763" w:type="pct"/>
                  <w:tcBorders>
                    <w:tl2br w:val="nil"/>
                    <w:tr2bl w:val="nil"/>
                  </w:tcBorders>
                  <w:noWrap w:val="0"/>
                  <w:vAlign w:val="center"/>
                </w:tcPr>
                <w:p w14:paraId="3E6233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第五条 禁止新建、改建和扩建不符合全国港口布局规划，以及《四川省内河水运发展规划》 《泸州一宜宾一乐山港口群布局规划》《重庆港总体规划(2035年)》等省级港口布局规划及市级港口总体规划的码头项目。</w:t>
                  </w:r>
                </w:p>
              </w:tc>
              <w:tc>
                <w:tcPr>
                  <w:tcW w:w="1151" w:type="pct"/>
                  <w:tcBorders>
                    <w:tl2br w:val="nil"/>
                    <w:tr2bl w:val="nil"/>
                  </w:tcBorders>
                  <w:noWrap w:val="0"/>
                  <w:vAlign w:val="center"/>
                </w:tcPr>
                <w:p w14:paraId="5E0680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非上述港口建设</w:t>
                  </w:r>
                </w:p>
                <w:p w14:paraId="0E34A0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p>
              </w:tc>
              <w:tc>
                <w:tcPr>
                  <w:tcW w:w="619" w:type="pct"/>
                  <w:vMerge w:val="restart"/>
                  <w:tcBorders>
                    <w:tl2br w:val="nil"/>
                    <w:tr2bl w:val="nil"/>
                  </w:tcBorders>
                  <w:noWrap w:val="0"/>
                  <w:vAlign w:val="center"/>
                </w:tcPr>
                <w:p w14:paraId="2ED3F5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9718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54DDD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w:t>
                  </w:r>
                </w:p>
              </w:tc>
              <w:tc>
                <w:tcPr>
                  <w:tcW w:w="2763" w:type="pct"/>
                  <w:tcBorders>
                    <w:tl2br w:val="nil"/>
                    <w:tr2bl w:val="nil"/>
                  </w:tcBorders>
                  <w:noWrap w:val="0"/>
                  <w:vAlign w:val="center"/>
                </w:tcPr>
                <w:p w14:paraId="0A2E9E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第六条 禁止新建、改建和扩建不符合《长江干线过江通道布局规划（2020-2035年）》的过长江通道项目（含桥梁、隧道），国家发展改革委同意过长江通道线位调整的除外。</w:t>
                  </w:r>
                </w:p>
              </w:tc>
              <w:tc>
                <w:tcPr>
                  <w:tcW w:w="1151" w:type="pct"/>
                  <w:tcBorders>
                    <w:tl2br w:val="nil"/>
                    <w:tr2bl w:val="nil"/>
                  </w:tcBorders>
                  <w:noWrap w:val="0"/>
                  <w:vAlign w:val="center"/>
                </w:tcPr>
                <w:p w14:paraId="669544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不属于过长江通道项目（含桥梁、隧道）</w:t>
                  </w:r>
                </w:p>
              </w:tc>
              <w:tc>
                <w:tcPr>
                  <w:tcW w:w="619" w:type="pct"/>
                  <w:vMerge w:val="continue"/>
                  <w:tcBorders>
                    <w:tl2br w:val="nil"/>
                    <w:tr2bl w:val="nil"/>
                  </w:tcBorders>
                  <w:noWrap w:val="0"/>
                  <w:vAlign w:val="center"/>
                </w:tcPr>
                <w:p w14:paraId="781F55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24D15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6BC6A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w:t>
                  </w:r>
                </w:p>
              </w:tc>
              <w:tc>
                <w:tcPr>
                  <w:tcW w:w="2763" w:type="pct"/>
                  <w:tcBorders>
                    <w:tl2br w:val="nil"/>
                    <w:tr2bl w:val="nil"/>
                  </w:tcBorders>
                  <w:noWrap w:val="0"/>
                  <w:vAlign w:val="center"/>
                </w:tcPr>
                <w:p w14:paraId="6A29C6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151" w:type="pct"/>
                  <w:tcBorders>
                    <w:tl2br w:val="nil"/>
                    <w:tr2bl w:val="nil"/>
                  </w:tcBorders>
                  <w:noWrap w:val="0"/>
                  <w:vAlign w:val="center"/>
                </w:tcPr>
                <w:p w14:paraId="7EBAF6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69D631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3D4A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2B0F3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4</w:t>
                  </w:r>
                </w:p>
              </w:tc>
              <w:tc>
                <w:tcPr>
                  <w:tcW w:w="2763" w:type="pct"/>
                  <w:tcBorders>
                    <w:tl2br w:val="nil"/>
                    <w:tr2bl w:val="nil"/>
                  </w:tcBorders>
                  <w:noWrap w:val="0"/>
                  <w:vAlign w:val="center"/>
                </w:tcPr>
                <w:p w14:paraId="49640A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禁止违反风景名胜区规划，在风景名胜区内设立各类开发区。禁止在风景名胜区核心景区的岸线和河段范围内建设宾馆、招待所、培训中心、疗养院以及与风景名胜资源保护无关的项目。</w:t>
                  </w:r>
                </w:p>
              </w:tc>
              <w:tc>
                <w:tcPr>
                  <w:tcW w:w="1151" w:type="pct"/>
                  <w:tcBorders>
                    <w:tl2br w:val="nil"/>
                    <w:tr2bl w:val="nil"/>
                  </w:tcBorders>
                  <w:noWrap w:val="0"/>
                  <w:vAlign w:val="center"/>
                </w:tcPr>
                <w:p w14:paraId="1031E2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3CEB0B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BEC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180B6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5</w:t>
                  </w:r>
                </w:p>
              </w:tc>
              <w:tc>
                <w:tcPr>
                  <w:tcW w:w="2763" w:type="pct"/>
                  <w:tcBorders>
                    <w:tl2br w:val="nil"/>
                    <w:tr2bl w:val="nil"/>
                  </w:tcBorders>
                  <w:noWrap w:val="0"/>
                  <w:vAlign w:val="center"/>
                </w:tcPr>
                <w:p w14:paraId="0F5C05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第九条 禁止在饮用水水源准保护区的岸线和河段范围内新建、扩建对水体污染严重的建设项目，禁止改建增加排污量的建设项目。</w:t>
                  </w:r>
                </w:p>
              </w:tc>
              <w:tc>
                <w:tcPr>
                  <w:tcW w:w="1151" w:type="pct"/>
                  <w:tcBorders>
                    <w:tl2br w:val="nil"/>
                    <w:tr2bl w:val="nil"/>
                  </w:tcBorders>
                  <w:noWrap w:val="0"/>
                  <w:vAlign w:val="center"/>
                </w:tcPr>
                <w:p w14:paraId="358F06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019044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03AA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6C67C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w:t>
                  </w:r>
                </w:p>
              </w:tc>
              <w:tc>
                <w:tcPr>
                  <w:tcW w:w="2763" w:type="pct"/>
                  <w:tcBorders>
                    <w:tl2br w:val="nil"/>
                    <w:tr2bl w:val="nil"/>
                  </w:tcBorders>
                  <w:noWrap w:val="0"/>
                  <w:vAlign w:val="center"/>
                </w:tcPr>
                <w:p w14:paraId="613C7E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第十条 饮用水水源二级保护区的岸线和河段范围内，除遵守准保护区规定外，禁止新建、改建、扩建排放污染物的投资建设项目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禁止从事对水体有污染的水产养殖等活动。</w:t>
                  </w:r>
                </w:p>
              </w:tc>
              <w:tc>
                <w:tcPr>
                  <w:tcW w:w="1151" w:type="pct"/>
                  <w:tcBorders>
                    <w:tl2br w:val="nil"/>
                    <w:tr2bl w:val="nil"/>
                  </w:tcBorders>
                  <w:noWrap w:val="0"/>
                  <w:vAlign w:val="center"/>
                </w:tcPr>
                <w:p w14:paraId="1C92AC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384938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B9A5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BB00D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w:t>
                  </w:r>
                </w:p>
              </w:tc>
              <w:tc>
                <w:tcPr>
                  <w:tcW w:w="2763" w:type="pct"/>
                  <w:tcBorders>
                    <w:tl2br w:val="nil"/>
                    <w:tr2bl w:val="nil"/>
                  </w:tcBorders>
                  <w:noWrap w:val="0"/>
                  <w:vAlign w:val="center"/>
                </w:tcPr>
                <w:p w14:paraId="1B2430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151" w:type="pct"/>
                  <w:tcBorders>
                    <w:tl2br w:val="nil"/>
                    <w:tr2bl w:val="nil"/>
                  </w:tcBorders>
                  <w:noWrap w:val="0"/>
                  <w:vAlign w:val="center"/>
                </w:tcPr>
                <w:p w14:paraId="14CB39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27F1BC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A83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B3CA6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2763" w:type="pct"/>
                  <w:tcBorders>
                    <w:tl2br w:val="nil"/>
                    <w:tr2bl w:val="nil"/>
                  </w:tcBorders>
                  <w:noWrap w:val="0"/>
                  <w:vAlign w:val="center"/>
                </w:tcPr>
                <w:p w14:paraId="0260BE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第十二条 禁止在水产种质资源保护区岸线和河段范围内新建围湖造田、围湖造地或挖沙采石等投资建设项目。</w:t>
                  </w:r>
                </w:p>
              </w:tc>
              <w:tc>
                <w:tcPr>
                  <w:tcW w:w="1151" w:type="pct"/>
                  <w:tcBorders>
                    <w:tl2br w:val="nil"/>
                    <w:tr2bl w:val="nil"/>
                  </w:tcBorders>
                  <w:noWrap w:val="0"/>
                  <w:vAlign w:val="center"/>
                </w:tcPr>
                <w:p w14:paraId="539F52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4BB971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B20F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36A22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9</w:t>
                  </w:r>
                </w:p>
              </w:tc>
              <w:tc>
                <w:tcPr>
                  <w:tcW w:w="2763" w:type="pct"/>
                  <w:tcBorders>
                    <w:tl2br w:val="nil"/>
                    <w:tr2bl w:val="nil"/>
                  </w:tcBorders>
                  <w:noWrap w:val="0"/>
                  <w:vAlign w:val="center"/>
                </w:tcPr>
                <w:p w14:paraId="68E318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洄游</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通道。</w:t>
                  </w:r>
                </w:p>
              </w:tc>
              <w:tc>
                <w:tcPr>
                  <w:tcW w:w="1151" w:type="pct"/>
                  <w:tcBorders>
                    <w:tl2br w:val="nil"/>
                    <w:tr2bl w:val="nil"/>
                  </w:tcBorders>
                  <w:noWrap w:val="0"/>
                  <w:vAlign w:val="center"/>
                </w:tcPr>
                <w:p w14:paraId="060FE5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7A99CE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9393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E441F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10</w:t>
                  </w:r>
                </w:p>
              </w:tc>
              <w:tc>
                <w:tcPr>
                  <w:tcW w:w="2763" w:type="pct"/>
                  <w:tcBorders>
                    <w:tl2br w:val="nil"/>
                    <w:tr2bl w:val="nil"/>
                  </w:tcBorders>
                  <w:noWrap w:val="0"/>
                  <w:vAlign w:val="center"/>
                </w:tcPr>
                <w:p w14:paraId="245CE9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51" w:type="pct"/>
                  <w:tcBorders>
                    <w:tl2br w:val="nil"/>
                    <w:tr2bl w:val="nil"/>
                  </w:tcBorders>
                  <w:noWrap w:val="0"/>
                  <w:vAlign w:val="center"/>
                </w:tcPr>
                <w:p w14:paraId="0700B1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7AF822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FF96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77B86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11</w:t>
                  </w:r>
                </w:p>
              </w:tc>
              <w:tc>
                <w:tcPr>
                  <w:tcW w:w="2763" w:type="pct"/>
                  <w:tcBorders>
                    <w:tl2br w:val="nil"/>
                    <w:tr2bl w:val="nil"/>
                  </w:tcBorders>
                  <w:noWrap w:val="0"/>
                  <w:vAlign w:val="center"/>
                </w:tcPr>
                <w:p w14:paraId="0255D7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第十五条禁止在《全国重要江河湖泊水功能区划》划定的河段及湖泊保护区、保留区内投资建设不利于水资源及自然生态保护的项目</w:t>
                  </w:r>
                </w:p>
              </w:tc>
              <w:tc>
                <w:tcPr>
                  <w:tcW w:w="1151" w:type="pct"/>
                  <w:tcBorders>
                    <w:tl2br w:val="nil"/>
                    <w:tr2bl w:val="nil"/>
                  </w:tcBorders>
                  <w:noWrap w:val="0"/>
                  <w:vAlign w:val="center"/>
                </w:tcPr>
                <w:p w14:paraId="0DEEBF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项目不涉及新增</w:t>
                  </w:r>
                </w:p>
                <w:p w14:paraId="47DFD7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排污口。</w:t>
                  </w:r>
                </w:p>
              </w:tc>
              <w:tc>
                <w:tcPr>
                  <w:tcW w:w="619" w:type="pct"/>
                  <w:tcBorders>
                    <w:tl2br w:val="nil"/>
                    <w:tr2bl w:val="nil"/>
                  </w:tcBorders>
                  <w:noWrap w:val="0"/>
                  <w:vAlign w:val="center"/>
                </w:tcPr>
                <w:p w14:paraId="796CF5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36D8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954FB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12</w:t>
                  </w:r>
                </w:p>
              </w:tc>
              <w:tc>
                <w:tcPr>
                  <w:tcW w:w="2763" w:type="pct"/>
                  <w:tcBorders>
                    <w:tl2br w:val="nil"/>
                    <w:tr2bl w:val="nil"/>
                  </w:tcBorders>
                  <w:noWrap w:val="0"/>
                  <w:vAlign w:val="center"/>
                </w:tcPr>
                <w:p w14:paraId="376B93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1151" w:type="pct"/>
                  <w:tcBorders>
                    <w:tl2br w:val="nil"/>
                    <w:tr2bl w:val="nil"/>
                  </w:tcBorders>
                  <w:noWrap w:val="0"/>
                  <w:vAlign w:val="center"/>
                </w:tcPr>
                <w:p w14:paraId="5EE256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w:t>
                  </w:r>
                </w:p>
              </w:tc>
              <w:tc>
                <w:tcPr>
                  <w:tcW w:w="619" w:type="pct"/>
                  <w:tcBorders>
                    <w:tl2br w:val="nil"/>
                    <w:tr2bl w:val="nil"/>
                  </w:tcBorders>
                  <w:noWrap w:val="0"/>
                  <w:vAlign w:val="center"/>
                </w:tcPr>
                <w:p w14:paraId="14C235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28C2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4C8A4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13</w:t>
                  </w:r>
                </w:p>
              </w:tc>
              <w:tc>
                <w:tcPr>
                  <w:tcW w:w="2763" w:type="pct"/>
                  <w:tcBorders>
                    <w:tl2br w:val="nil"/>
                    <w:tr2bl w:val="nil"/>
                  </w:tcBorders>
                  <w:noWrap w:val="0"/>
                  <w:vAlign w:val="center"/>
                </w:tcPr>
                <w:p w14:paraId="4F6C18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第十七条禁止在长江干流、大渡河、岷江、赤水河、</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沱江</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、嘉陵江、乌江、汉江和 51个（四川省45个、重庆市6个）水生生物保护区开展生产性捕捞。</w:t>
                  </w:r>
                </w:p>
              </w:tc>
              <w:tc>
                <w:tcPr>
                  <w:tcW w:w="1151" w:type="pct"/>
                  <w:tcBorders>
                    <w:tl2br w:val="nil"/>
                    <w:tr2bl w:val="nil"/>
                  </w:tcBorders>
                  <w:noWrap w:val="0"/>
                  <w:vAlign w:val="center"/>
                </w:tcPr>
                <w:p w14:paraId="35CDBD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拟建项目不涉及左列水域。</w:t>
                  </w:r>
                </w:p>
              </w:tc>
              <w:tc>
                <w:tcPr>
                  <w:tcW w:w="619" w:type="pct"/>
                  <w:tcBorders>
                    <w:tl2br w:val="nil"/>
                    <w:tr2bl w:val="nil"/>
                  </w:tcBorders>
                  <w:noWrap w:val="0"/>
                  <w:vAlign w:val="center"/>
                </w:tcPr>
                <w:p w14:paraId="08D51A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E2C3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B4E21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14</w:t>
                  </w:r>
                </w:p>
              </w:tc>
              <w:tc>
                <w:tcPr>
                  <w:tcW w:w="2763" w:type="pct"/>
                  <w:tcBorders>
                    <w:tl2br w:val="nil"/>
                    <w:tr2bl w:val="nil"/>
                  </w:tcBorders>
                  <w:noWrap w:val="0"/>
                  <w:vAlign w:val="center"/>
                </w:tcPr>
                <w:p w14:paraId="2E16A5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第十八条 禁止在长江千支流、重要湖泊岸线一公里范围内新建、扩建化工园区和化工项目。</w:t>
                  </w:r>
                </w:p>
              </w:tc>
              <w:tc>
                <w:tcPr>
                  <w:tcW w:w="1151" w:type="pct"/>
                  <w:vMerge w:val="restart"/>
                  <w:tcBorders>
                    <w:tl2br w:val="nil"/>
                    <w:tr2bl w:val="nil"/>
                  </w:tcBorders>
                  <w:noWrap w:val="0"/>
                  <w:vAlign w:val="center"/>
                </w:tcPr>
                <w:p w14:paraId="01AA27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项目不属于化工园区及化工项目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项目不属于尾矿库、冶炼渣车、磷石膏库。</w:t>
                  </w:r>
                </w:p>
              </w:tc>
              <w:tc>
                <w:tcPr>
                  <w:tcW w:w="619" w:type="pct"/>
                  <w:vMerge w:val="restart"/>
                  <w:tcBorders>
                    <w:tl2br w:val="nil"/>
                    <w:tr2bl w:val="nil"/>
                  </w:tcBorders>
                  <w:noWrap w:val="0"/>
                  <w:vAlign w:val="center"/>
                </w:tcPr>
                <w:p w14:paraId="675879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5360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FC51B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15</w:t>
                  </w:r>
                </w:p>
              </w:tc>
              <w:tc>
                <w:tcPr>
                  <w:tcW w:w="2763" w:type="pct"/>
                  <w:tcBorders>
                    <w:tl2br w:val="nil"/>
                    <w:tr2bl w:val="nil"/>
                  </w:tcBorders>
                  <w:noWrap w:val="0"/>
                  <w:vAlign w:val="center"/>
                </w:tcPr>
                <w:p w14:paraId="3C0EA4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第十九条 禁止在长江干流岸线三公里范围内和重要支流岸线一公里范围内新建、改建、扩建尾矿库、冶炼渣库、磷石膏库，以提升安全、生态环境保护水平为目的的改建除外。</w:t>
                  </w:r>
                </w:p>
              </w:tc>
              <w:tc>
                <w:tcPr>
                  <w:tcW w:w="1151" w:type="pct"/>
                  <w:vMerge w:val="continue"/>
                  <w:tcBorders>
                    <w:tl2br w:val="nil"/>
                    <w:tr2bl w:val="nil"/>
                  </w:tcBorders>
                  <w:noWrap w:val="0"/>
                  <w:vAlign w:val="center"/>
                </w:tcPr>
                <w:p w14:paraId="269DA3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619" w:type="pct"/>
                  <w:vMerge w:val="continue"/>
                  <w:tcBorders>
                    <w:tl2br w:val="nil"/>
                    <w:tr2bl w:val="nil"/>
                  </w:tcBorders>
                  <w:noWrap w:val="0"/>
                  <w:vAlign w:val="center"/>
                </w:tcPr>
                <w:p w14:paraId="10DE2A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7D4D9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94539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16</w:t>
                  </w:r>
                </w:p>
              </w:tc>
              <w:tc>
                <w:tcPr>
                  <w:tcW w:w="2763" w:type="pct"/>
                  <w:tcBorders>
                    <w:tl2br w:val="nil"/>
                    <w:tr2bl w:val="nil"/>
                  </w:tcBorders>
                  <w:noWrap w:val="0"/>
                  <w:vAlign w:val="center"/>
                </w:tcPr>
                <w:p w14:paraId="6183FD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第二十条 禁止在生态保护红线区域、永久基本农田集中区域和其他需要特别保护的区域内选址建设尾矿库、冶炼渣库、磷石膏库。</w:t>
                  </w:r>
                </w:p>
              </w:tc>
              <w:tc>
                <w:tcPr>
                  <w:tcW w:w="1151" w:type="pct"/>
                  <w:tcBorders>
                    <w:tl2br w:val="nil"/>
                    <w:tr2bl w:val="nil"/>
                  </w:tcBorders>
                  <w:noWrap w:val="0"/>
                  <w:vAlign w:val="center"/>
                </w:tcPr>
                <w:p w14:paraId="34A8C8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项目不涉及，且不属于上述项目</w:t>
                  </w:r>
                </w:p>
              </w:tc>
              <w:tc>
                <w:tcPr>
                  <w:tcW w:w="619" w:type="pct"/>
                  <w:tcBorders>
                    <w:tl2br w:val="nil"/>
                    <w:tr2bl w:val="nil"/>
                  </w:tcBorders>
                  <w:noWrap w:val="0"/>
                  <w:vAlign w:val="center"/>
                </w:tcPr>
                <w:p w14:paraId="65C936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A319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20D0E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17</w:t>
                  </w:r>
                </w:p>
              </w:tc>
              <w:tc>
                <w:tcPr>
                  <w:tcW w:w="2763" w:type="pct"/>
                  <w:tcBorders>
                    <w:tl2br w:val="nil"/>
                    <w:tr2bl w:val="nil"/>
                  </w:tcBorders>
                  <w:noWrap w:val="0"/>
                  <w:vAlign w:val="center"/>
                </w:tcPr>
                <w:p w14:paraId="5EF8CB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第二十一条 禁止在合规园区外新建、扩建钢铁、石化、化工、焦化、建材、有色、制浆造纸等高污染项目。</w:t>
                  </w:r>
                </w:p>
              </w:tc>
              <w:tc>
                <w:tcPr>
                  <w:tcW w:w="1151" w:type="pct"/>
                  <w:tcBorders>
                    <w:tl2br w:val="nil"/>
                    <w:tr2bl w:val="nil"/>
                  </w:tcBorders>
                  <w:noWrap w:val="0"/>
                  <w:vAlign w:val="center"/>
                </w:tcPr>
                <w:p w14:paraId="4F93FC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项目属于宠物医院扩建项目，不属于以上高污染项目</w:t>
                  </w:r>
                </w:p>
              </w:tc>
              <w:tc>
                <w:tcPr>
                  <w:tcW w:w="619" w:type="pct"/>
                  <w:tcBorders>
                    <w:tl2br w:val="nil"/>
                    <w:tr2bl w:val="nil"/>
                  </w:tcBorders>
                  <w:noWrap w:val="0"/>
                  <w:vAlign w:val="center"/>
                </w:tcPr>
                <w:p w14:paraId="6E3566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6428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FAD15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18</w:t>
                  </w:r>
                </w:p>
              </w:tc>
              <w:tc>
                <w:tcPr>
                  <w:tcW w:w="2763" w:type="pct"/>
                  <w:tcBorders>
                    <w:tl2br w:val="nil"/>
                    <w:tr2bl w:val="nil"/>
                  </w:tcBorders>
                  <w:noWrap w:val="0"/>
                  <w:vAlign w:val="center"/>
                </w:tcPr>
                <w:p w14:paraId="1EA623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第二十二条 禁止新建、扩建不符合国家石化、现代煤化工等产业布局规划的项目</w:t>
                  </w:r>
                </w:p>
                <w:p w14:paraId="6B7406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（一）严格控制新增炼油产能，未列入《石化产业规划布局方案（修订版）》的新增炼油产能一律不得建设。</w:t>
                  </w:r>
                </w:p>
                <w:p w14:paraId="5732E8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（二）新建煤制烯烃、煤制芳烃项目必须列入《现代煤化工产业创新发展布局方案》，必须符合《现代煤化工建设项目环境准入条件（试行）》要求。</w:t>
                  </w:r>
                </w:p>
              </w:tc>
              <w:tc>
                <w:tcPr>
                  <w:tcW w:w="1151" w:type="pct"/>
                  <w:tcBorders>
                    <w:tl2br w:val="nil"/>
                    <w:tr2bl w:val="nil"/>
                  </w:tcBorders>
                  <w:noWrap w:val="0"/>
                  <w:vAlign w:val="center"/>
                </w:tcPr>
                <w:p w14:paraId="4EF510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不属于石化、现代煤化工项目。</w:t>
                  </w:r>
                </w:p>
              </w:tc>
              <w:tc>
                <w:tcPr>
                  <w:tcW w:w="619" w:type="pct"/>
                  <w:tcBorders>
                    <w:tl2br w:val="nil"/>
                    <w:tr2bl w:val="nil"/>
                  </w:tcBorders>
                  <w:noWrap w:val="0"/>
                  <w:vAlign w:val="center"/>
                </w:tcPr>
                <w:p w14:paraId="5621A2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C77D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4FAA4D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19</w:t>
                  </w:r>
                </w:p>
              </w:tc>
              <w:tc>
                <w:tcPr>
                  <w:tcW w:w="2763" w:type="pct"/>
                  <w:tcBorders>
                    <w:tl2br w:val="nil"/>
                    <w:tr2bl w:val="nil"/>
                  </w:tcBorders>
                  <w:noWrap w:val="0"/>
                  <w:vAlign w:val="center"/>
                </w:tcPr>
                <w:p w14:paraId="798E46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51" w:type="pct"/>
                  <w:tcBorders>
                    <w:tl2br w:val="nil"/>
                    <w:tr2bl w:val="nil"/>
                  </w:tcBorders>
                  <w:noWrap w:val="0"/>
                  <w:vAlign w:val="center"/>
                </w:tcPr>
                <w:p w14:paraId="07469D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项目属于允许类项目</w:t>
                  </w:r>
                </w:p>
              </w:tc>
              <w:tc>
                <w:tcPr>
                  <w:tcW w:w="619" w:type="pct"/>
                  <w:vMerge w:val="restart"/>
                  <w:tcBorders>
                    <w:tl2br w:val="nil"/>
                    <w:tr2bl w:val="nil"/>
                  </w:tcBorders>
                  <w:noWrap w:val="0"/>
                  <w:vAlign w:val="center"/>
                </w:tcPr>
                <w:p w14:paraId="28C350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E6EA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D01D2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20</w:t>
                  </w:r>
                </w:p>
              </w:tc>
              <w:tc>
                <w:tcPr>
                  <w:tcW w:w="2763" w:type="pct"/>
                  <w:tcBorders>
                    <w:tl2br w:val="nil"/>
                    <w:tr2bl w:val="nil"/>
                  </w:tcBorders>
                  <w:noWrap w:val="0"/>
                  <w:vAlign w:val="center"/>
                </w:tcPr>
                <w:p w14:paraId="2A0C49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第二十四条 禁止新建、扩建不符合国家产能置换要求的严重过剩产能行业的项目。对于不符合国家产能置换要求的严重过剩产能行业，不得以其他任何名义、任何方式备案新增产能项目。</w:t>
                  </w:r>
                </w:p>
              </w:tc>
              <w:tc>
                <w:tcPr>
                  <w:tcW w:w="1151" w:type="pct"/>
                  <w:tcBorders>
                    <w:tl2br w:val="nil"/>
                    <w:tr2bl w:val="nil"/>
                  </w:tcBorders>
                  <w:noWrap w:val="0"/>
                  <w:vAlign w:val="center"/>
                </w:tcPr>
                <w:p w14:paraId="247287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不属于产能过剩项目</w:t>
                  </w:r>
                </w:p>
              </w:tc>
              <w:tc>
                <w:tcPr>
                  <w:tcW w:w="619" w:type="pct"/>
                  <w:vMerge w:val="continue"/>
                  <w:tcBorders>
                    <w:tl2br w:val="nil"/>
                    <w:tr2bl w:val="nil"/>
                  </w:tcBorders>
                  <w:noWrap w:val="0"/>
                  <w:vAlign w:val="center"/>
                </w:tcPr>
                <w:p w14:paraId="25B01D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54046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DB92A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21</w:t>
                  </w:r>
                </w:p>
              </w:tc>
              <w:tc>
                <w:tcPr>
                  <w:tcW w:w="2763" w:type="pct"/>
                  <w:tcBorders>
                    <w:tl2br w:val="nil"/>
                    <w:tr2bl w:val="nil"/>
                  </w:tcBorders>
                  <w:noWrap w:val="0"/>
                  <w:vAlign w:val="center"/>
                </w:tcPr>
                <w:p w14:paraId="2DC96418">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第二十五条 禁止建设以下燃油汽车投资项目（不在中国境内销售产品的投资项目除外）：</w:t>
                  </w:r>
                </w:p>
                <w:p w14:paraId="3B0B9CEB">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新建独立燃油汽车企业</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1AF57BE5">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现有汽车企业跨乘用车、商用车类别建设燃油汽车生产能力</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13F9F413">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外省现有燃油汽车企业整体搬迁至本省（列入国家级区域发展规划或不改变企业般叔结构的项目除外）</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50F60104">
                  <w:pPr>
                    <w:keepNext w:val="0"/>
                    <w:keepLines w:val="0"/>
                    <w:pageBreakBefore w:val="0"/>
                    <w:widowControl w:val="0"/>
                    <w:numPr>
                      <w:ilvl w:val="0"/>
                      <w:numId w:val="3"/>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对行业管理部门特别公示的燃油汽车企业进行投资（企业原有股东投资或将该企业转为非独立法人的投资项目除外）。</w:t>
                  </w:r>
                </w:p>
              </w:tc>
              <w:tc>
                <w:tcPr>
                  <w:tcW w:w="1151" w:type="pct"/>
                  <w:tcBorders>
                    <w:tl2br w:val="nil"/>
                    <w:tr2bl w:val="nil"/>
                  </w:tcBorders>
                  <w:noWrap w:val="0"/>
                  <w:vAlign w:val="center"/>
                </w:tcPr>
                <w:p w14:paraId="71ABB9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不属于燃油汽车生产项目</w:t>
                  </w:r>
                </w:p>
              </w:tc>
              <w:tc>
                <w:tcPr>
                  <w:tcW w:w="619" w:type="pct"/>
                  <w:vMerge w:val="continue"/>
                  <w:tcBorders>
                    <w:tl2br w:val="nil"/>
                    <w:tr2bl w:val="nil"/>
                  </w:tcBorders>
                  <w:noWrap w:val="0"/>
                  <w:vAlign w:val="center"/>
                </w:tcPr>
                <w:p w14:paraId="07DB42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p>
              </w:tc>
            </w:tr>
            <w:tr w14:paraId="5323D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66" w:type="pct"/>
                  <w:tcBorders>
                    <w:tl2br w:val="nil"/>
                    <w:tr2bl w:val="nil"/>
                  </w:tcBorders>
                  <w:noWrap w:val="0"/>
                  <w:vAlign w:val="center"/>
                </w:tcPr>
                <w:p w14:paraId="47CE80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22</w:t>
                  </w:r>
                </w:p>
              </w:tc>
              <w:tc>
                <w:tcPr>
                  <w:tcW w:w="2763" w:type="pct"/>
                  <w:tcBorders>
                    <w:tl2br w:val="nil"/>
                    <w:tr2bl w:val="nil"/>
                  </w:tcBorders>
                  <w:noWrap w:val="0"/>
                  <w:vAlign w:val="center"/>
                </w:tcPr>
                <w:p w14:paraId="2CEB01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第二十六条 禁止新建、扩建不符合要求的高耗能、高排放、低水平项目。</w:t>
                  </w:r>
                </w:p>
              </w:tc>
              <w:tc>
                <w:tcPr>
                  <w:tcW w:w="1151" w:type="pct"/>
                  <w:tcBorders>
                    <w:tl2br w:val="nil"/>
                    <w:tr2bl w:val="nil"/>
                  </w:tcBorders>
                  <w:noWrap w:val="0"/>
                  <w:vAlign w:val="center"/>
                </w:tcPr>
                <w:p w14:paraId="14231E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拟建项目属于O8222宠物医院服务，不属于高耗能、高排放、低水平项目。</w:t>
                  </w:r>
                </w:p>
              </w:tc>
              <w:tc>
                <w:tcPr>
                  <w:tcW w:w="619" w:type="pct"/>
                  <w:tcBorders>
                    <w:tl2br w:val="nil"/>
                    <w:tr2bl w:val="nil"/>
                  </w:tcBorders>
                  <w:noWrap w:val="0"/>
                  <w:vAlign w:val="center"/>
                </w:tcPr>
                <w:p w14:paraId="125F03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45F8CBE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由上表</w:t>
            </w:r>
            <w:r>
              <w:rPr>
                <w:rFonts w:hint="eastAsia" w:cs="Times New Roman"/>
                <w:b w:val="0"/>
                <w:bCs w:val="0"/>
                <w:color w:val="000000" w:themeColor="text1"/>
                <w:kern w:val="0"/>
                <w:sz w:val="24"/>
                <w:szCs w:val="24"/>
                <w:highlight w:val="none"/>
                <w:lang w:val="en-US" w:eastAsia="zh-CN"/>
                <w14:textFill>
                  <w14:solidFill>
                    <w14:schemeClr w14:val="tx1"/>
                  </w14:solidFill>
                </w14:textFill>
              </w:rPr>
              <w:t>1.3-3</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知，拟建项目符合《四川省、重庆市长江经济带发展负面清单实施细则（试行，2022年版）》相关要求。</w:t>
            </w:r>
          </w:p>
          <w:p w14:paraId="155E99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3.4与《动物诊疗机构管理办法》</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农业农村部令2022年第5号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1808082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项目与《动物诊疗机构管理办法》（农业农村部令2022年第5号）的符合性分析见下表。</w:t>
            </w:r>
          </w:p>
          <w:p w14:paraId="6F6AC7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表1</w:t>
            </w:r>
            <w:r>
              <w:rPr>
                <w:rFonts w:hint="eastAsia" w:cs="Times New Roman"/>
                <w:b/>
                <w:bCs/>
                <w:color w:val="000000" w:themeColor="text1"/>
                <w:kern w:val="0"/>
                <w:sz w:val="24"/>
                <w:szCs w:val="24"/>
                <w:highlight w:val="none"/>
                <w:lang w:val="en-US" w:eastAsia="zh-CN"/>
                <w14:textFill>
                  <w14:solidFill>
                    <w14:schemeClr w14:val="tx1"/>
                  </w14:solidFill>
                </w14:textFill>
              </w:rPr>
              <w:t>.3-4</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与《动物诊疗机构管理办法》符合性分析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2140"/>
              <w:gridCol w:w="1090"/>
            </w:tblGrid>
            <w:tr w14:paraId="16A90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1DDA91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申请设立动物诊疗机构应具备的条件</w:t>
                  </w:r>
                </w:p>
              </w:tc>
              <w:tc>
                <w:tcPr>
                  <w:tcW w:w="1561" w:type="pct"/>
                  <w:tcBorders>
                    <w:tl2br w:val="nil"/>
                    <w:tr2bl w:val="nil"/>
                  </w:tcBorders>
                  <w:noWrap w:val="0"/>
                  <w:vAlign w:val="center"/>
                </w:tcPr>
                <w:p w14:paraId="00B0FB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794" w:type="pct"/>
                  <w:tcBorders>
                    <w:tl2br w:val="nil"/>
                    <w:tr2bl w:val="nil"/>
                  </w:tcBorders>
                  <w:noWrap w:val="0"/>
                  <w:vAlign w:val="center"/>
                </w:tcPr>
                <w:p w14:paraId="1CADC4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2E0E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7D0A5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（一）有固定的动物诊疗场所，且动物诊疗场所使用面积符合省、自治区、直辖市人民政府农业农村主管部门的规定</w:t>
                  </w:r>
                </w:p>
              </w:tc>
              <w:tc>
                <w:tcPr>
                  <w:tcW w:w="1561" w:type="pct"/>
                  <w:tcBorders>
                    <w:tl2br w:val="nil"/>
                    <w:tr2bl w:val="nil"/>
                  </w:tcBorders>
                  <w:noWrap w:val="0"/>
                  <w:vAlign w:val="center"/>
                </w:tcPr>
                <w:p w14:paraId="5A02C6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项目具有固定诊疗场所，设施及配套较为完善。</w:t>
                  </w:r>
                </w:p>
              </w:tc>
              <w:tc>
                <w:tcPr>
                  <w:tcW w:w="794" w:type="pct"/>
                  <w:tcBorders>
                    <w:tl2br w:val="nil"/>
                    <w:tr2bl w:val="nil"/>
                  </w:tcBorders>
                  <w:noWrap w:val="0"/>
                  <w:vAlign w:val="center"/>
                </w:tcPr>
                <w:p w14:paraId="2B068E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A667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F21ED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（二）动物诊疗场所选址距离动物饲养场、动物屠宰加工场所、经营动物的集贸市场不少于200米</w:t>
                  </w:r>
                </w:p>
              </w:tc>
              <w:tc>
                <w:tcPr>
                  <w:tcW w:w="1561" w:type="pct"/>
                  <w:tcBorders>
                    <w:tl2br w:val="nil"/>
                    <w:tr2bl w:val="nil"/>
                  </w:tcBorders>
                  <w:noWrap w:val="0"/>
                  <w:vAlign w:val="center"/>
                </w:tcPr>
                <w:p w14:paraId="161CF5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项目周边200m范围内无动物饲养场、动物屠宰加工场所、经营动物的集贸市场等</w:t>
                  </w:r>
                </w:p>
              </w:tc>
              <w:tc>
                <w:tcPr>
                  <w:tcW w:w="794" w:type="pct"/>
                  <w:tcBorders>
                    <w:tl2br w:val="nil"/>
                    <w:tr2bl w:val="nil"/>
                  </w:tcBorders>
                  <w:noWrap w:val="0"/>
                  <w:vAlign w:val="center"/>
                </w:tcPr>
                <w:p w14:paraId="0FFEAC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4541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2ACBFE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（三）动物诊疗场所设有独立的出入口，出入口不得设在居民住宅楼内或院内，不得与同一建筑物的其他用户共用通道</w:t>
                  </w:r>
                </w:p>
              </w:tc>
              <w:tc>
                <w:tcPr>
                  <w:tcW w:w="1561" w:type="pct"/>
                  <w:tcBorders>
                    <w:tl2br w:val="nil"/>
                    <w:tr2bl w:val="nil"/>
                  </w:tcBorders>
                  <w:noWrap w:val="0"/>
                  <w:vAlign w:val="center"/>
                </w:tcPr>
                <w:p w14:paraId="332898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项目所在区域为</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商铺</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，设置了独立的出入口，没有与其他用户共用通道</w:t>
                  </w:r>
                </w:p>
              </w:tc>
              <w:tc>
                <w:tcPr>
                  <w:tcW w:w="794" w:type="pct"/>
                  <w:tcBorders>
                    <w:tl2br w:val="nil"/>
                    <w:tr2bl w:val="nil"/>
                  </w:tcBorders>
                  <w:noWrap w:val="0"/>
                  <w:vAlign w:val="center"/>
                </w:tcPr>
                <w:p w14:paraId="1EC7F7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354D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E179A4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（四）具有布局合理的诊疗室、隔离室、药房等设施</w:t>
                  </w:r>
                </w:p>
              </w:tc>
              <w:tc>
                <w:tcPr>
                  <w:tcW w:w="1561" w:type="pct"/>
                  <w:tcBorders>
                    <w:tl2br w:val="nil"/>
                    <w:tr2bl w:val="nil"/>
                  </w:tcBorders>
                  <w:noWrap w:val="0"/>
                  <w:vAlign w:val="center"/>
                </w:tcPr>
                <w:p w14:paraId="53AE17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医院设置有诊疗室、隔离室、药房等设施。</w:t>
                  </w:r>
                </w:p>
              </w:tc>
              <w:tc>
                <w:tcPr>
                  <w:tcW w:w="794" w:type="pct"/>
                  <w:tcBorders>
                    <w:tl2br w:val="nil"/>
                    <w:tr2bl w:val="nil"/>
                  </w:tcBorders>
                  <w:noWrap w:val="0"/>
                  <w:vAlign w:val="center"/>
                </w:tcPr>
                <w:p w14:paraId="7FB302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7896F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3E2A778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（五）具有诊断、消毒、冷藏、常规化验污水处理等器械设备</w:t>
                  </w:r>
                </w:p>
              </w:tc>
              <w:tc>
                <w:tcPr>
                  <w:tcW w:w="1561" w:type="pct"/>
                  <w:tcBorders>
                    <w:tl2br w:val="nil"/>
                    <w:tr2bl w:val="nil"/>
                  </w:tcBorders>
                  <w:noWrap w:val="0"/>
                  <w:vAlign w:val="center"/>
                </w:tcPr>
                <w:p w14:paraId="4EB670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项目具有诊断、消毒、冷藏、常规化验、污水处理设施等器械设备</w:t>
                  </w:r>
                </w:p>
              </w:tc>
              <w:tc>
                <w:tcPr>
                  <w:tcW w:w="794" w:type="pct"/>
                  <w:tcBorders>
                    <w:tl2br w:val="nil"/>
                    <w:tr2bl w:val="nil"/>
                  </w:tcBorders>
                  <w:noWrap w:val="0"/>
                  <w:vAlign w:val="center"/>
                </w:tcPr>
                <w:p w14:paraId="520A38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BB07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8FFD25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（六）具有诊疗废弃物暂存处理设施，并委托专业处理机构处理</w:t>
                  </w:r>
                </w:p>
              </w:tc>
              <w:tc>
                <w:tcPr>
                  <w:tcW w:w="1561" w:type="pct"/>
                  <w:tcBorders>
                    <w:tl2br w:val="nil"/>
                    <w:tr2bl w:val="nil"/>
                  </w:tcBorders>
                  <w:noWrap w:val="0"/>
                  <w:vAlign w:val="center"/>
                </w:tcPr>
                <w:p w14:paraId="01A7AC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项目设有医废间，并委托有资质单位进行处理。</w:t>
                  </w:r>
                </w:p>
              </w:tc>
              <w:tc>
                <w:tcPr>
                  <w:tcW w:w="794" w:type="pct"/>
                  <w:tcBorders>
                    <w:tl2br w:val="nil"/>
                    <w:tr2bl w:val="nil"/>
                  </w:tcBorders>
                  <w:noWrap w:val="0"/>
                  <w:vAlign w:val="center"/>
                </w:tcPr>
                <w:p w14:paraId="17413E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55CB4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CB7032C">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（七）具有染疫或者疑似染疫动物的隔离控制措施及设施设备</w:t>
                  </w:r>
                </w:p>
              </w:tc>
              <w:tc>
                <w:tcPr>
                  <w:tcW w:w="1561" w:type="pct"/>
                  <w:tcBorders>
                    <w:tl2br w:val="nil"/>
                    <w:tr2bl w:val="nil"/>
                  </w:tcBorders>
                  <w:noWrap w:val="0"/>
                  <w:vAlign w:val="center"/>
                </w:tcPr>
                <w:p w14:paraId="6F3790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项目设有隔离室</w:t>
                  </w:r>
                </w:p>
              </w:tc>
              <w:tc>
                <w:tcPr>
                  <w:tcW w:w="794" w:type="pct"/>
                  <w:tcBorders>
                    <w:tl2br w:val="nil"/>
                    <w:tr2bl w:val="nil"/>
                  </w:tcBorders>
                  <w:noWrap w:val="0"/>
                  <w:vAlign w:val="center"/>
                </w:tcPr>
                <w:p w14:paraId="6D9E55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2C0F9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09F3C724">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（八）具有与动物诊疗活动相适应的执业兽医</w:t>
                  </w:r>
                </w:p>
              </w:tc>
              <w:tc>
                <w:tcPr>
                  <w:tcW w:w="1561" w:type="pct"/>
                  <w:tcBorders>
                    <w:tl2br w:val="nil"/>
                    <w:tr2bl w:val="nil"/>
                  </w:tcBorders>
                  <w:noWrap w:val="0"/>
                  <w:vAlign w:val="center"/>
                </w:tcPr>
                <w:p w14:paraId="454C04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项目拥有已取得执业兽医师资格证书的人员</w:t>
                  </w:r>
                </w:p>
              </w:tc>
              <w:tc>
                <w:tcPr>
                  <w:tcW w:w="794" w:type="pct"/>
                  <w:tcBorders>
                    <w:tl2br w:val="nil"/>
                    <w:tr2bl w:val="nil"/>
                  </w:tcBorders>
                  <w:noWrap w:val="0"/>
                  <w:vAlign w:val="center"/>
                </w:tcPr>
                <w:p w14:paraId="340B69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97AE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7077D5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（九）具有完善的诊疗服务、疫情报告、卫生安全防护、消毒、隔离、诊疗废弃物暂存、兽医器械、兽药处方、药物和无害化处理等管理制度</w:t>
                  </w:r>
                </w:p>
              </w:tc>
              <w:tc>
                <w:tcPr>
                  <w:tcW w:w="1561" w:type="pct"/>
                  <w:tcBorders>
                    <w:tl2br w:val="nil"/>
                    <w:tr2bl w:val="nil"/>
                  </w:tcBorders>
                  <w:noWrap w:val="0"/>
                  <w:vAlign w:val="center"/>
                </w:tcPr>
                <w:p w14:paraId="307A28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项目拥有完善的诊疗服务、疫情报告、卫生安全防护、消毒、隔离、诊疗废弃物暂存、兽医器械、兽药处方、药物和无害化处理等管理制度</w:t>
                  </w:r>
                </w:p>
              </w:tc>
              <w:tc>
                <w:tcPr>
                  <w:tcW w:w="794" w:type="pct"/>
                  <w:tcBorders>
                    <w:tl2br w:val="nil"/>
                    <w:tr2bl w:val="nil"/>
                  </w:tcBorders>
                  <w:noWrap w:val="0"/>
                  <w:vAlign w:val="center"/>
                </w:tcPr>
                <w:p w14:paraId="74E71C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696D9E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综上所述，项目的建设符合《动物诊疗机构管理办法》（农业农村部令2022年第5号）的相关要求。</w:t>
            </w:r>
          </w:p>
          <w:p w14:paraId="520D89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 xml:space="preserve"> 与《中华人民共和国动物防疫法》</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2021版</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农业农村部令2022年第5号</w:t>
            </w:r>
            <w:r>
              <w:rPr>
                <w:rFonts w:hint="default" w:ascii="Times New Roman" w:hAnsi="Times New Roman" w:eastAsia="宋体" w:cs="Times New Roman"/>
                <w:b/>
                <w:bCs/>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符合性分析</w:t>
            </w:r>
          </w:p>
          <w:p w14:paraId="56DB28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项目与《中华人民共和国动物防疫法》</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2021版</w:t>
            </w:r>
            <w:r>
              <w:rPr>
                <w:rFonts w:hint="default" w:ascii="Times New Roman" w:hAnsi="Times New Roman" w:eastAsia="宋体" w:cs="Times New Roman"/>
                <w:b w:val="0"/>
                <w:bCs w:val="0"/>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的符合性分析详见下表。</w:t>
            </w:r>
          </w:p>
          <w:p w14:paraId="435C91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表</w:t>
            </w:r>
            <w:r>
              <w:rPr>
                <w:rFonts w:hint="eastAsia" w:cs="Times New Roman"/>
                <w:b/>
                <w:bCs/>
                <w:color w:val="000000" w:themeColor="text1"/>
                <w:sz w:val="24"/>
                <w:szCs w:val="24"/>
                <w:highlight w:val="none"/>
                <w:vertAlign w:val="baseline"/>
                <w:lang w:val="en-US" w:eastAsia="zh-CN"/>
                <w14:textFill>
                  <w14:solidFill>
                    <w14:schemeClr w14:val="tx1"/>
                  </w14:solidFill>
                </w14:textFill>
              </w:rPr>
              <w:t>1.3-5</w:t>
            </w:r>
            <w:r>
              <w:rPr>
                <w:rFonts w:hint="default" w:ascii="Times New Roman" w:hAnsi="Times New Roman" w:eastAsia="宋体" w:cs="Times New Roman"/>
                <w:b/>
                <w:bCs/>
                <w:color w:val="000000" w:themeColor="text1"/>
                <w:sz w:val="24"/>
                <w:szCs w:val="24"/>
                <w:highlight w:val="none"/>
                <w:vertAlign w:val="baseline"/>
                <w14:textFill>
                  <w14:solidFill>
                    <w14:schemeClr w14:val="tx1"/>
                  </w14:solidFill>
                </w14:textFill>
              </w:rPr>
              <w:t xml:space="preserve"> 项目与《中华人民共和国动物防疫法》符合性分析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63"/>
              <w:gridCol w:w="2153"/>
              <w:gridCol w:w="1139"/>
            </w:tblGrid>
            <w:tr w14:paraId="39E21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1C51D9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《中华人民共和国动物防疫法》（2021版）</w:t>
                  </w:r>
                </w:p>
              </w:tc>
              <w:tc>
                <w:tcPr>
                  <w:tcW w:w="1570" w:type="pct"/>
                  <w:tcBorders>
                    <w:tl2br w:val="nil"/>
                    <w:tr2bl w:val="nil"/>
                  </w:tcBorders>
                  <w:vAlign w:val="center"/>
                </w:tcPr>
                <w:p w14:paraId="473E42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830" w:type="pct"/>
                  <w:tcBorders>
                    <w:tl2br w:val="nil"/>
                    <w:tr2bl w:val="nil"/>
                  </w:tcBorders>
                  <w:vAlign w:val="center"/>
                </w:tcPr>
                <w:p w14:paraId="4C82CA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08CB5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4AA4A6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不合格的，应当通知申请人并说明理由。</w:t>
                  </w:r>
                </w:p>
              </w:tc>
              <w:tc>
                <w:tcPr>
                  <w:tcW w:w="1570" w:type="pct"/>
                  <w:tcBorders>
                    <w:tl2br w:val="nil"/>
                    <w:tr2bl w:val="nil"/>
                  </w:tcBorders>
                  <w:vAlign w:val="center"/>
                </w:tcPr>
                <w:p w14:paraId="59909F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已</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取得动物诊疗许可证</w:t>
                  </w:r>
                </w:p>
              </w:tc>
              <w:tc>
                <w:tcPr>
                  <w:tcW w:w="830" w:type="pct"/>
                  <w:tcBorders>
                    <w:tl2br w:val="nil"/>
                    <w:tr2bl w:val="nil"/>
                  </w:tcBorders>
                  <w:vAlign w:val="center"/>
                </w:tcPr>
                <w:p w14:paraId="12661D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4C438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53670A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动物诊疗机构应当按照国务院农业农村主管部门的规定，做好诊疗活动中的卫生安全防护、消毒、隔离和诊疗废弃物处置等工作。</w:t>
                  </w:r>
                </w:p>
              </w:tc>
              <w:tc>
                <w:tcPr>
                  <w:tcW w:w="1570" w:type="pct"/>
                  <w:tcBorders>
                    <w:tl2br w:val="nil"/>
                    <w:tr2bl w:val="nil"/>
                  </w:tcBorders>
                  <w:vAlign w:val="center"/>
                </w:tcPr>
                <w:p w14:paraId="5525BF3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项目按相关规定及环评要求做好诊疗活动中的卫生安全防护、消毒、隔离诊疗废弃物处置等</w:t>
                  </w:r>
                </w:p>
              </w:tc>
              <w:tc>
                <w:tcPr>
                  <w:tcW w:w="830" w:type="pct"/>
                  <w:tcBorders>
                    <w:tl2br w:val="nil"/>
                    <w:tr2bl w:val="nil"/>
                  </w:tcBorders>
                  <w:vAlign w:val="center"/>
                </w:tcPr>
                <w:p w14:paraId="35752C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3C47F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495BF730">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从事动物诊疗活动，应当遵守有关动物诊疗的操作技术规范，使用符合规定的兽药和兽药器械。</w:t>
                  </w:r>
                </w:p>
              </w:tc>
              <w:tc>
                <w:tcPr>
                  <w:tcW w:w="1570" w:type="pct"/>
                  <w:tcBorders>
                    <w:tl2br w:val="nil"/>
                    <w:tr2bl w:val="nil"/>
                  </w:tcBorders>
                  <w:vAlign w:val="center"/>
                </w:tcPr>
                <w:p w14:paraId="62236B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项目使用符合规定的器械和药品</w:t>
                  </w:r>
                </w:p>
              </w:tc>
              <w:tc>
                <w:tcPr>
                  <w:tcW w:w="830" w:type="pct"/>
                  <w:tcBorders>
                    <w:tl2br w:val="nil"/>
                    <w:tr2bl w:val="nil"/>
                  </w:tcBorders>
                  <w:vAlign w:val="center"/>
                </w:tcPr>
                <w:p w14:paraId="7A129C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4C9B7F93">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3.6 与《重庆市生态环境局重庆市农业农村委员会关于规范动物诊疗机构医疗废物集中无害化处置的通知》渝环</w:t>
            </w:r>
            <w:r>
              <w:rPr>
                <w:rFonts w:hint="eastAsia" w:cs="Times New Roman"/>
                <w:b/>
                <w:bCs/>
                <w:color w:val="000000" w:themeColor="text1"/>
                <w:kern w:val="0"/>
                <w:sz w:val="24"/>
                <w:szCs w:val="24"/>
                <w:highlight w:val="none"/>
                <w:lang w:val="en-US" w:eastAsia="zh-CN"/>
                <w14:textFill>
                  <w14:solidFill>
                    <w14:schemeClr w14:val="tx1"/>
                  </w14:solidFill>
                </w14:textFill>
              </w:rPr>
              <w:t>〔2019〕185号</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的符合性分析</w:t>
            </w:r>
          </w:p>
          <w:p w14:paraId="35B1EC7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项目与《重庆市生态环境局重庆市农业农村委员会关于规范动物诊疗机构医疗废物集中无害化处置的通知》详见下表。</w:t>
            </w:r>
          </w:p>
          <w:p w14:paraId="5C2902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w:t>
            </w:r>
            <w:r>
              <w:rPr>
                <w:rFonts w:hint="eastAsia" w:cs="Times New Roman"/>
                <w:b/>
                <w:bCs/>
                <w:color w:val="000000" w:themeColor="text1"/>
                <w:kern w:val="0"/>
                <w:sz w:val="24"/>
                <w:szCs w:val="24"/>
                <w:highlight w:val="none"/>
                <w:lang w:val="en-US" w:eastAsia="zh-CN"/>
                <w14:textFill>
                  <w14:solidFill>
                    <w14:schemeClr w14:val="tx1"/>
                  </w14:solidFill>
                </w14:textFill>
              </w:rPr>
              <w:t xml:space="preserve">1.3-6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项目与《重庆市生态环境局重庆市农业农村委员会关于规范动物诊疗机构医疗废物集中无害化处置的通知》符合性分析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8"/>
              <w:gridCol w:w="1634"/>
              <w:gridCol w:w="1133"/>
            </w:tblGrid>
            <w:tr w14:paraId="1CB35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091DA6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通知内容</w:t>
                  </w:r>
                </w:p>
              </w:tc>
              <w:tc>
                <w:tcPr>
                  <w:tcW w:w="1192" w:type="pct"/>
                  <w:tcBorders>
                    <w:tl2br w:val="nil"/>
                    <w:tr2bl w:val="nil"/>
                  </w:tcBorders>
                  <w:vAlign w:val="center"/>
                </w:tcPr>
                <w:p w14:paraId="4D9D95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项目情况</w:t>
                  </w:r>
                </w:p>
              </w:tc>
              <w:tc>
                <w:tcPr>
                  <w:tcW w:w="826" w:type="pct"/>
                  <w:tcBorders>
                    <w:tl2br w:val="nil"/>
                    <w:tr2bl w:val="nil"/>
                  </w:tcBorders>
                  <w:vAlign w:val="center"/>
                </w:tcPr>
                <w:p w14:paraId="46924B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符合性</w:t>
                  </w:r>
                </w:p>
              </w:tc>
            </w:tr>
            <w:tr w14:paraId="6EFA7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6702D502">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1192" w:type="pct"/>
                  <w:tcBorders>
                    <w:tl2br w:val="nil"/>
                    <w:tr2bl w:val="nil"/>
                  </w:tcBorders>
                  <w:vAlign w:val="center"/>
                </w:tcPr>
                <w:p w14:paraId="7093D3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项目产生的医疗废物经医废间暂存后，定期交资质单位进行处置。</w:t>
                  </w:r>
                </w:p>
              </w:tc>
              <w:tc>
                <w:tcPr>
                  <w:tcW w:w="826" w:type="pct"/>
                  <w:tcBorders>
                    <w:tl2br w:val="nil"/>
                    <w:tr2bl w:val="nil"/>
                  </w:tcBorders>
                  <w:vAlign w:val="center"/>
                </w:tcPr>
                <w:p w14:paraId="7DC397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19D44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2D6B98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医疗废物应交由医疗废物处置单位进行集中处置，并做好有关交接、登记和统计等工作，转移医疗废物应执行危险废物转移联单制度保证医疗废物的可追溯性。</w:t>
                  </w:r>
                </w:p>
              </w:tc>
              <w:tc>
                <w:tcPr>
                  <w:tcW w:w="1192" w:type="pct"/>
                  <w:tcBorders>
                    <w:tl2br w:val="nil"/>
                    <w:tr2bl w:val="nil"/>
                  </w:tcBorders>
                  <w:vAlign w:val="center"/>
                </w:tcPr>
                <w:p w14:paraId="19AA41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项目已设置医废间，对产生的医疗废物进行暂存，已与医疗废物资质单位签订协议，定期交资质单位处置。</w:t>
                  </w:r>
                </w:p>
              </w:tc>
              <w:tc>
                <w:tcPr>
                  <w:tcW w:w="826" w:type="pct"/>
                  <w:tcBorders>
                    <w:tl2br w:val="nil"/>
                    <w:tr2bl w:val="nil"/>
                  </w:tcBorders>
                  <w:vAlign w:val="center"/>
                </w:tcPr>
                <w:p w14:paraId="1BDD60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r w14:paraId="6AF49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0733C7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三、各医疗废物处置单位应严格按照医疗废物处置的有关技术规范开展对动物诊疗机构医疗废物收集、运输、贮存及处置的工作，其中动物诊疗机构医疗废物和医疗卫生机构医疗废物应分类收运、贮存及处置</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情况，并定期向生态环境部门报告。处置单位要加强对动物诊疗机构医疗废物处置过程的管控，制定并严格执行操作规程，做好处置人员的培训和职业卫生防护;建立危险废物经营情况记录簿，如实记录动物诊疗机构医疗废物的转移、贮存及处置</w:t>
                  </w:r>
                </w:p>
              </w:tc>
              <w:tc>
                <w:tcPr>
                  <w:tcW w:w="1192" w:type="pct"/>
                  <w:tcBorders>
                    <w:tl2br w:val="nil"/>
                    <w:tr2bl w:val="nil"/>
                  </w:tcBorders>
                  <w:vAlign w:val="center"/>
                </w:tcPr>
                <w:p w14:paraId="0E0CD7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企业建立了管理责任制，使用后的针头、一次性输液器、输液管等医疗废物分类收集于医疗废物收集桶，并分类别置于医废间</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产生的医疗废物交有资质单位处置，并按照危险废物转移管理办法执行。</w:t>
                  </w:r>
                </w:p>
              </w:tc>
              <w:tc>
                <w:tcPr>
                  <w:tcW w:w="826" w:type="pct"/>
                  <w:tcBorders>
                    <w:tl2br w:val="nil"/>
                    <w:tr2bl w:val="nil"/>
                  </w:tcBorders>
                  <w:vAlign w:val="center"/>
                </w:tcPr>
                <w:p w14:paraId="3CF8B4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符合</w:t>
                  </w:r>
                </w:p>
              </w:tc>
            </w:tr>
          </w:tbl>
          <w:p w14:paraId="1FC44B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综上所述，项目的建设符合《重庆市生态环境局重庆市农业农村委员会关于规范动物诊疗机构医疗废物集中无害化处置的通知》的相关要求。</w:t>
            </w:r>
          </w:p>
          <w:p w14:paraId="1F0BAB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3.7 与《重庆市动物防疫条例》（2023年9月27日修订）符合性分析</w:t>
            </w:r>
          </w:p>
          <w:p w14:paraId="3A043A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项目与</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《重庆市动物防疫条例》（2023年9月27日修订）</w:t>
            </w:r>
            <w:r>
              <w:rPr>
                <w:rFonts w:hint="default" w:ascii="Times New Roman" w:hAnsi="Times New Roman" w:eastAsia="宋体" w:cs="Times New Roman"/>
                <w:b w:val="0"/>
                <w:bCs w:val="0"/>
                <w:color w:val="000000" w:themeColor="text1"/>
                <w:sz w:val="24"/>
                <w:szCs w:val="24"/>
                <w:highlight w:val="none"/>
                <w:vertAlign w:val="baseline"/>
                <w14:textFill>
                  <w14:solidFill>
                    <w14:schemeClr w14:val="tx1"/>
                  </w14:solidFill>
                </w14:textFill>
              </w:rPr>
              <w:t>的符合性分析详见下表。</w:t>
            </w:r>
          </w:p>
          <w:p w14:paraId="5C76C3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bCs/>
                <w:color w:val="auto"/>
                <w:sz w:val="24"/>
                <w:szCs w:val="24"/>
                <w:highlight w:val="none"/>
                <w:vertAlign w:val="baseline"/>
              </w:rPr>
            </w:pPr>
            <w:r>
              <w:rPr>
                <w:rFonts w:hint="default" w:ascii="Times New Roman" w:hAnsi="Times New Roman" w:eastAsia="宋体" w:cs="Times New Roman"/>
                <w:b/>
                <w:bCs/>
                <w:color w:val="auto"/>
                <w:sz w:val="24"/>
                <w:szCs w:val="24"/>
                <w:highlight w:val="none"/>
                <w:vertAlign w:val="baseline"/>
              </w:rPr>
              <w:t>表</w:t>
            </w:r>
            <w:r>
              <w:rPr>
                <w:rFonts w:hint="eastAsia" w:cs="Times New Roman"/>
                <w:b/>
                <w:bCs/>
                <w:color w:val="auto"/>
                <w:sz w:val="24"/>
                <w:szCs w:val="24"/>
                <w:highlight w:val="none"/>
                <w:vertAlign w:val="baseline"/>
                <w:lang w:val="en-US" w:eastAsia="zh-CN"/>
              </w:rPr>
              <w:t>1.3-7</w:t>
            </w:r>
            <w:r>
              <w:rPr>
                <w:rFonts w:hint="default" w:ascii="Times New Roman" w:hAnsi="Times New Roman" w:eastAsia="宋体" w:cs="Times New Roman"/>
                <w:b/>
                <w:bCs/>
                <w:color w:val="auto"/>
                <w:sz w:val="24"/>
                <w:szCs w:val="24"/>
                <w:highlight w:val="none"/>
                <w:vertAlign w:val="baseline"/>
              </w:rPr>
              <w:t>与《重庆市动物防疫条例》符合性分析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3"/>
              <w:gridCol w:w="1633"/>
              <w:gridCol w:w="1139"/>
            </w:tblGrid>
            <w:tr w14:paraId="528C0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450FE7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《重庆市动物防疫条例》相关规定要求</w:t>
                  </w:r>
                </w:p>
              </w:tc>
              <w:tc>
                <w:tcPr>
                  <w:tcW w:w="1191" w:type="pct"/>
                  <w:tcBorders>
                    <w:tl2br w:val="nil"/>
                    <w:tr2bl w:val="nil"/>
                  </w:tcBorders>
                  <w:vAlign w:val="center"/>
                </w:tcPr>
                <w:p w14:paraId="45281B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项目情况</w:t>
                  </w:r>
                </w:p>
              </w:tc>
              <w:tc>
                <w:tcPr>
                  <w:tcW w:w="830" w:type="pct"/>
                  <w:tcBorders>
                    <w:tl2br w:val="nil"/>
                    <w:tr2bl w:val="nil"/>
                  </w:tcBorders>
                  <w:vAlign w:val="center"/>
                </w:tcPr>
                <w:p w14:paraId="10B4A9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符合性</w:t>
                  </w:r>
                </w:p>
              </w:tc>
            </w:tr>
            <w:tr w14:paraId="44579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0B0C17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第六条从事动物饲养、屠宰、经营、隔离、运输、诊疗以及动物产品生产、经营、加工贮藏等活动的单位和个人，应当依法做好免疫、消毒、检测、隔离、净化、消灭、无害化处理等动物防疫工作，承担动物防疫相关责</w:t>
                  </w:r>
                  <w:r>
                    <w:rPr>
                      <w:rFonts w:hint="eastAsia" w:cs="Times New Roman"/>
                      <w:b w:val="0"/>
                      <w:bCs w:val="0"/>
                      <w:color w:val="auto"/>
                      <w:sz w:val="21"/>
                      <w:szCs w:val="21"/>
                      <w:highlight w:val="none"/>
                      <w:vertAlign w:val="baseline"/>
                      <w:lang w:val="en-US" w:eastAsia="zh-CN"/>
                    </w:rPr>
                    <w:t>任</w:t>
                  </w:r>
                  <w:r>
                    <w:rPr>
                      <w:rFonts w:hint="default" w:ascii="Times New Roman" w:hAnsi="Times New Roman" w:eastAsia="宋体" w:cs="Times New Roman"/>
                      <w:b w:val="0"/>
                      <w:bCs w:val="0"/>
                      <w:color w:val="auto"/>
                      <w:sz w:val="21"/>
                      <w:szCs w:val="21"/>
                      <w:highlight w:val="none"/>
                      <w:vertAlign w:val="baseline"/>
                    </w:rPr>
                    <w:t>。</w:t>
                  </w:r>
                </w:p>
              </w:tc>
              <w:tc>
                <w:tcPr>
                  <w:tcW w:w="1191" w:type="pct"/>
                  <w:tcBorders>
                    <w:tl2br w:val="nil"/>
                    <w:tr2bl w:val="nil"/>
                  </w:tcBorders>
                  <w:vAlign w:val="center"/>
                </w:tcPr>
                <w:p w14:paraId="053024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rPr>
                    <w:t>项目为动物医院，设置了隔离病房，并做好免疫、消毒等动物防疫工作，项目</w:t>
                  </w:r>
                  <w:r>
                    <w:rPr>
                      <w:rFonts w:hint="eastAsia" w:cs="Times New Roman"/>
                      <w:b w:val="0"/>
                      <w:bCs w:val="0"/>
                      <w:color w:val="auto"/>
                      <w:sz w:val="21"/>
                      <w:szCs w:val="21"/>
                      <w:highlight w:val="none"/>
                      <w:vertAlign w:val="baseline"/>
                      <w:lang w:val="en-US" w:eastAsia="zh-CN"/>
                    </w:rPr>
                    <w:t>宠物</w:t>
                  </w:r>
                  <w:r>
                    <w:rPr>
                      <w:rFonts w:hint="default" w:ascii="Times New Roman" w:hAnsi="Times New Roman" w:eastAsia="宋体" w:cs="Times New Roman"/>
                      <w:b w:val="0"/>
                      <w:bCs w:val="0"/>
                      <w:color w:val="auto"/>
                      <w:sz w:val="21"/>
                      <w:szCs w:val="21"/>
                      <w:highlight w:val="none"/>
                      <w:vertAlign w:val="baseline"/>
                    </w:rPr>
                    <w:t>尸体</w:t>
                  </w:r>
                  <w:r>
                    <w:rPr>
                      <w:rFonts w:hint="eastAsia" w:cs="Times New Roman"/>
                      <w:b w:val="0"/>
                      <w:bCs w:val="0"/>
                      <w:color w:val="auto"/>
                      <w:sz w:val="21"/>
                      <w:szCs w:val="21"/>
                      <w:highlight w:val="none"/>
                      <w:vertAlign w:val="baseline"/>
                      <w:lang w:val="en-US" w:eastAsia="zh-CN"/>
                    </w:rPr>
                    <w:t>交由有无害化处置资质的单位进行无害化处置。</w:t>
                  </w:r>
                </w:p>
              </w:tc>
              <w:tc>
                <w:tcPr>
                  <w:tcW w:w="830" w:type="pct"/>
                  <w:tcBorders>
                    <w:tl2br w:val="nil"/>
                    <w:tr2bl w:val="nil"/>
                  </w:tcBorders>
                  <w:vAlign w:val="center"/>
                </w:tcPr>
                <w:p w14:paraId="53783E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738A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2885BB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rPr>
                    <w:t>第二十二条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default" w:ascii="Times New Roman" w:hAnsi="Times New Roman" w:eastAsia="宋体" w:cs="Times New Roman"/>
                      <w:b w:val="0"/>
                      <w:bCs w:val="0"/>
                      <w:color w:val="auto"/>
                      <w:sz w:val="21"/>
                      <w:szCs w:val="21"/>
                      <w:highlight w:val="none"/>
                      <w:vertAlign w:val="baseline"/>
                      <w:lang w:val="en-US" w:eastAsia="zh-CN"/>
                    </w:rPr>
                    <w:t>从事</w:t>
                  </w:r>
                  <w:r>
                    <w:rPr>
                      <w:rFonts w:hint="default" w:ascii="Times New Roman" w:hAnsi="Times New Roman" w:eastAsia="宋体" w:cs="Times New Roman"/>
                      <w:b w:val="0"/>
                      <w:bCs w:val="0"/>
                      <w:color w:val="auto"/>
                      <w:sz w:val="21"/>
                      <w:szCs w:val="21"/>
                      <w:highlight w:val="none"/>
                      <w:vertAlign w:val="baseline"/>
                    </w:rPr>
                    <w:t>动物、动物产品运输的单位和个人，应当配合做好病死动物和病害动物产品的无害化处理，不得擅自弃置和处理有关动物和动物产品。任何单位和个人不得买卖、加工、随意弃置病死动物和病害动物产品</w:t>
                  </w:r>
                  <w:r>
                    <w:rPr>
                      <w:rFonts w:hint="default" w:ascii="Times New Roman" w:hAnsi="Times New Roman" w:eastAsia="宋体" w:cs="Times New Roman"/>
                      <w:b w:val="0"/>
                      <w:bCs w:val="0"/>
                      <w:color w:val="auto"/>
                      <w:sz w:val="21"/>
                      <w:szCs w:val="21"/>
                      <w:highlight w:val="none"/>
                      <w:vertAlign w:val="baseline"/>
                      <w:lang w:eastAsia="zh-CN"/>
                    </w:rPr>
                    <w:t>。</w:t>
                  </w:r>
                </w:p>
              </w:tc>
              <w:tc>
                <w:tcPr>
                  <w:tcW w:w="1191" w:type="pct"/>
                  <w:tcBorders>
                    <w:tl2br w:val="nil"/>
                    <w:tr2bl w:val="nil"/>
                  </w:tcBorders>
                  <w:vAlign w:val="center"/>
                </w:tcPr>
                <w:p w14:paraId="67957A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rPr>
                    <w:t>项目为动物医院，</w:t>
                  </w:r>
                  <w:r>
                    <w:rPr>
                      <w:rFonts w:hint="eastAsia" w:cs="Times New Roman"/>
                      <w:b w:val="0"/>
                      <w:bCs w:val="0"/>
                      <w:color w:val="auto"/>
                      <w:sz w:val="21"/>
                      <w:szCs w:val="21"/>
                      <w:highlight w:val="none"/>
                      <w:vertAlign w:val="baseline"/>
                      <w:lang w:val="en-US" w:eastAsia="zh-CN"/>
                    </w:rPr>
                    <w:t>设置</w:t>
                  </w:r>
                  <w:r>
                    <w:rPr>
                      <w:rFonts w:hint="default" w:ascii="Times New Roman" w:hAnsi="Times New Roman" w:eastAsia="宋体" w:cs="Times New Roman"/>
                      <w:b w:val="0"/>
                      <w:bCs w:val="0"/>
                      <w:color w:val="auto"/>
                      <w:sz w:val="21"/>
                      <w:szCs w:val="21"/>
                      <w:highlight w:val="none"/>
                      <w:vertAlign w:val="baseline"/>
                    </w:rPr>
                    <w:t>了隔离病房，病死动物及病害动物交动物尸体</w:t>
                  </w:r>
                  <w:r>
                    <w:rPr>
                      <w:rFonts w:hint="eastAsia" w:cs="Times New Roman"/>
                      <w:b w:val="0"/>
                      <w:bCs w:val="0"/>
                      <w:color w:val="auto"/>
                      <w:sz w:val="21"/>
                      <w:szCs w:val="21"/>
                      <w:highlight w:val="none"/>
                      <w:vertAlign w:val="baseline"/>
                      <w:lang w:val="en-US" w:eastAsia="zh-CN"/>
                    </w:rPr>
                    <w:t>交由有无害化处置资质的单位进行无害化处置。</w:t>
                  </w:r>
                </w:p>
              </w:tc>
              <w:tc>
                <w:tcPr>
                  <w:tcW w:w="830" w:type="pct"/>
                  <w:tcBorders>
                    <w:tl2br w:val="nil"/>
                    <w:tr2bl w:val="nil"/>
                  </w:tcBorders>
                  <w:vAlign w:val="center"/>
                </w:tcPr>
                <w:p w14:paraId="00C441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14:paraId="46379A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3.8 选址合理性</w:t>
            </w:r>
          </w:p>
          <w:p w14:paraId="23759B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FF0000"/>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auto"/>
                <w:sz w:val="24"/>
                <w:szCs w:val="24"/>
                <w:highlight w:val="none"/>
                <w:vertAlign w:val="baseline"/>
                <w:lang w:val="en-US" w:eastAsia="zh-CN"/>
              </w:rPr>
              <w:t>的商业裙楼，共2层，本项目位于</w:t>
            </w:r>
            <w:r>
              <w:rPr>
                <w:rFonts w:hint="eastAsia" w:eastAsia="宋体"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szCs w:val="24"/>
                <w:highlight w:val="none"/>
                <w:vertAlign w:val="baseline"/>
                <w:lang w:val="en-US" w:eastAsia="zh-CN"/>
              </w:rPr>
              <w:t>F</w:t>
            </w:r>
            <w:r>
              <w:rPr>
                <w:rFonts w:hint="eastAsia"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相邻均为商业住宅混合区。医院</w:t>
            </w:r>
            <w:r>
              <w:rPr>
                <w:rFonts w:hint="default" w:ascii="Times New Roman" w:hAnsi="Times New Roman" w:eastAsia="宋体" w:cs="Times New Roman"/>
                <w:b w:val="0"/>
                <w:bCs/>
                <w:color w:val="auto"/>
                <w:sz w:val="24"/>
                <w:szCs w:val="24"/>
                <w:highlight w:val="none"/>
                <w:lang w:val="en-US" w:eastAsia="zh-CN"/>
              </w:rPr>
              <w:t>于202</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月开始建设，202</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月开始营业</w:t>
            </w:r>
            <w:r>
              <w:rPr>
                <w:rFonts w:hint="default" w:ascii="Times New Roman" w:hAnsi="Times New Roman" w:eastAsia="宋体" w:cs="Times New Roman"/>
                <w:b w:val="0"/>
                <w:bCs w:val="0"/>
                <w:color w:val="auto"/>
                <w:sz w:val="24"/>
                <w:szCs w:val="24"/>
                <w:highlight w:val="none"/>
                <w:vertAlign w:val="baseline"/>
                <w:lang w:val="en-US" w:eastAsia="zh-CN"/>
              </w:rPr>
              <w:t>，营业至今约</w:t>
            </w:r>
            <w:r>
              <w:rPr>
                <w:rFonts w:hint="eastAsia" w:cs="Times New Roman"/>
                <w:b w:val="0"/>
                <w:bCs w:val="0"/>
                <w:color w:val="auto"/>
                <w:sz w:val="24"/>
                <w:szCs w:val="24"/>
                <w:highlight w:val="none"/>
                <w:vertAlign w:val="baseline"/>
                <w:lang w:val="en-US" w:eastAsia="zh-CN"/>
              </w:rPr>
              <w:t>2个月</w:t>
            </w:r>
            <w:r>
              <w:rPr>
                <w:rFonts w:hint="default" w:ascii="Times New Roman" w:hAnsi="Times New Roman" w:eastAsia="宋体" w:cs="Times New Roman"/>
                <w:b w:val="0"/>
                <w:bCs w:val="0"/>
                <w:color w:val="auto"/>
                <w:sz w:val="24"/>
                <w:szCs w:val="24"/>
                <w:highlight w:val="none"/>
                <w:vertAlign w:val="baseline"/>
                <w:lang w:val="en-US" w:eastAsia="zh-CN"/>
              </w:rPr>
              <w:t>，在此期</w:t>
            </w:r>
            <w:r>
              <w:rPr>
                <w:rFonts w:hint="default" w:ascii="Times New Roman" w:hAnsi="Times New Roman" w:eastAsia="宋体" w:cs="Times New Roman"/>
                <w:b w:val="0"/>
                <w:bCs w:val="0"/>
                <w:color w:val="000000"/>
                <w:sz w:val="24"/>
                <w:szCs w:val="24"/>
                <w:highlight w:val="none"/>
                <w:vertAlign w:val="baseline"/>
                <w:lang w:val="en-US" w:eastAsia="zh-CN"/>
              </w:rPr>
              <w:t>间，未发生环境污染和环保投诉问题。本次扩建是在宠物医院现有手术类别基础上增设三腔手术类型，即动物颅腔、胸腔、腹腔手术，扩建前后动物诊疗的规模不变。</w:t>
            </w:r>
          </w:p>
          <w:p w14:paraId="34E46B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已建设有生化池，主要收纳商业门面废水及住宅废水</w:t>
            </w:r>
            <w:r>
              <w:rPr>
                <w:rFonts w:hint="default" w:ascii="Times New Roman" w:hAnsi="Times New Roman" w:eastAsia="宋体" w:cs="Times New Roman"/>
                <w:b w:val="0"/>
                <w:bCs w:val="0"/>
                <w:color w:val="auto"/>
                <w:sz w:val="24"/>
                <w:szCs w:val="24"/>
                <w:highlight w:val="none"/>
                <w:vertAlign w:val="baseline"/>
                <w:lang w:val="en-US" w:eastAsia="zh-CN"/>
              </w:rPr>
              <w:t>，项目所在区域敷设有完善的雨污管网，该污水管网接入</w:t>
            </w:r>
            <w:r>
              <w:rPr>
                <w:rFonts w:hint="eastAsia" w:eastAsia="宋体" w:cs="Times New Roman"/>
                <w:b w:val="0"/>
                <w:bCs w:val="0"/>
                <w:color w:val="auto"/>
                <w:sz w:val="24"/>
                <w:szCs w:val="24"/>
                <w:highlight w:val="none"/>
                <w:vertAlign w:val="baseline"/>
                <w:lang w:val="en-US" w:eastAsia="zh-CN"/>
              </w:rPr>
              <w:t>彩云湖</w:t>
            </w:r>
            <w:r>
              <w:rPr>
                <w:rFonts w:hint="default" w:ascii="Times New Roman" w:hAnsi="Times New Roman" w:eastAsia="宋体" w:cs="Times New Roman"/>
                <w:b w:val="0"/>
                <w:bCs w:val="0"/>
                <w:color w:val="auto"/>
                <w:sz w:val="24"/>
                <w:szCs w:val="24"/>
                <w:highlight w:val="none"/>
                <w:vertAlign w:val="baseline"/>
                <w:lang w:val="en-US" w:eastAsia="zh-CN"/>
              </w:rPr>
              <w:t>污水处理厂，项目废</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水能得到有效处理。项目紧邻</w:t>
            </w:r>
            <w:r>
              <w:rPr>
                <w:rFonts w:hint="eastAsia" w:cs="Times New Roman"/>
                <w:b w:val="0"/>
                <w:bCs/>
                <w:color w:val="000000" w:themeColor="text1"/>
                <w:sz w:val="24"/>
                <w:szCs w:val="24"/>
                <w:highlight w:val="none"/>
                <w:lang w:val="en-US" w:eastAsia="zh-CN"/>
                <w14:textFill>
                  <w14:solidFill>
                    <w14:schemeClr w14:val="tx1"/>
                  </w14:solidFill>
                </w14:textFill>
              </w:rPr>
              <w:t>火炬大道</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，地理位置优越，交通便捷。项目所在区域城市建设成熟，供电、供水等设施完善，可以满足项目生产运营需要。因此，项目所在区域市政设施完善，有利于项目建设。</w:t>
            </w:r>
          </w:p>
          <w:p w14:paraId="0B5CE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根据环境质量现状评价，项目所在区域</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属于大气环境质量达标区。项目</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最终</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受纳水体为</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长江</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长江干流段</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水质满足《地表水环境质量标准》（GB3838-2002）Ш类水域标准要求。</w:t>
            </w:r>
            <w:r>
              <w:rPr>
                <w:rFonts w:hint="eastAsia" w:eastAsia="宋体" w:cs="Times New Roman"/>
                <w:b w:val="0"/>
                <w:bCs w:val="0"/>
                <w:color w:val="auto"/>
                <w:sz w:val="24"/>
                <w:szCs w:val="24"/>
                <w:highlight w:val="none"/>
                <w:vertAlign w:val="baseline"/>
                <w:lang w:val="en-US" w:eastAsia="zh-CN"/>
              </w:rPr>
              <w:t>弘悦101住宅楼</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昼间</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、夜间</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声环境质量满足《声环境质量标准》（GB3096-2008）</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类标准</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，旁边学校满足</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《声环境质量标准》（GB3096-2008）</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类标准</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因此项目选址区域环境质量总体较好，有利于项目的建设。</w:t>
            </w:r>
          </w:p>
          <w:p w14:paraId="5370CB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项目是在现有医院场址内部进行</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扩建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，周边环境敏感点主要以居民楼为主，为减小噪声影响，要求日常加强管理，避免动物处于饥饿状态。医院内部异味通过自然通风及空调系统排出室外。项目所在为弘悦101的商业裙楼，</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距</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敏感目标</w:t>
            </w:r>
            <w:r>
              <w:rPr>
                <w:rFonts w:hint="eastAsia" w:eastAsia="宋体" w:cs="Times New Roman"/>
                <w:b w:val="0"/>
                <w:bCs w:val="0"/>
                <w:color w:val="000000" w:themeColor="text1"/>
                <w:sz w:val="24"/>
                <w:szCs w:val="24"/>
                <w:highlight w:val="none"/>
                <w:vertAlign w:val="baseline"/>
                <w:lang w:val="en-US" w:eastAsia="zh-CN"/>
                <w14:textFill>
                  <w14:solidFill>
                    <w14:schemeClr w14:val="tx1"/>
                  </w14:solidFill>
                </w14:textFill>
              </w:rPr>
              <w:t>有一定距离</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。因此，项目噪声、臭气对周边居民影响较小，且服务于周边居民，便于居民携宠物就医。</w:t>
            </w:r>
          </w:p>
          <w:p w14:paraId="218B4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根据《动物诊疗机构管理办法》（农业部令19号），第五条</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（二）动物诊疗场所选址距离畜禽养殖场、屠宰加工厂、动物交易场所不少于200m</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（三）动物诊疗场所设有独立的出入口，出入口不得设在居民住宅楼内或者院内，不得与同一建筑物的其他用户共用通道</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，第十八条</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动物诊疗机构兼营宠物用品、宠物食品、宠物美容等项目的，兼营区域与动物诊疗区域应当分别独立设置</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。项目选址位于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auto"/>
                <w:sz w:val="24"/>
                <w:szCs w:val="24"/>
                <w:highlight w:val="none"/>
                <w:vertAlign w:val="baseline"/>
                <w:lang w:val="en-US" w:eastAsia="zh-CN"/>
              </w:rPr>
              <w:t>为</w:t>
            </w:r>
            <w:r>
              <w:rPr>
                <w:rFonts w:hint="eastAsia" w:eastAsia="宋体" w:cs="Times New Roman"/>
                <w:b w:val="0"/>
                <w:bCs w:val="0"/>
                <w:color w:val="auto"/>
                <w:sz w:val="24"/>
                <w:szCs w:val="24"/>
                <w:highlight w:val="none"/>
                <w:vertAlign w:val="baseline"/>
                <w:lang w:val="en-US" w:eastAsia="zh-CN"/>
              </w:rPr>
              <w:t>弘悦101</w:t>
            </w:r>
            <w:r>
              <w:rPr>
                <w:rFonts w:hint="default" w:ascii="Times New Roman" w:hAnsi="Times New Roman" w:eastAsia="宋体" w:cs="Times New Roman"/>
                <w:b w:val="0"/>
                <w:bCs w:val="0"/>
                <w:color w:val="auto"/>
                <w:sz w:val="24"/>
                <w:szCs w:val="24"/>
                <w:highlight w:val="none"/>
                <w:vertAlign w:val="baseline"/>
                <w:lang w:val="en-US" w:eastAsia="zh-CN"/>
              </w:rPr>
              <w:t>的商业裙楼，</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地处城市建成区，周边无畜禽养殖场、屠宰加工厂、动物交易场所，设置独立的出入口，不与其他用户共用，项目用品区与诊疗区分区独立设置，布局合理，因此，该宠物医院选址符合该管理办法。</w:t>
            </w:r>
          </w:p>
          <w:p w14:paraId="251AFF9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综上所述，项目选址合理。</w:t>
            </w:r>
          </w:p>
        </w:tc>
      </w:tr>
    </w:tbl>
    <w:p w14:paraId="426499DE">
      <w:pPr>
        <w:spacing w:line="360" w:lineRule="auto"/>
        <w:outlineLvl w:val="0"/>
        <w:rPr>
          <w:rFonts w:hint="default" w:ascii="Times New Roman" w:hAnsi="Times New Roman" w:eastAsia="黑体" w:cs="Times New Roman"/>
          <w:color w:val="FF0000"/>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A54BB0">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99"/>
      </w:tblGrid>
      <w:tr w14:paraId="2A1BD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3" w:hRule="atLeast"/>
          <w:jc w:val="center"/>
        </w:trPr>
        <w:tc>
          <w:tcPr>
            <w:tcW w:w="485" w:type="dxa"/>
            <w:noWrap w:val="0"/>
            <w:vAlign w:val="center"/>
          </w:tcPr>
          <w:p w14:paraId="6DBF7174">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t>建设内容</w:t>
            </w:r>
          </w:p>
        </w:tc>
        <w:tc>
          <w:tcPr>
            <w:tcW w:w="8499" w:type="dxa"/>
            <w:noWrap w:val="0"/>
            <w:vAlign w:val="top"/>
          </w:tcPr>
          <w:p w14:paraId="082EACA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2.1建设内容</w:t>
            </w:r>
          </w:p>
          <w:p w14:paraId="63411BD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2.1.1项目由来</w:t>
            </w:r>
          </w:p>
          <w:p w14:paraId="41D43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随着国民生活水平提高和生活方式的改变，人们的休闲、消费和情感寄托方式发生了重大变革，中国宠物产业也迅速兴起。为了提高宠物的健康水平，</w:t>
            </w:r>
            <w:r>
              <w:rPr>
                <w:rFonts w:hint="eastAsia" w:cs="Times New Roman"/>
                <w:b w:val="0"/>
                <w:bCs/>
                <w:color w:val="auto"/>
                <w:sz w:val="24"/>
                <w:szCs w:val="24"/>
                <w:highlight w:val="none"/>
                <w:lang w:val="en-US" w:eastAsia="zh-CN"/>
              </w:rPr>
              <w:t>九龙坡区渝爱动物医院店（个体工商户）</w:t>
            </w:r>
            <w:r>
              <w:rPr>
                <w:rFonts w:hint="default" w:ascii="Times New Roman" w:hAnsi="Times New Roman" w:eastAsia="宋体" w:cs="Times New Roman"/>
                <w:b w:val="0"/>
                <w:bCs/>
                <w:color w:val="auto"/>
                <w:sz w:val="24"/>
                <w:szCs w:val="24"/>
                <w:highlight w:val="none"/>
                <w:lang w:val="en-US" w:eastAsia="zh-CN"/>
              </w:rPr>
              <w:t>于202</w:t>
            </w:r>
            <w:r>
              <w:rPr>
                <w:rFonts w:hint="eastAsia"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年</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月租赁</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重庆市九龙坡区二郎街道火炬大道100号附24号及附23-2号商铺</w:t>
            </w:r>
            <w:r>
              <w:rPr>
                <w:rFonts w:hint="default" w:ascii="Times New Roman" w:hAnsi="Times New Roman" w:eastAsia="宋体" w:cs="Times New Roman"/>
                <w:b w:val="0"/>
                <w:bCs/>
                <w:color w:val="auto"/>
                <w:sz w:val="24"/>
                <w:szCs w:val="24"/>
                <w:highlight w:val="none"/>
                <w:lang w:val="en-US" w:eastAsia="zh-CN"/>
              </w:rPr>
              <w:t>建设宠物医院，</w:t>
            </w:r>
            <w:r>
              <w:rPr>
                <w:rFonts w:hint="eastAsia" w:cs="Times New Roman"/>
                <w:b w:val="0"/>
                <w:bCs/>
                <w:color w:val="auto"/>
                <w:sz w:val="24"/>
                <w:szCs w:val="24"/>
                <w:highlight w:val="none"/>
                <w:lang w:val="en-US" w:eastAsia="zh-CN"/>
              </w:rPr>
              <w:t>面积为132.61m</w:t>
            </w:r>
            <w:r>
              <w:rPr>
                <w:rFonts w:hint="eastAsia" w:cs="Times New Roman"/>
                <w:b w:val="0"/>
                <w:bCs/>
                <w:color w:val="auto"/>
                <w:sz w:val="24"/>
                <w:szCs w:val="24"/>
                <w:highlight w:val="none"/>
                <w:vertAlign w:val="superscript"/>
                <w:lang w:val="en-US" w:eastAsia="zh-CN"/>
              </w:rPr>
              <w:t>2</w:t>
            </w:r>
            <w:r>
              <w:rPr>
                <w:rFonts w:hint="eastAsia" w:cs="Times New Roman"/>
                <w:b w:val="0"/>
                <w:bCs/>
                <w:color w:val="auto"/>
                <w:sz w:val="24"/>
                <w:szCs w:val="24"/>
                <w:highlight w:val="none"/>
                <w:lang w:val="en-US" w:eastAsia="zh-CN"/>
              </w:rPr>
              <w:t>。</w:t>
            </w:r>
            <w:r>
              <w:rPr>
                <w:rFonts w:hint="eastAsia"/>
                <w:color w:val="auto"/>
                <w:sz w:val="24"/>
                <w:szCs w:val="24"/>
                <w:highlight w:val="none"/>
                <w:lang w:val="en-US" w:eastAsia="zh-CN"/>
              </w:rPr>
              <w:t>于2025年5月投入运营</w:t>
            </w:r>
            <w:r>
              <w:rPr>
                <w:rFonts w:hint="eastAsia" w:cs="Times New Roman"/>
                <w:color w:val="auto"/>
                <w:sz w:val="24"/>
                <w:szCs w:val="24"/>
                <w:highlight w:val="none"/>
                <w:lang w:val="en-US" w:eastAsia="zh-CN"/>
              </w:rPr>
              <w:t>，从事猫、犬的疾病预防、诊疗和手术等活动，兼营宠物用品的销售，院内</w:t>
            </w:r>
            <w:r>
              <w:rPr>
                <w:rFonts w:hint="eastAsia"/>
                <w:color w:val="auto"/>
                <w:sz w:val="24"/>
                <w:szCs w:val="24"/>
                <w:highlight w:val="none"/>
                <w:lang w:val="en-US" w:eastAsia="zh-CN"/>
              </w:rPr>
              <w:t>主要设置</w:t>
            </w:r>
            <w:r>
              <w:rPr>
                <w:rFonts w:hint="eastAsia" w:cs="Times New Roman"/>
                <w:b w:val="0"/>
                <w:bCs/>
                <w:sz w:val="24"/>
                <w:szCs w:val="24"/>
                <w:highlight w:val="none"/>
                <w:lang w:val="en-US" w:eastAsia="zh-CN"/>
              </w:rPr>
              <w:t>DR室、手术室、治疗室、药房、化验室、诊室、寄养室</w:t>
            </w:r>
            <w:r>
              <w:rPr>
                <w:rFonts w:hint="eastAsia" w:cs="Times New Roman"/>
                <w:color w:val="000000"/>
                <w:sz w:val="24"/>
                <w:szCs w:val="24"/>
                <w:highlight w:val="none"/>
                <w:lang w:val="en-US" w:eastAsia="zh-CN"/>
              </w:rPr>
              <w:t>等，</w:t>
            </w:r>
            <w:r>
              <w:rPr>
                <w:rFonts w:hint="eastAsia" w:cs="Times New Roman"/>
                <w:color w:val="auto"/>
                <w:sz w:val="24"/>
                <w:szCs w:val="24"/>
                <w:highlight w:val="none"/>
                <w:lang w:val="en-US" w:eastAsia="zh-CN"/>
              </w:rPr>
              <w:t>手术室内仅进行简单的宠物伤口处理、</w:t>
            </w:r>
            <w:r>
              <w:rPr>
                <w:rFonts w:hint="eastAsia"/>
                <w:color w:val="auto"/>
                <w:sz w:val="24"/>
                <w:szCs w:val="24"/>
                <w:highlight w:val="none"/>
                <w:lang w:val="en-US" w:eastAsia="zh-CN"/>
              </w:rPr>
              <w:t>软组织、骨科和节育手术等</w:t>
            </w:r>
            <w:r>
              <w:rPr>
                <w:rFonts w:hint="eastAsia" w:cs="Times New Roman"/>
                <w:color w:val="auto"/>
                <w:sz w:val="24"/>
                <w:szCs w:val="24"/>
                <w:highlight w:val="none"/>
                <w:lang w:val="en-US" w:eastAsia="zh-CN"/>
              </w:rPr>
              <w:t>，不开展动物颅腔、胸腔和腹腔手术，门诊每天最大接诊量约10只（年最大接诊量3650只），手术每天最大量约4台（年最大手术量1460只），住院最大容纳宠物14只/d，美容每天最大量4只/d（年最大美容量1460只），寄养每天最大容纳宠物4只/d。</w:t>
            </w:r>
            <w:r>
              <w:rPr>
                <w:rFonts w:hint="eastAsia" w:cs="Times New Roman"/>
                <w:color w:val="000000"/>
                <w:sz w:val="24"/>
                <w:szCs w:val="24"/>
                <w:highlight w:val="none"/>
                <w:lang w:val="en-US" w:eastAsia="zh-CN"/>
              </w:rPr>
              <w:t>根据《关于宠物医院服务项目环境影响评价类有关问题的复函》（环办环评函〔2019〕168号）：“不具备从事动物颅腔、胸腔和腹腔手术能力的动物诊疗机构建设项目，不纳入建设项目环境影响评价管理”，因此，医院根据要求未办理环评手续。</w:t>
            </w:r>
          </w:p>
          <w:p w14:paraId="6108B187">
            <w:pPr>
              <w:adjustRightInd w:val="0"/>
              <w:snapToGrid w:val="0"/>
              <w:spacing w:line="360" w:lineRule="auto"/>
              <w:ind w:firstLine="480" w:firstLineChars="200"/>
              <w:rPr>
                <w:color w:val="auto"/>
                <w:sz w:val="24"/>
                <w:szCs w:val="32"/>
              </w:rPr>
            </w:pPr>
            <w:r>
              <w:rPr>
                <w:rFonts w:hint="eastAsia"/>
                <w:color w:val="auto"/>
                <w:sz w:val="24"/>
                <w:szCs w:val="32"/>
              </w:rPr>
              <w:t>现因医院的发展和市场需要，</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eastAsia"/>
                <w:color w:val="auto"/>
                <w:sz w:val="24"/>
                <w:szCs w:val="32"/>
              </w:rPr>
              <w:t>拟投资</w:t>
            </w:r>
            <w:r>
              <w:rPr>
                <w:rFonts w:hint="eastAsia"/>
                <w:color w:val="auto"/>
                <w:sz w:val="24"/>
                <w:szCs w:val="32"/>
                <w:lang w:val="en-US" w:eastAsia="zh-CN"/>
              </w:rPr>
              <w:t>10</w:t>
            </w:r>
            <w:r>
              <w:rPr>
                <w:rFonts w:hint="eastAsia"/>
                <w:color w:val="auto"/>
                <w:sz w:val="24"/>
                <w:szCs w:val="32"/>
              </w:rPr>
              <w:t>万元，对现有医院增加部分手术设备，增设动物颅腔、胸腔和腹腔手术服务。项目已取得重庆市</w:t>
            </w:r>
            <w:r>
              <w:rPr>
                <w:rFonts w:hint="eastAsia"/>
                <w:color w:val="auto"/>
                <w:sz w:val="24"/>
                <w:szCs w:val="32"/>
                <w:lang w:val="en-US" w:eastAsia="zh-CN"/>
              </w:rPr>
              <w:t>九龙坡区</w:t>
            </w:r>
            <w:r>
              <w:rPr>
                <w:rFonts w:hint="eastAsia"/>
                <w:color w:val="auto"/>
                <w:sz w:val="24"/>
                <w:szCs w:val="32"/>
              </w:rPr>
              <w:t>发展</w:t>
            </w:r>
            <w:r>
              <w:rPr>
                <w:rFonts w:hint="eastAsia"/>
                <w:color w:val="auto"/>
                <w:sz w:val="24"/>
                <w:szCs w:val="32"/>
                <w:lang w:val="en-US" w:eastAsia="zh-CN"/>
              </w:rPr>
              <w:t>和</w:t>
            </w:r>
            <w:r>
              <w:rPr>
                <w:rFonts w:hint="eastAsia"/>
                <w:color w:val="auto"/>
                <w:sz w:val="24"/>
                <w:szCs w:val="32"/>
              </w:rPr>
              <w:t>改革委员会下发的备案证（备案编码“</w:t>
            </w:r>
            <w:r>
              <w:rPr>
                <w:rFonts w:hint="eastAsia"/>
                <w:color w:val="auto"/>
                <w:sz w:val="24"/>
                <w:szCs w:val="24"/>
              </w:rPr>
              <w:t>2507-500107-04-03-466402</w:t>
            </w:r>
            <w:r>
              <w:rPr>
                <w:rFonts w:hint="eastAsia"/>
                <w:color w:val="auto"/>
                <w:sz w:val="24"/>
                <w:szCs w:val="32"/>
              </w:rPr>
              <w:t>”）。</w:t>
            </w:r>
          </w:p>
          <w:p w14:paraId="47AC9A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根据《中华人民共和国环境保护法》、《中华人民共和国环境影响评价法》《建设项目环境保护管理条例》规定，本项目应开展环境影响评价</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根据《国民经济行业分类》，项目为动物医院建设项目，其国民经济行业类别为</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O822</w:t>
            </w:r>
            <w:r>
              <w:rPr>
                <w:rFonts w:hint="eastAsia"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宠物</w:t>
            </w:r>
            <w:r>
              <w:rPr>
                <w:rFonts w:hint="eastAsia" w:cs="Times New Roman"/>
                <w:b w:val="0"/>
                <w:bCs/>
                <w:color w:val="000000" w:themeColor="text1"/>
                <w:sz w:val="24"/>
                <w:szCs w:val="24"/>
                <w:highlight w:val="none"/>
                <w:lang w:val="en-US" w:eastAsia="zh-CN"/>
                <w14:textFill>
                  <w14:solidFill>
                    <w14:schemeClr w14:val="tx1"/>
                  </w14:solidFill>
                </w14:textFill>
              </w:rPr>
              <w:t>医院</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服务</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对照《建设项目环境影响评价分类管理名录》（2021年版），建设项目行业类别为</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五十、社会事业与服务业 123 动物医院</w:t>
            </w:r>
            <w:r>
              <w:rPr>
                <w:rFonts w:hint="eastAsia" w:cs="Times New Roman"/>
                <w:b w:val="0"/>
                <w:bCs/>
                <w:color w:val="auto"/>
                <w:sz w:val="24"/>
                <w:szCs w:val="24"/>
                <w:highlight w:val="none"/>
                <w:lang w:val="en-US" w:eastAsia="zh-CN"/>
              </w:rPr>
              <w:t xml:space="preserve"> 设有动物颅腔、胸腔和腹腔手术设施的”</w:t>
            </w:r>
            <w:r>
              <w:rPr>
                <w:rFonts w:hint="default" w:ascii="Times New Roman" w:hAnsi="Times New Roman" w:cs="Times New Roman"/>
                <w:b w:val="0"/>
                <w:bCs/>
                <w:color w:val="auto"/>
                <w:sz w:val="24"/>
                <w:szCs w:val="24"/>
                <w:highlight w:val="none"/>
                <w:lang w:val="en-US" w:eastAsia="zh-CN"/>
              </w:rPr>
              <w:t>。项目</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应编制环境影响报告表。受</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委托，本公司承担该项目的环境影响评价工作，在接受委托之后，我公司组织专业技术人员进行现场勘查并收集相关资料，编制完成了项目的环境影响报告表。</w:t>
            </w:r>
          </w:p>
          <w:p w14:paraId="4995294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2.1.2评价构思</w:t>
            </w:r>
          </w:p>
          <w:p w14:paraId="08152ADB">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color w:val="auto"/>
                <w:sz w:val="24"/>
                <w:szCs w:val="32"/>
              </w:rPr>
              <w:t>本项目属于扩建项目，</w:t>
            </w:r>
            <w:r>
              <w:rPr>
                <w:rFonts w:hint="default" w:ascii="Times New Roman" w:hAnsi="Times New Roman" w:cs="Times New Roman"/>
                <w:b w:val="0"/>
                <w:bCs/>
                <w:color w:val="auto"/>
                <w:sz w:val="24"/>
                <w:szCs w:val="24"/>
                <w:highlight w:val="none"/>
                <w:lang w:val="en-US" w:eastAsia="zh-CN"/>
              </w:rPr>
              <w:t>现有医院于</w:t>
            </w:r>
            <w:r>
              <w:rPr>
                <w:rFonts w:hint="eastAsia" w:cs="Times New Roman"/>
                <w:b w:val="0"/>
                <w:bCs/>
                <w:color w:val="auto"/>
                <w:sz w:val="24"/>
                <w:szCs w:val="24"/>
                <w:highlight w:val="none"/>
                <w:lang w:val="en-US" w:eastAsia="zh-CN"/>
              </w:rPr>
              <w:t>2025年5月</w:t>
            </w:r>
            <w:r>
              <w:rPr>
                <w:rFonts w:hint="default" w:ascii="Times New Roman" w:hAnsi="Times New Roman" w:cs="Times New Roman"/>
                <w:b w:val="0"/>
                <w:bCs/>
                <w:color w:val="auto"/>
                <w:sz w:val="24"/>
                <w:szCs w:val="24"/>
                <w:highlight w:val="none"/>
                <w:lang w:val="en-US" w:eastAsia="zh-CN"/>
              </w:rPr>
              <w:t>开始营业，根据《建设项目环境影响评价分类管理名录》（2021年版），现有医院不</w:t>
            </w:r>
            <w:r>
              <w:rPr>
                <w:rFonts w:hint="eastAsia" w:ascii="Times New Roman" w:hAnsi="Times New Roman" w:cs="Times New Roman"/>
                <w:b w:val="0"/>
                <w:bCs/>
                <w:color w:val="auto"/>
                <w:sz w:val="24"/>
                <w:szCs w:val="24"/>
                <w:highlight w:val="none"/>
                <w:lang w:val="en-US" w:eastAsia="zh-CN"/>
              </w:rPr>
              <w:t>开展</w:t>
            </w:r>
            <w:r>
              <w:rPr>
                <w:rFonts w:hint="default" w:ascii="Times New Roman" w:hAnsi="Times New Roman" w:cs="Times New Roman"/>
                <w:b w:val="0"/>
                <w:bCs/>
                <w:color w:val="auto"/>
                <w:sz w:val="24"/>
                <w:szCs w:val="24"/>
                <w:highlight w:val="none"/>
                <w:lang w:val="en-US" w:eastAsia="zh-CN"/>
              </w:rPr>
              <w:t>动物颅腔、胸腔或腹手术等，主要进行美容手术（只做新生动物10d内断尾和趾间腺囊肿切除）、感觉器官手术、呼吸系统手术、泌尿生殖系统手术（不含</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三腔手术</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）等，</w:t>
            </w:r>
            <w:r>
              <w:rPr>
                <w:rFonts w:hint="eastAsia" w:ascii="Times New Roman" w:hAnsi="Times New Roman" w:cs="Times New Roman"/>
                <w:b w:val="0"/>
                <w:bCs/>
                <w:color w:val="auto"/>
                <w:sz w:val="24"/>
                <w:szCs w:val="24"/>
                <w:highlight w:val="none"/>
                <w:lang w:val="en-US" w:eastAsia="zh-CN"/>
              </w:rPr>
              <w:t>未</w:t>
            </w:r>
            <w:r>
              <w:rPr>
                <w:rFonts w:hint="default" w:ascii="Times New Roman" w:hAnsi="Times New Roman" w:cs="Times New Roman"/>
                <w:b w:val="0"/>
                <w:bCs/>
                <w:color w:val="auto"/>
                <w:sz w:val="24"/>
                <w:szCs w:val="24"/>
                <w:highlight w:val="none"/>
                <w:lang w:val="en-US" w:eastAsia="zh-CN"/>
              </w:rPr>
              <w:t>纳入建设项目环境影响评价管理，该医院前期无需办理环评手续及排污许可。</w:t>
            </w:r>
            <w:r>
              <w:rPr>
                <w:rFonts w:hint="eastAsia" w:ascii="Times New Roman" w:hAnsi="Times New Roman" w:cs="Times New Roman"/>
                <w:b w:val="0"/>
                <w:bCs/>
                <w:color w:val="auto"/>
                <w:sz w:val="24"/>
                <w:szCs w:val="24"/>
                <w:highlight w:val="none"/>
                <w:lang w:val="en-US" w:eastAsia="zh-CN"/>
              </w:rPr>
              <w:t>本次扩建</w:t>
            </w:r>
            <w:r>
              <w:rPr>
                <w:rFonts w:hint="eastAsia"/>
                <w:color w:val="auto"/>
                <w:sz w:val="24"/>
                <w:szCs w:val="32"/>
              </w:rPr>
              <w:t>在现有手术室内增设动物颅腔、胸腔、腹腔手术（以下简称“三腔手术”）及三腔手术所需设施，扩建前后劳动定员不变，接诊量、住院量和手术量规模不变，本次评价对现有项目进行简单回顾，同时，为便于环境管理及后续验收，本次评价针对扩建后整个项目进行评价，按照整体规模进行产排污分析、并提出相应的环保措施。不统计扩建前现有污染物排放量和扩建前后污染物排放“三本账</w:t>
            </w:r>
            <w:r>
              <w:rPr>
                <w:rFonts w:hint="eastAsia"/>
                <w:color w:val="auto"/>
                <w:sz w:val="24"/>
                <w:szCs w:val="32"/>
                <w:lang w:eastAsia="zh-CN"/>
              </w:rPr>
              <w:t>”。</w:t>
            </w:r>
          </w:p>
          <w:p w14:paraId="5B59CB0D">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本项目诊疗手术过程酒精消毒会产生极少量挥发性气体（本评价以非甲烷总烃计），仅定性分析。诊疗及住院过程中会产生少量的恶臭气体，室内通过空调系统进行通风换气，病房通过紫外线灯管进行消毒杀菌，医院整体采用84消毒液喷洒消毒</w:t>
            </w:r>
            <w:r>
              <w:rPr>
                <w:rFonts w:hint="eastAsia" w:cs="Times New Roman"/>
                <w:b w:val="0"/>
                <w:bCs/>
                <w:color w:val="000000" w:themeColor="text1"/>
                <w:sz w:val="24"/>
                <w:szCs w:val="24"/>
                <w:highlight w:val="none"/>
                <w:lang w:val="en-US" w:eastAsia="zh-CN"/>
                <w14:textFill>
                  <w14:solidFill>
                    <w14:schemeClr w14:val="tx1"/>
                  </w14:solidFill>
                </w14:textFill>
              </w:rPr>
              <w:t>，医疗废水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采用</w:t>
            </w:r>
            <w:r>
              <w:rPr>
                <w:rFonts w:hint="eastAsia" w:ascii="Times New Roman" w:hAnsi="Times New Roman" w:cs="Times New Roman"/>
                <w:b w:val="0"/>
                <w:bCs/>
                <w:color w:val="auto"/>
                <w:sz w:val="24"/>
                <w:szCs w:val="24"/>
                <w:highlight w:val="none"/>
                <w:vertAlign w:val="baseline"/>
                <w:lang w:val="en-US" w:eastAsia="zh-CN"/>
              </w:rPr>
              <w:t>二氧化氯</w:t>
            </w:r>
            <w:r>
              <w:rPr>
                <w:rFonts w:hint="default" w:ascii="Times New Roman" w:hAnsi="Times New Roman" w:cs="Times New Roman"/>
                <w:b w:val="0"/>
                <w:bCs/>
                <w:color w:val="auto"/>
                <w:sz w:val="24"/>
                <w:szCs w:val="24"/>
                <w:highlight w:val="none"/>
                <w:vertAlign w:val="baseline"/>
                <w:lang w:val="en-US" w:eastAsia="zh-CN"/>
              </w:rPr>
              <w:t>消毒片</w:t>
            </w:r>
            <w:r>
              <w:rPr>
                <w:rFonts w:hint="eastAsia" w:cs="Times New Roman"/>
                <w:b w:val="0"/>
                <w:bCs/>
                <w:color w:val="auto"/>
                <w:sz w:val="24"/>
                <w:szCs w:val="24"/>
                <w:highlight w:val="none"/>
                <w:vertAlign w:val="baseline"/>
                <w:lang w:val="en-US" w:eastAsia="zh-CN"/>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进行消毒，医废</w:t>
            </w:r>
            <w:r>
              <w:rPr>
                <w:rFonts w:hint="eastAsia" w:cs="Times New Roman"/>
                <w:b w:val="0"/>
                <w:bCs/>
                <w:color w:val="000000" w:themeColor="text1"/>
                <w:sz w:val="24"/>
                <w:szCs w:val="24"/>
                <w:highlight w:val="none"/>
                <w:lang w:val="en-US" w:eastAsia="zh-CN"/>
                <w14:textFill>
                  <w14:solidFill>
                    <w14:schemeClr w14:val="tx1"/>
                  </w14:solidFill>
                </w14:textFill>
              </w:rPr>
              <w:t>点</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定期消毒清运后能有效控制院区内异味。因此本评价废气仅做简单分析。</w:t>
            </w:r>
          </w:p>
          <w:p w14:paraId="09F002A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现有医院配备1台DR，属于Ⅲ类射线装置，</w:t>
            </w:r>
            <w:r>
              <w:rPr>
                <w:rFonts w:hint="eastAsia" w:cs="Times New Roman"/>
                <w:b w:val="0"/>
                <w:bCs/>
                <w:color w:val="000000" w:themeColor="text1"/>
                <w:sz w:val="24"/>
                <w:szCs w:val="24"/>
                <w:highlight w:val="none"/>
                <w:lang w:val="en-US" w:eastAsia="zh-CN"/>
                <w14:textFill>
                  <w14:solidFill>
                    <w14:schemeClr w14:val="tx1"/>
                  </w14:solidFill>
                </w14:textFill>
              </w:rPr>
              <w:t>已办理辐射许可证（渝环辐证[15247]）</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因此，本次环评不包含辐射相关评价内容。</w:t>
            </w:r>
          </w:p>
          <w:p w14:paraId="74CDD8E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2.2项目概况</w:t>
            </w:r>
          </w:p>
          <w:p w14:paraId="04FE0A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项目名称：</w:t>
            </w:r>
            <w:r>
              <w:rPr>
                <w:rFonts w:hint="eastAsia" w:cs="Times New Roman"/>
                <w:b w:val="0"/>
                <w:bCs/>
                <w:color w:val="000000" w:themeColor="text1"/>
                <w:sz w:val="24"/>
                <w:szCs w:val="24"/>
                <w:highlight w:val="none"/>
                <w:lang w:val="en-US" w:eastAsia="zh-CN"/>
                <w14:textFill>
                  <w14:solidFill>
                    <w14:schemeClr w14:val="tx1"/>
                  </w14:solidFill>
                </w14:textFill>
              </w:rPr>
              <w:t>渝爱</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动物医院</w:t>
            </w:r>
            <w:r>
              <w:rPr>
                <w:rFonts w:hint="eastAsia" w:cs="Times New Roman"/>
                <w:b w:val="0"/>
                <w:bCs/>
                <w:color w:val="000000" w:themeColor="text1"/>
                <w:sz w:val="24"/>
                <w:szCs w:val="24"/>
                <w:highlight w:val="none"/>
                <w:lang w:val="en-US" w:eastAsia="zh-CN"/>
                <w14:textFill>
                  <w14:solidFill>
                    <w14:schemeClr w14:val="tx1"/>
                  </w14:solidFill>
                </w14:textFill>
              </w:rPr>
              <w:t>建设</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项目</w:t>
            </w:r>
          </w:p>
          <w:p w14:paraId="13ADC8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建设单位：</w:t>
            </w: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p>
          <w:p w14:paraId="46F557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项目性质：扩建</w:t>
            </w:r>
          </w:p>
          <w:p w14:paraId="58E946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建设地点：</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p>
          <w:p w14:paraId="2F411D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建筑面积：</w:t>
            </w:r>
            <w:r>
              <w:rPr>
                <w:rFonts w:hint="eastAsia" w:cs="Times New Roman"/>
                <w:b w:val="0"/>
                <w:bCs/>
                <w:color w:val="000000" w:themeColor="text1"/>
                <w:sz w:val="24"/>
                <w:szCs w:val="24"/>
                <w:highlight w:val="none"/>
                <w:lang w:val="en-US" w:eastAsia="zh-CN"/>
                <w14:textFill>
                  <w14:solidFill>
                    <w14:schemeClr w14:val="tx1"/>
                  </w14:solidFill>
                </w14:textFill>
              </w:rPr>
              <w:t>132.61</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p>
          <w:p w14:paraId="030050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总投资：总投资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0万元，其中环保工程投资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1万元</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，占工程总投资的10%。</w:t>
            </w:r>
          </w:p>
          <w:p w14:paraId="7FFC66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诊疗对象：主要为犬类、猫类。</w:t>
            </w:r>
          </w:p>
          <w:p w14:paraId="45E9DB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建设规模：</w:t>
            </w:r>
            <w:r>
              <w:rPr>
                <w:rFonts w:hint="eastAsia" w:ascii="Times New Roman" w:hAnsi="Times New Roman" w:cs="Times New Roman"/>
                <w:b w:val="0"/>
                <w:bCs/>
                <w:color w:val="auto"/>
                <w:sz w:val="24"/>
                <w:szCs w:val="24"/>
                <w:highlight w:val="none"/>
                <w:vertAlign w:val="baseline"/>
                <w:lang w:val="en-US" w:eastAsia="zh-CN"/>
              </w:rPr>
              <w:t>在现有手术室内新增动物颅腔、胸腔和腹腔手术设施，扩充手术能力，扩建完成后，医院服务内容包括：美容、寄养、门诊、手术（含三腔手术的各类手术），</w:t>
            </w:r>
            <w:r>
              <w:rPr>
                <w:rFonts w:hint="eastAsia" w:cs="Times New Roman"/>
                <w:color w:val="auto"/>
                <w:sz w:val="24"/>
                <w:szCs w:val="24"/>
                <w:highlight w:val="none"/>
                <w:lang w:val="en-US" w:eastAsia="zh-CN"/>
              </w:rPr>
              <w:t>门诊每天最大接诊量约10只（年最大接诊量3650只），手术每天最大量约4台（年最大手术量1460只），住院最大容纳宠物14只/d，美容每天最大量4只/d（年最大美容量1460只），寄养每天最大容纳宠物4只/d</w:t>
            </w:r>
            <w:r>
              <w:rPr>
                <w:rFonts w:hint="eastAsia" w:ascii="Times New Roman" w:hAnsi="Times New Roman" w:cs="Times New Roman"/>
                <w:b w:val="0"/>
                <w:bCs/>
                <w:sz w:val="24"/>
                <w:szCs w:val="24"/>
                <w:highlight w:val="none"/>
                <w:vertAlign w:val="baseline"/>
                <w:lang w:val="en-US" w:eastAsia="zh-CN"/>
              </w:rPr>
              <w:t>。</w:t>
            </w:r>
          </w:p>
          <w:p w14:paraId="48C3FF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服务范围：动物疾病预防、诊疗、手术</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、美容、寄养</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。经本宠物医院诊断为人猫或人</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犬</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易交叉感染的病症，宠物医院将在隔离病房采取隔离措施并立即将患病动物转移至专业的传染病防治医院，严格按照《重庆市动物防疫条例》、《重庆市无规定动物疫病区管理办法》的相关规定进行管理。</w:t>
            </w:r>
          </w:p>
          <w:p w14:paraId="1C1B33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劳动定员：项目劳动定员</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人，不提供</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食堂及住宿</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78B7B4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工作制度：年工作日为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天，实行一班制，</w:t>
            </w:r>
            <w:r>
              <w:rPr>
                <w:rFonts w:hint="eastAsia"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r>
              <w:rPr>
                <w:rFonts w:hint="eastAsia"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p>
          <w:p w14:paraId="133E48D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2.3建设内容</w:t>
            </w:r>
          </w:p>
          <w:p w14:paraId="5C65FF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项目以宠物服务为主，项目服务及诊疗活动范围为动物诊疗。</w:t>
            </w:r>
          </w:p>
          <w:p w14:paraId="52DD11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动物护理诊疗内容为宠物常见的基础疾病治疗和外伤治疗。扩建后手术主要有美容手术</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（只做新生动物10d内断尾和趾间腺囊肿切除）</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肿瘤手术、感觉器官手术、消化系统手术、呼吸系统手术、泌尿生殖系统手术等，包含以上手术的颅腔、胸腔和腹腔手术。本宠物医院不接受人猫或人犬易交叉感染的病症，不接诊携带或疑似携带狂犬病毒的宠物猫犬，不接诊和寄养《重庆市农业农村委员会、重庆市公安局关于发布重庆市禁养烈性犬、攻击性犬类目录和大型犬标准（试行）的通告》</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渝农规</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2023</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2号</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中规定的危险犬只，仅对一般宠物感染病症进行隔离。</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化验室</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检测项目</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生化、细小病毒、血常规、显微镜镜检，病毒检测均采用试纸检测，血样制成试剂片，均由仪器进行检测直接出结果，使用的试剂均为成套成品试剂，不涉及试剂配制等。</w:t>
            </w:r>
          </w:p>
          <w:p w14:paraId="57C6E4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sz w:val="24"/>
                <w:szCs w:val="24"/>
                <w:lang w:val="en-US" w:eastAsia="zh-CN"/>
              </w:rPr>
              <w:t>项目租赁面积</w:t>
            </w:r>
            <w:r>
              <w:rPr>
                <w:rFonts w:hint="eastAsia" w:cs="Times New Roman"/>
                <w:b w:val="0"/>
                <w:bCs/>
                <w:sz w:val="24"/>
                <w:szCs w:val="24"/>
                <w:highlight w:val="none"/>
                <w:lang w:val="en-US" w:eastAsia="zh-CN"/>
              </w:rPr>
              <w:t>132.61</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r>
              <w:rPr>
                <w:rFonts w:hint="default"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位于商业裙楼1F，设置有DR室、手术室、治疗室、药房、化验室、诊室、寄养室</w:t>
            </w:r>
            <w:r>
              <w:rPr>
                <w:rFonts w:hint="eastAsia" w:cs="Times New Roman"/>
                <w:color w:val="000000"/>
                <w:sz w:val="24"/>
                <w:szCs w:val="24"/>
                <w:highlight w:val="none"/>
                <w:lang w:val="en-US" w:eastAsia="zh-CN"/>
              </w:rPr>
              <w:t>等</w:t>
            </w:r>
            <w:r>
              <w:rPr>
                <w:rFonts w:hint="eastAsia" w:cs="Times New Roman"/>
                <w:b w:val="0"/>
                <w:bCs/>
                <w:sz w:val="24"/>
                <w:szCs w:val="24"/>
                <w:highlight w:val="none"/>
                <w:lang w:val="en-US" w:eastAsia="zh-CN"/>
              </w:rPr>
              <w:t>。</w:t>
            </w:r>
            <w:r>
              <w:rPr>
                <w:rFonts w:hint="default" w:ascii="Times New Roman" w:hAnsi="Times New Roman" w:cs="Times New Roman"/>
                <w:b w:val="0"/>
                <w:bCs/>
                <w:color w:val="auto"/>
                <w:sz w:val="24"/>
                <w:szCs w:val="24"/>
                <w:highlight w:val="none"/>
                <w:vertAlign w:val="baseline"/>
                <w:lang w:val="en-US" w:eastAsia="zh-CN"/>
              </w:rPr>
              <w:t>本项目主要是在现有手术室内增设手术设施，扩充手术能力，扩建完成后具备动物颅腔、胸腔和腹腔手术能力。化验室主要涉及宠物血常规、尿检、粪检等，均由仪器进行检测直接出结果，使用的试剂均为成套成品试剂，不涉及试剂配备等。本项目扩建前后接诊量、住院量和手术量规模不变。</w:t>
            </w:r>
          </w:p>
          <w:p w14:paraId="431D69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项目建设组成见表2.3-1。</w:t>
            </w:r>
          </w:p>
          <w:p w14:paraId="1F5D3F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表2.3-1 项目组成一览表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25"/>
              <w:gridCol w:w="5036"/>
              <w:gridCol w:w="1054"/>
            </w:tblGrid>
            <w:tr w14:paraId="3A341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9" w:type="pct"/>
                  <w:gridSpan w:val="2"/>
                  <w:tcBorders>
                    <w:tl2br w:val="nil"/>
                    <w:tr2bl w:val="nil"/>
                  </w:tcBorders>
                  <w:vAlign w:val="center"/>
                </w:tcPr>
                <w:p w14:paraId="0310C5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项目名称</w:t>
                  </w:r>
                </w:p>
              </w:tc>
              <w:tc>
                <w:tcPr>
                  <w:tcW w:w="3052" w:type="pct"/>
                  <w:tcBorders>
                    <w:tl2br w:val="nil"/>
                    <w:tr2bl w:val="nil"/>
                  </w:tcBorders>
                  <w:vAlign w:val="center"/>
                </w:tcPr>
                <w:p w14:paraId="56496B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工程内容</w:t>
                  </w:r>
                </w:p>
              </w:tc>
              <w:tc>
                <w:tcPr>
                  <w:tcW w:w="638" w:type="pct"/>
                  <w:tcBorders>
                    <w:tl2br w:val="nil"/>
                    <w:tr2bl w:val="nil"/>
                  </w:tcBorders>
                  <w:vAlign w:val="center"/>
                </w:tcPr>
                <w:p w14:paraId="335C25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备注</w:t>
                  </w:r>
                </w:p>
              </w:tc>
            </w:tr>
            <w:tr w14:paraId="6F43F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5E4FBD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主体工程</w:t>
                  </w:r>
                </w:p>
              </w:tc>
              <w:tc>
                <w:tcPr>
                  <w:tcW w:w="803" w:type="pct"/>
                  <w:tcBorders>
                    <w:tl2br w:val="nil"/>
                    <w:tr2bl w:val="nil"/>
                  </w:tcBorders>
                  <w:vAlign w:val="center"/>
                </w:tcPr>
                <w:p w14:paraId="52012C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color w:val="auto"/>
                      <w:lang w:val="en-US" w:eastAsia="zh-CN"/>
                    </w:rPr>
                    <w:t>诊室</w:t>
                  </w:r>
                </w:p>
              </w:tc>
              <w:tc>
                <w:tcPr>
                  <w:tcW w:w="3052" w:type="pct"/>
                  <w:tcBorders>
                    <w:tl2br w:val="nil"/>
                    <w:tr2bl w:val="nil"/>
                  </w:tcBorders>
                  <w:vAlign w:val="center"/>
                </w:tcPr>
                <w:p w14:paraId="481B11C0">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进口</w:t>
                  </w:r>
                  <w:r>
                    <w:rPr>
                      <w:rFonts w:hint="eastAsia" w:cs="Times New Roman"/>
                      <w:color w:val="auto"/>
                      <w:highlight w:val="none"/>
                      <w:lang w:val="en-US" w:eastAsia="zh-CN"/>
                    </w:rPr>
                    <w:t>处，面积为7m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。用于接诊检查。</w:t>
                  </w:r>
                </w:p>
              </w:tc>
              <w:tc>
                <w:tcPr>
                  <w:tcW w:w="638" w:type="pct"/>
                  <w:tcBorders>
                    <w:tl2br w:val="nil"/>
                    <w:tr2bl w:val="nil"/>
                  </w:tcBorders>
                  <w:vAlign w:val="center"/>
                </w:tcPr>
                <w:p w14:paraId="034649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253F5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2469D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5EB62D4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犬住院室</w:t>
                  </w:r>
                </w:p>
              </w:tc>
              <w:tc>
                <w:tcPr>
                  <w:tcW w:w="3052" w:type="pct"/>
                  <w:tcBorders>
                    <w:tl2br w:val="nil"/>
                    <w:tr2bl w:val="nil"/>
                  </w:tcBorders>
                  <w:vAlign w:val="center"/>
                </w:tcPr>
                <w:p w14:paraId="646BCE8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位于医院东北角，建筑面积为7m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，设置了6个狗笼</w:t>
                  </w:r>
                </w:p>
              </w:tc>
              <w:tc>
                <w:tcPr>
                  <w:tcW w:w="638" w:type="pct"/>
                  <w:tcBorders>
                    <w:tl2br w:val="nil"/>
                    <w:tr2bl w:val="nil"/>
                  </w:tcBorders>
                  <w:vAlign w:val="center"/>
                </w:tcPr>
                <w:p w14:paraId="3D3CB2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3FFE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01F0B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2D44761">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猫住院室</w:t>
                  </w:r>
                </w:p>
              </w:tc>
              <w:tc>
                <w:tcPr>
                  <w:tcW w:w="3052" w:type="pct"/>
                  <w:tcBorders>
                    <w:tl2br w:val="nil"/>
                    <w:tr2bl w:val="nil"/>
                  </w:tcBorders>
                  <w:vAlign w:val="center"/>
                </w:tcPr>
                <w:p w14:paraId="290F809A">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位于医院西侧中部，建筑面积为4m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，设置了8个猫笼</w:t>
                  </w:r>
                </w:p>
              </w:tc>
              <w:tc>
                <w:tcPr>
                  <w:tcW w:w="638" w:type="pct"/>
                  <w:tcBorders>
                    <w:tl2br w:val="nil"/>
                    <w:tr2bl w:val="nil"/>
                  </w:tcBorders>
                  <w:vAlign w:val="center"/>
                </w:tcPr>
                <w:p w14:paraId="7451CF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0CE19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F65D2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6D23CEE">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免疫室</w:t>
                  </w:r>
                </w:p>
              </w:tc>
              <w:tc>
                <w:tcPr>
                  <w:tcW w:w="3052" w:type="pct"/>
                  <w:tcBorders>
                    <w:tl2br w:val="nil"/>
                    <w:tr2bl w:val="nil"/>
                  </w:tcBorders>
                  <w:vAlign w:val="center"/>
                </w:tcPr>
                <w:p w14:paraId="0DB33FB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位于医院东侧中部，</w:t>
                  </w:r>
                  <w:r>
                    <w:rPr>
                      <w:rFonts w:hint="eastAsia" w:cs="Times New Roman"/>
                      <w:color w:val="auto"/>
                      <w:lang w:val="en-US" w:eastAsia="zh-CN"/>
                    </w:rPr>
                    <w:t>猫住院室南侧，</w:t>
                  </w:r>
                  <w:r>
                    <w:rPr>
                      <w:rFonts w:hint="eastAsia" w:cs="Times New Roman"/>
                      <w:color w:val="auto"/>
                      <w:highlight w:val="none"/>
                      <w:lang w:val="en-US" w:eastAsia="zh-CN"/>
                    </w:rPr>
                    <w:t>建筑面积为6m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，用于猫犬</w:t>
                  </w:r>
                  <w:r>
                    <w:rPr>
                      <w:rFonts w:hint="eastAsia" w:cs="Times New Roman"/>
                      <w:highlight w:val="none"/>
                      <w:lang w:val="en-US" w:eastAsia="zh-CN"/>
                    </w:rPr>
                    <w:t>打疫苗服务</w:t>
                  </w:r>
                  <w:r>
                    <w:rPr>
                      <w:rFonts w:hint="eastAsia" w:cs="Times New Roman"/>
                      <w:color w:val="auto"/>
                      <w:highlight w:val="none"/>
                      <w:lang w:val="en-US" w:eastAsia="zh-CN"/>
                    </w:rPr>
                    <w:t>。</w:t>
                  </w:r>
                </w:p>
              </w:tc>
              <w:tc>
                <w:tcPr>
                  <w:tcW w:w="638" w:type="pct"/>
                  <w:tcBorders>
                    <w:tl2br w:val="nil"/>
                    <w:tr2bl w:val="nil"/>
                  </w:tcBorders>
                  <w:vAlign w:val="center"/>
                </w:tcPr>
                <w:p w14:paraId="0C8152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FF0000"/>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0A38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F8F53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B47A757">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隔离室</w:t>
                  </w:r>
                </w:p>
              </w:tc>
              <w:tc>
                <w:tcPr>
                  <w:tcW w:w="3052" w:type="pct"/>
                  <w:tcBorders>
                    <w:tl2br w:val="nil"/>
                    <w:tr2bl w:val="nil"/>
                  </w:tcBorders>
                  <w:shd w:val="clear" w:color="auto" w:fill="auto"/>
                  <w:vAlign w:val="center"/>
                </w:tcPr>
                <w:p w14:paraId="63393A0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highlight w:val="none"/>
                      <w:lang w:val="en-US" w:eastAsia="zh-CN"/>
                    </w:rPr>
                    <w:t>位于医院北侧，建筑面积为1m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，设1个笼子。</w:t>
                  </w:r>
                </w:p>
              </w:tc>
              <w:tc>
                <w:tcPr>
                  <w:tcW w:w="638" w:type="pct"/>
                  <w:tcBorders>
                    <w:tl2br w:val="nil"/>
                    <w:tr2bl w:val="nil"/>
                  </w:tcBorders>
                  <w:vAlign w:val="center"/>
                </w:tcPr>
                <w:p w14:paraId="642F0C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6F4F2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06" w:type="pct"/>
                  <w:vMerge w:val="continue"/>
                  <w:tcBorders>
                    <w:tl2br w:val="nil"/>
                    <w:tr2bl w:val="nil"/>
                  </w:tcBorders>
                  <w:vAlign w:val="center"/>
                </w:tcPr>
                <w:p w14:paraId="1030F3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FC2466B">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化验室</w:t>
                  </w:r>
                </w:p>
              </w:tc>
              <w:tc>
                <w:tcPr>
                  <w:tcW w:w="3052" w:type="pct"/>
                  <w:tcBorders>
                    <w:tl2br w:val="nil"/>
                    <w:tr2bl w:val="nil"/>
                  </w:tcBorders>
                  <w:shd w:val="clear" w:color="auto" w:fill="auto"/>
                  <w:vAlign w:val="center"/>
                </w:tcPr>
                <w:p w14:paraId="1117884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highlight w:val="none"/>
                      <w:lang w:val="en-US" w:eastAsia="zh-CN"/>
                    </w:rPr>
                    <w:t>位于医院中部，建筑面积为5m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，用于化验</w:t>
                  </w:r>
                  <w:r>
                    <w:rPr>
                      <w:rFonts w:hint="eastAsia" w:ascii="Times New Roman" w:hAnsi="Times New Roman" w:eastAsia="宋体" w:cs="Times New Roman"/>
                      <w:color w:val="auto"/>
                      <w:highlight w:val="none"/>
                      <w:lang w:val="en-US" w:eastAsia="zh-CN"/>
                    </w:rPr>
                    <w:t>宠物血常规、尿检</w:t>
                  </w:r>
                  <w:r>
                    <w:rPr>
                      <w:rFonts w:hint="eastAsia" w:cs="Times New Roman"/>
                      <w:color w:val="auto"/>
                      <w:highlight w:val="none"/>
                      <w:lang w:val="en-US" w:eastAsia="zh-CN"/>
                    </w:rPr>
                    <w:t>和</w:t>
                  </w:r>
                  <w:r>
                    <w:rPr>
                      <w:rFonts w:hint="eastAsia" w:ascii="Times New Roman" w:hAnsi="Times New Roman" w:eastAsia="宋体" w:cs="Times New Roman"/>
                      <w:color w:val="auto"/>
                      <w:highlight w:val="none"/>
                      <w:lang w:val="en-US" w:eastAsia="zh-CN"/>
                    </w:rPr>
                    <w:t>粪检</w:t>
                  </w:r>
                  <w:r>
                    <w:rPr>
                      <w:rFonts w:hint="eastAsia" w:cs="Times New Roman"/>
                      <w:color w:val="auto"/>
                      <w:highlight w:val="none"/>
                      <w:lang w:val="en-US" w:eastAsia="zh-CN"/>
                    </w:rPr>
                    <w:t>等。</w:t>
                  </w:r>
                </w:p>
              </w:tc>
              <w:tc>
                <w:tcPr>
                  <w:tcW w:w="638" w:type="pct"/>
                  <w:tcBorders>
                    <w:tl2br w:val="nil"/>
                    <w:tr2bl w:val="nil"/>
                  </w:tcBorders>
                  <w:vAlign w:val="center"/>
                </w:tcPr>
                <w:p w14:paraId="3B5ADF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319EA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3DB600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638D548D">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寄养室</w:t>
                  </w:r>
                </w:p>
              </w:tc>
              <w:tc>
                <w:tcPr>
                  <w:tcW w:w="3052" w:type="pct"/>
                  <w:tcBorders>
                    <w:tl2br w:val="nil"/>
                    <w:tr2bl w:val="nil"/>
                  </w:tcBorders>
                  <w:shd w:val="clear" w:color="auto" w:fill="auto"/>
                  <w:vAlign w:val="center"/>
                </w:tcPr>
                <w:p w14:paraId="4F15BF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位于医院东侧中部，建筑面积为6m</w:t>
                  </w:r>
                  <w:r>
                    <w:rPr>
                      <w:rFonts w:hint="eastAsia" w:cs="Times New Roman"/>
                      <w:color w:val="auto"/>
                      <w:highlight w:val="none"/>
                      <w:vertAlign w:val="superscript"/>
                      <w:lang w:val="en-US" w:eastAsia="zh-CN"/>
                    </w:rPr>
                    <w:t>2</w:t>
                  </w:r>
                  <w:r>
                    <w:rPr>
                      <w:rFonts w:hint="eastAsia" w:cs="Times New Roman"/>
                      <w:color w:val="auto"/>
                      <w:highlight w:val="none"/>
                      <w:vertAlign w:val="baseline"/>
                      <w:lang w:val="en-US" w:eastAsia="zh-CN"/>
                    </w:rPr>
                    <w:t>，用于猫犬寄养，</w:t>
                  </w:r>
                  <w:r>
                    <w:rPr>
                      <w:rFonts w:hint="eastAsia" w:cs="Times New Roman"/>
                      <w:color w:val="auto"/>
                      <w:highlight w:val="none"/>
                      <w:lang w:val="en-US" w:eastAsia="zh-CN"/>
                    </w:rPr>
                    <w:t>设4个笼子。</w:t>
                  </w:r>
                </w:p>
              </w:tc>
              <w:tc>
                <w:tcPr>
                  <w:tcW w:w="638" w:type="pct"/>
                  <w:tcBorders>
                    <w:tl2br w:val="nil"/>
                    <w:tr2bl w:val="nil"/>
                  </w:tcBorders>
                  <w:vAlign w:val="center"/>
                </w:tcPr>
                <w:p w14:paraId="330DFB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56795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75476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2431336C">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中央处置区</w:t>
                  </w:r>
                </w:p>
              </w:tc>
              <w:tc>
                <w:tcPr>
                  <w:tcW w:w="3052" w:type="pct"/>
                  <w:tcBorders>
                    <w:tl2br w:val="nil"/>
                    <w:tr2bl w:val="nil"/>
                  </w:tcBorders>
                  <w:shd w:val="clear" w:color="auto" w:fill="auto"/>
                  <w:vAlign w:val="center"/>
                </w:tcPr>
                <w:p w14:paraId="5A37315A">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位于医院中部，化验室北侧，建筑面积为2m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，设置操作台（含1#水槽），用于外伤处理和化验室器材清洗、宠物笼清洗等</w:t>
                  </w:r>
                </w:p>
              </w:tc>
              <w:tc>
                <w:tcPr>
                  <w:tcW w:w="638" w:type="pct"/>
                  <w:tcBorders>
                    <w:tl2br w:val="nil"/>
                    <w:tr2bl w:val="nil"/>
                  </w:tcBorders>
                  <w:vAlign w:val="center"/>
                </w:tcPr>
                <w:p w14:paraId="22A6C8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2FCC8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F6C9A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ACF36C8">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美容室</w:t>
                  </w:r>
                </w:p>
              </w:tc>
              <w:tc>
                <w:tcPr>
                  <w:tcW w:w="3052" w:type="pct"/>
                  <w:tcBorders>
                    <w:tl2br w:val="nil"/>
                    <w:tr2bl w:val="nil"/>
                  </w:tcBorders>
                  <w:shd w:val="clear" w:color="auto" w:fill="auto"/>
                  <w:vAlign w:val="center"/>
                </w:tcPr>
                <w:p w14:paraId="2B379168">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位于医院东北角，建筑面积为6m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，设置水槽，用于宠物洗澡。</w:t>
                  </w:r>
                </w:p>
              </w:tc>
              <w:tc>
                <w:tcPr>
                  <w:tcW w:w="638" w:type="pct"/>
                  <w:tcBorders>
                    <w:tl2br w:val="nil"/>
                    <w:tr2bl w:val="nil"/>
                  </w:tcBorders>
                  <w:vAlign w:val="center"/>
                </w:tcPr>
                <w:p w14:paraId="3C23B5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w:t>
                  </w:r>
                </w:p>
              </w:tc>
            </w:tr>
            <w:tr w14:paraId="54D9B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4670B8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055C201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color w:val="auto"/>
                      <w:lang w:val="en-US" w:eastAsia="zh-CN"/>
                    </w:rPr>
                  </w:pPr>
                  <w:r>
                    <w:rPr>
                      <w:rFonts w:hint="eastAsia" w:cs="Times New Roman"/>
                      <w:color w:val="auto"/>
                      <w:lang w:val="en-US" w:eastAsia="zh-CN"/>
                    </w:rPr>
                    <w:t>手术室</w:t>
                  </w:r>
                </w:p>
              </w:tc>
              <w:tc>
                <w:tcPr>
                  <w:tcW w:w="3052" w:type="pct"/>
                  <w:tcBorders>
                    <w:tl2br w:val="nil"/>
                    <w:tr2bl w:val="nil"/>
                  </w:tcBorders>
                  <w:shd w:val="clear" w:color="auto" w:fill="auto"/>
                  <w:vAlign w:val="center"/>
                </w:tcPr>
                <w:p w14:paraId="5DAA9205">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位于医院西北角，DR室北侧，建筑面积为11m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w:t>
                  </w:r>
                  <w:r>
                    <w:rPr>
                      <w:rFonts w:hint="eastAsia" w:cs="Times New Roman"/>
                      <w:color w:val="auto"/>
                      <w:sz w:val="21"/>
                      <w:highlight w:val="none"/>
                      <w:lang w:val="en-US" w:eastAsia="zh-CN"/>
                    </w:rPr>
                    <w:t>新增麻醉机、监护仪等设备，</w:t>
                  </w:r>
                  <w:r>
                    <w:rPr>
                      <w:rFonts w:hint="eastAsia" w:ascii="Times New Roman" w:hAnsi="Times New Roman" w:eastAsia="宋体" w:cs="Times New Roman"/>
                      <w:color w:val="auto"/>
                      <w:sz w:val="21"/>
                      <w:highlight w:val="none"/>
                      <w:lang w:val="en-US" w:eastAsia="zh-CN"/>
                    </w:rPr>
                    <w:t>用于含三腔手术在内的手术。</w:t>
                  </w:r>
                </w:p>
              </w:tc>
              <w:tc>
                <w:tcPr>
                  <w:tcW w:w="638" w:type="pct"/>
                  <w:tcBorders>
                    <w:tl2br w:val="nil"/>
                    <w:tr2bl w:val="nil"/>
                  </w:tcBorders>
                  <w:vAlign w:val="center"/>
                </w:tcPr>
                <w:p w14:paraId="35B527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已建+新建</w:t>
                  </w:r>
                </w:p>
              </w:tc>
            </w:tr>
            <w:tr w14:paraId="58E66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4BD5D2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296D9A64">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color w:val="auto"/>
                      <w:lang w:val="en-US" w:eastAsia="zh-CN"/>
                    </w:rPr>
                    <w:t>DR室</w:t>
                  </w:r>
                </w:p>
              </w:tc>
              <w:tc>
                <w:tcPr>
                  <w:tcW w:w="3052" w:type="pct"/>
                  <w:tcBorders>
                    <w:tl2br w:val="nil"/>
                    <w:tr2bl w:val="nil"/>
                  </w:tcBorders>
                  <w:shd w:val="clear" w:color="auto" w:fill="auto"/>
                  <w:vAlign w:val="center"/>
                </w:tcPr>
                <w:p w14:paraId="0A081A4F">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cs="Times New Roman"/>
                      <w:b w:val="0"/>
                      <w:bCs/>
                      <w:color w:val="auto"/>
                      <w:sz w:val="21"/>
                      <w:szCs w:val="21"/>
                      <w:highlight w:val="none"/>
                      <w:vertAlign w:val="baseline"/>
                      <w:lang w:val="en-US" w:eastAsia="zh-CN"/>
                    </w:rPr>
                  </w:pPr>
                  <w:r>
                    <w:rPr>
                      <w:rFonts w:hint="eastAsia" w:cs="Times New Roman"/>
                      <w:color w:val="auto"/>
                      <w:highlight w:val="none"/>
                      <w:lang w:val="en-US" w:eastAsia="zh-CN"/>
                    </w:rPr>
                    <w:t>位于医院西侧中部，猫住院室北侧，</w:t>
                  </w:r>
                  <w:r>
                    <w:rPr>
                      <w:rFonts w:hint="eastAsia" w:ascii="Times New Roman" w:hAnsi="Times New Roman" w:eastAsia="宋体" w:cs="Times New Roman"/>
                      <w:color w:val="auto"/>
                      <w:highlight w:val="none"/>
                      <w:lang w:val="en-US" w:eastAsia="zh-CN"/>
                    </w:rPr>
                    <w:t>建筑面积</w:t>
                  </w:r>
                  <w:r>
                    <w:rPr>
                      <w:rFonts w:hint="eastAsia" w:cs="Times New Roman"/>
                      <w:color w:val="auto"/>
                      <w:highlight w:val="none"/>
                      <w:lang w:val="en-US" w:eastAsia="zh-CN"/>
                    </w:rPr>
                    <w:t>为4</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eastAsia" w:cs="Times New Roman"/>
                      <w:color w:val="auto"/>
                      <w:highlight w:val="none"/>
                      <w:vertAlign w:val="baseline"/>
                      <w:lang w:val="en-US" w:eastAsia="zh-CN"/>
                    </w:rPr>
                    <w:t>，用于DR检查和超声检查。</w:t>
                  </w:r>
                </w:p>
              </w:tc>
              <w:tc>
                <w:tcPr>
                  <w:tcW w:w="638" w:type="pct"/>
                  <w:tcBorders>
                    <w:tl2br w:val="nil"/>
                    <w:tr2bl w:val="nil"/>
                  </w:tcBorders>
                  <w:vAlign w:val="center"/>
                </w:tcPr>
                <w:p w14:paraId="04F945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41969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4C8723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辅助工程</w:t>
                  </w:r>
                </w:p>
              </w:tc>
              <w:tc>
                <w:tcPr>
                  <w:tcW w:w="803" w:type="pct"/>
                  <w:tcBorders>
                    <w:tl2br w:val="nil"/>
                    <w:tr2bl w:val="nil"/>
                  </w:tcBorders>
                  <w:vAlign w:val="center"/>
                </w:tcPr>
                <w:p w14:paraId="2EA171EE">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lang w:val="en-US" w:eastAsia="zh-CN"/>
                    </w:rPr>
                    <w:t>药房</w:t>
                  </w:r>
                </w:p>
              </w:tc>
              <w:tc>
                <w:tcPr>
                  <w:tcW w:w="3052" w:type="pct"/>
                  <w:tcBorders>
                    <w:tl2br w:val="nil"/>
                    <w:tr2bl w:val="nil"/>
                  </w:tcBorders>
                  <w:vAlign w:val="center"/>
                </w:tcPr>
                <w:p w14:paraId="33BE4A29">
                  <w:pPr>
                    <w:pStyle w:val="55"/>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highlight w:val="none"/>
                      <w:lang w:val="en-US" w:eastAsia="zh-CN"/>
                    </w:rPr>
                    <w:t>位于医院西南角，建筑面积为5m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，用于</w:t>
                  </w:r>
                  <w:r>
                    <w:rPr>
                      <w:rFonts w:hint="eastAsia" w:ascii="Times New Roman" w:hAnsi="Times New Roman" w:eastAsia="宋体" w:cs="Times New Roman"/>
                      <w:highlight w:val="none"/>
                      <w:lang w:val="en-US" w:eastAsia="zh-CN"/>
                    </w:rPr>
                    <w:t>药品医疗</w:t>
                  </w:r>
                  <w:r>
                    <w:rPr>
                      <w:rFonts w:hint="eastAsia" w:cs="Times New Roman"/>
                      <w:highlight w:val="none"/>
                      <w:lang w:val="en-US" w:eastAsia="zh-CN"/>
                    </w:rPr>
                    <w:t>等</w:t>
                  </w:r>
                  <w:r>
                    <w:rPr>
                      <w:rFonts w:hint="eastAsia" w:ascii="Times New Roman" w:hAnsi="Times New Roman" w:eastAsia="宋体" w:cs="Times New Roman"/>
                      <w:highlight w:val="none"/>
                      <w:lang w:val="en-US" w:eastAsia="zh-CN"/>
                    </w:rPr>
                    <w:t>耗材的暂存。</w:t>
                  </w:r>
                </w:p>
              </w:tc>
              <w:tc>
                <w:tcPr>
                  <w:tcW w:w="638" w:type="pct"/>
                  <w:tcBorders>
                    <w:tl2br w:val="nil"/>
                    <w:tr2bl w:val="nil"/>
                  </w:tcBorders>
                  <w:vAlign w:val="center"/>
                </w:tcPr>
                <w:p w14:paraId="16BC51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2E08B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2316FB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803" w:type="pct"/>
                  <w:tcBorders>
                    <w:tl2br w:val="nil"/>
                    <w:tr2bl w:val="nil"/>
                  </w:tcBorders>
                  <w:vAlign w:val="center"/>
                </w:tcPr>
                <w:p w14:paraId="110841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大厅</w:t>
                  </w:r>
                </w:p>
              </w:tc>
              <w:tc>
                <w:tcPr>
                  <w:tcW w:w="3052" w:type="pct"/>
                  <w:tcBorders>
                    <w:tl2br w:val="nil"/>
                    <w:tr2bl w:val="nil"/>
                  </w:tcBorders>
                  <w:vAlign w:val="center"/>
                </w:tcPr>
                <w:p w14:paraId="14CF0E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位于医院</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进口</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处，，主要用于接待顾客和员工休息。</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大厅西</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侧，用于售卖宠物用品。</w:t>
                  </w:r>
                </w:p>
              </w:tc>
              <w:tc>
                <w:tcPr>
                  <w:tcW w:w="638" w:type="pct"/>
                  <w:tcBorders>
                    <w:tl2br w:val="nil"/>
                    <w:tr2bl w:val="nil"/>
                  </w:tcBorders>
                  <w:vAlign w:val="center"/>
                </w:tcPr>
                <w:p w14:paraId="77CB3A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9C4E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506" w:type="pct"/>
                  <w:vMerge w:val="continue"/>
                  <w:tcBorders>
                    <w:tl2br w:val="nil"/>
                    <w:tr2bl w:val="nil"/>
                  </w:tcBorders>
                  <w:vAlign w:val="center"/>
                </w:tcPr>
                <w:p w14:paraId="6F32F6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E8B2A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卫生间</w:t>
                  </w:r>
                </w:p>
              </w:tc>
              <w:tc>
                <w:tcPr>
                  <w:tcW w:w="3052" w:type="pct"/>
                  <w:tcBorders>
                    <w:tl2br w:val="nil"/>
                    <w:tr2bl w:val="nil"/>
                  </w:tcBorders>
                  <w:vAlign w:val="center"/>
                </w:tcPr>
                <w:p w14:paraId="3C5829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设置</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处卫生间，位于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医院北侧</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638" w:type="pct"/>
                  <w:tcBorders>
                    <w:tl2br w:val="nil"/>
                    <w:tr2bl w:val="nil"/>
                  </w:tcBorders>
                  <w:vAlign w:val="center"/>
                </w:tcPr>
                <w:p w14:paraId="482B8F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13B71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restart"/>
                  <w:tcBorders>
                    <w:tl2br w:val="nil"/>
                    <w:tr2bl w:val="nil"/>
                  </w:tcBorders>
                  <w:vAlign w:val="center"/>
                </w:tcPr>
                <w:p w14:paraId="3420C0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公用工程</w:t>
                  </w:r>
                </w:p>
              </w:tc>
              <w:tc>
                <w:tcPr>
                  <w:tcW w:w="803" w:type="pct"/>
                  <w:tcBorders>
                    <w:tl2br w:val="nil"/>
                    <w:tr2bl w:val="nil"/>
                  </w:tcBorders>
                  <w:vAlign w:val="center"/>
                </w:tcPr>
                <w:p w14:paraId="04A402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给水</w:t>
                  </w:r>
                </w:p>
              </w:tc>
              <w:tc>
                <w:tcPr>
                  <w:tcW w:w="3052" w:type="pct"/>
                  <w:tcBorders>
                    <w:tl2br w:val="nil"/>
                    <w:tr2bl w:val="nil"/>
                  </w:tcBorders>
                  <w:vAlign w:val="center"/>
                </w:tcPr>
                <w:p w14:paraId="54A024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依托市政给水管网接入。</w:t>
                  </w:r>
                </w:p>
              </w:tc>
              <w:tc>
                <w:tcPr>
                  <w:tcW w:w="638" w:type="pct"/>
                  <w:tcBorders>
                    <w:tl2br w:val="nil"/>
                    <w:tr2bl w:val="nil"/>
                  </w:tcBorders>
                  <w:vAlign w:val="center"/>
                </w:tcPr>
                <w:p w14:paraId="1EA109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8E1A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4F65D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8B9AA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排水</w:t>
                  </w:r>
                </w:p>
              </w:tc>
              <w:tc>
                <w:tcPr>
                  <w:tcW w:w="3052" w:type="pct"/>
                  <w:tcBorders>
                    <w:tl2br w:val="nil"/>
                    <w:tr2bl w:val="nil"/>
                  </w:tcBorders>
                  <w:vAlign w:val="center"/>
                </w:tcPr>
                <w:p w14:paraId="1929E0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采用</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污分流制，医疗废水经</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消毒设施消毒（本项目使用</w:t>
                  </w:r>
                  <w:r>
                    <w:rPr>
                      <w:rFonts w:hint="eastAsia" w:ascii="Times New Roman" w:hAnsi="Times New Roman" w:cs="Times New Roman"/>
                      <w:b w:val="0"/>
                      <w:bCs/>
                      <w:color w:val="auto"/>
                      <w:sz w:val="21"/>
                      <w:szCs w:val="21"/>
                      <w:highlight w:val="none"/>
                      <w:vertAlign w:val="baseline"/>
                      <w:lang w:val="en-US" w:eastAsia="zh-CN"/>
                    </w:rPr>
                    <w:t>二氧化氯</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消毒片</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美容洗浴废水经滤网过滤后与生活污水、</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其他废水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一起进入</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弘悦101已建生化池</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，处理达《污水综合排放标准》（GB8978-1</w:t>
                  </w:r>
                  <w:r>
                    <w:rPr>
                      <w:rFonts w:hint="default" w:ascii="Times New Roman" w:hAnsi="Times New Roman" w:eastAsia="宋体" w:cs="Times New Roman"/>
                      <w:b w:val="0"/>
                      <w:bCs/>
                      <w:color w:val="auto"/>
                      <w:sz w:val="21"/>
                      <w:szCs w:val="21"/>
                      <w:highlight w:val="none"/>
                      <w:vertAlign w:val="baseline"/>
                      <w:lang w:val="en-US" w:eastAsia="zh-CN"/>
                    </w:rPr>
                    <w:t>996）三级标准，汇入市政污水管网进入</w:t>
                  </w:r>
                  <w:r>
                    <w:rPr>
                      <w:rFonts w:hint="eastAsia" w:cs="Times New Roman"/>
                      <w:b w:val="0"/>
                      <w:bCs/>
                      <w:color w:val="auto"/>
                      <w:sz w:val="21"/>
                      <w:szCs w:val="21"/>
                      <w:highlight w:val="none"/>
                      <w:vertAlign w:val="baseline"/>
                      <w:lang w:val="en-US" w:eastAsia="zh-CN"/>
                    </w:rPr>
                    <w:t>彩云湖污水处理厂</w:t>
                  </w:r>
                  <w:r>
                    <w:rPr>
                      <w:rFonts w:hint="default" w:ascii="Times New Roman" w:hAnsi="Times New Roman" w:eastAsia="宋体" w:cs="Times New Roman"/>
                      <w:b w:val="0"/>
                      <w:bCs/>
                      <w:color w:val="auto"/>
                      <w:sz w:val="21"/>
                      <w:szCs w:val="21"/>
                      <w:highlight w:val="none"/>
                      <w:vertAlign w:val="baseline"/>
                      <w:lang w:val="en-US" w:eastAsia="zh-CN"/>
                    </w:rPr>
                    <w:t>进一步处理达</w:t>
                  </w:r>
                  <w:r>
                    <w:rPr>
                      <w:rFonts w:hint="eastAsia" w:cs="Times New Roman"/>
                      <w:b w:val="0"/>
                      <w:bCs/>
                      <w:color w:val="auto"/>
                      <w:sz w:val="21"/>
                      <w:szCs w:val="21"/>
                      <w:highlight w:val="none"/>
                      <w:vertAlign w:val="baseline"/>
                      <w:lang w:val="en-US" w:eastAsia="zh-CN"/>
                    </w:rPr>
                    <w:t>彩云湖污水处理厂出水水质标准</w:t>
                  </w:r>
                  <w:r>
                    <w:rPr>
                      <w:rFonts w:hint="default" w:ascii="Times New Roman" w:hAnsi="Times New Roman" w:eastAsia="宋体" w:cs="Times New Roman"/>
                      <w:b w:val="0"/>
                      <w:bCs/>
                      <w:color w:val="auto"/>
                      <w:sz w:val="21"/>
                      <w:szCs w:val="21"/>
                      <w:highlight w:val="none"/>
                      <w:vertAlign w:val="baseline"/>
                      <w:lang w:val="en-US" w:eastAsia="zh-CN"/>
                    </w:rPr>
                    <w:t>后作为彩云湖湿地公园和桃花溪景观补水</w:t>
                  </w:r>
                  <w:r>
                    <w:rPr>
                      <w:rFonts w:hint="eastAsia" w:cs="Times New Roman"/>
                      <w:b w:val="0"/>
                      <w:bCs/>
                      <w:color w:val="auto"/>
                      <w:sz w:val="21"/>
                      <w:szCs w:val="21"/>
                      <w:highlight w:val="none"/>
                      <w:vertAlign w:val="baseline"/>
                      <w:lang w:val="en-US" w:eastAsia="zh-CN"/>
                    </w:rPr>
                    <w:t>，最终排入长江。</w:t>
                  </w:r>
                </w:p>
              </w:tc>
              <w:tc>
                <w:tcPr>
                  <w:tcW w:w="638" w:type="pct"/>
                  <w:tcBorders>
                    <w:tl2br w:val="nil"/>
                    <w:tr2bl w:val="nil"/>
                  </w:tcBorders>
                  <w:vAlign w:val="center"/>
                </w:tcPr>
                <w:p w14:paraId="7F145F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14034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780790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12EDF5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供电</w:t>
                  </w:r>
                </w:p>
              </w:tc>
              <w:tc>
                <w:tcPr>
                  <w:tcW w:w="3052" w:type="pct"/>
                  <w:tcBorders>
                    <w:tl2br w:val="nil"/>
                    <w:tr2bl w:val="nil"/>
                  </w:tcBorders>
                  <w:vAlign w:val="center"/>
                </w:tcPr>
                <w:p w14:paraId="5A134C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依托市政供电管网。</w:t>
                  </w:r>
                </w:p>
              </w:tc>
              <w:tc>
                <w:tcPr>
                  <w:tcW w:w="638" w:type="pct"/>
                  <w:tcBorders>
                    <w:tl2br w:val="nil"/>
                    <w:tr2bl w:val="nil"/>
                  </w:tcBorders>
                  <w:vAlign w:val="center"/>
                </w:tcPr>
                <w:p w14:paraId="7B64B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0EDB6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6DAF50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F7E11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通风与空调</w:t>
                  </w:r>
                </w:p>
              </w:tc>
              <w:tc>
                <w:tcPr>
                  <w:tcW w:w="3052" w:type="pct"/>
                  <w:tcBorders>
                    <w:tl2br w:val="nil"/>
                    <w:tr2bl w:val="nil"/>
                  </w:tcBorders>
                  <w:vAlign w:val="center"/>
                </w:tcPr>
                <w:p w14:paraId="7081DF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highlight w:val="none"/>
                      <w:lang w:val="en-US" w:eastAsia="zh-CN"/>
                    </w:rPr>
                    <w:t>采用自然通风和单体式空调结合的形式进行通风。</w:t>
                  </w:r>
                </w:p>
              </w:tc>
              <w:tc>
                <w:tcPr>
                  <w:tcW w:w="638" w:type="pct"/>
                  <w:tcBorders>
                    <w:tl2br w:val="nil"/>
                    <w:tr2bl w:val="nil"/>
                  </w:tcBorders>
                  <w:vAlign w:val="center"/>
                </w:tcPr>
                <w:p w14:paraId="30765A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r w14:paraId="63761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158289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3399B8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消毒系统</w:t>
                  </w:r>
                </w:p>
              </w:tc>
              <w:tc>
                <w:tcPr>
                  <w:tcW w:w="3052" w:type="pct"/>
                  <w:tcBorders>
                    <w:tl2br w:val="nil"/>
                    <w:tr2bl w:val="nil"/>
                  </w:tcBorders>
                  <w:vAlign w:val="center"/>
                </w:tcPr>
                <w:p w14:paraId="65424D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highlight w:val="none"/>
                      <w:lang w:val="en-US" w:eastAsia="zh-CN"/>
                    </w:rPr>
                    <w:t>手术器械、玻璃器皿等采用高压灭菌锅消毒，</w:t>
                  </w:r>
                  <w:r>
                    <w:rPr>
                      <w:rFonts w:hint="eastAsia" w:cs="Times New Roman"/>
                      <w:color w:val="auto"/>
                      <w:highlight w:val="none"/>
                      <w:lang w:val="en-US" w:eastAsia="zh-CN"/>
                    </w:rPr>
                    <w:t>病房通过</w:t>
                  </w:r>
                  <w:r>
                    <w:rPr>
                      <w:rFonts w:hint="eastAsia" w:ascii="Times New Roman" w:hAnsi="Times New Roman" w:eastAsia="宋体" w:cs="Times New Roman"/>
                      <w:color w:val="auto"/>
                      <w:highlight w:val="none"/>
                      <w:lang w:val="en-US" w:eastAsia="zh-CN"/>
                    </w:rPr>
                    <w:t>紫外线灯</w:t>
                  </w:r>
                  <w:r>
                    <w:rPr>
                      <w:rFonts w:hint="eastAsia" w:cs="Times New Roman"/>
                      <w:color w:val="auto"/>
                      <w:highlight w:val="none"/>
                      <w:lang w:val="en-US" w:eastAsia="zh-CN"/>
                    </w:rPr>
                    <w:t>进行消毒杀菌，医院整体采用</w:t>
                  </w:r>
                  <w:r>
                    <w:rPr>
                      <w:rFonts w:hint="eastAsia" w:ascii="Times New Roman" w:hAnsi="Times New Roman" w:eastAsia="宋体" w:cs="Times New Roman"/>
                      <w:color w:val="auto"/>
                      <w:highlight w:val="none"/>
                      <w:lang w:val="en-US" w:eastAsia="zh-CN"/>
                    </w:rPr>
                    <w:t>84消毒液喷洒消毒，手术室台面、地面等采用84消毒液喷洒消毒，</w:t>
                  </w:r>
                  <w:r>
                    <w:rPr>
                      <w:rFonts w:hint="eastAsia" w:cs="Times New Roman"/>
                      <w:color w:val="auto"/>
                      <w:highlight w:val="none"/>
                      <w:lang w:val="en-US" w:eastAsia="zh-CN"/>
                    </w:rPr>
                    <w:t>宠物粪污</w:t>
                  </w:r>
                  <w:r>
                    <w:rPr>
                      <w:rFonts w:hint="eastAsia" w:ascii="Times New Roman" w:hAnsi="Times New Roman" w:eastAsia="宋体" w:cs="Times New Roman"/>
                      <w:color w:val="auto"/>
                      <w:highlight w:val="none"/>
                      <w:lang w:val="en-US" w:eastAsia="zh-CN"/>
                    </w:rPr>
                    <w:t>采用</w:t>
                  </w:r>
                  <w:r>
                    <w:rPr>
                      <w:rFonts w:hint="eastAsia" w:ascii="Times New Roman" w:hAnsi="Times New Roman" w:eastAsia="宋体" w:cs="Times New Roman"/>
                      <w:snapToGrid w:val="0"/>
                      <w:color w:val="auto"/>
                      <w:kern w:val="2"/>
                      <w:sz w:val="21"/>
                      <w:szCs w:val="21"/>
                      <w:lang w:val="en-US" w:eastAsia="zh-CN" w:bidi="ar-SA"/>
                    </w:rPr>
                    <w:t>84消毒液喷洒消毒</w:t>
                  </w:r>
                  <w:r>
                    <w:rPr>
                      <w:rFonts w:hint="eastAsia"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val="en-US" w:eastAsia="zh-CN"/>
                    </w:rPr>
                    <w:t>医疗废水通过投加</w:t>
                  </w:r>
                  <w:r>
                    <w:rPr>
                      <w:rFonts w:hint="eastAsia" w:ascii="Times New Roman" w:hAnsi="Times New Roman" w:cs="Times New Roman"/>
                      <w:b w:val="0"/>
                      <w:bCs/>
                      <w:color w:val="auto"/>
                      <w:sz w:val="21"/>
                      <w:szCs w:val="21"/>
                      <w:highlight w:val="none"/>
                      <w:vertAlign w:val="baseline"/>
                      <w:lang w:val="en-US" w:eastAsia="zh-CN"/>
                    </w:rPr>
                    <w:t>二氧化氯</w:t>
                  </w:r>
                  <w:r>
                    <w:rPr>
                      <w:rFonts w:hint="default" w:ascii="Times New Roman" w:hAnsi="Times New Roman" w:cs="Times New Roman"/>
                      <w:b w:val="0"/>
                      <w:bCs/>
                      <w:color w:val="auto"/>
                      <w:sz w:val="21"/>
                      <w:szCs w:val="21"/>
                      <w:highlight w:val="none"/>
                      <w:vertAlign w:val="baseline"/>
                      <w:lang w:val="en-US" w:eastAsia="zh-CN"/>
                    </w:rPr>
                    <w:t>消毒片</w:t>
                  </w:r>
                  <w:r>
                    <w:rPr>
                      <w:rFonts w:hint="eastAsia" w:cs="Times New Roman"/>
                      <w:b w:val="0"/>
                      <w:bCs/>
                      <w:color w:val="auto"/>
                      <w:sz w:val="21"/>
                      <w:szCs w:val="21"/>
                      <w:highlight w:val="none"/>
                      <w:vertAlign w:val="baseline"/>
                      <w:lang w:val="en-US" w:eastAsia="zh-CN"/>
                    </w:rPr>
                    <w:t>、</w:t>
                  </w:r>
                  <w:r>
                    <w:rPr>
                      <w:rFonts w:hint="eastAsia" w:ascii="Times New Roman" w:hAnsi="Times New Roman" w:eastAsia="宋体" w:cs="Times New Roman"/>
                      <w:b w:val="0"/>
                      <w:color w:val="auto"/>
                      <w:sz w:val="21"/>
                      <w:lang w:val="en-US" w:eastAsia="zh-CN" w:bidi="ar-SA"/>
                    </w:rPr>
                    <w:t>三氯异氰尿酸消毒片</w:t>
                  </w:r>
                  <w:r>
                    <w:rPr>
                      <w:rFonts w:hint="default" w:ascii="Times New Roman" w:hAnsi="Times New Roman" w:cs="Times New Roman"/>
                      <w:b w:val="0"/>
                      <w:bCs/>
                      <w:color w:val="auto"/>
                      <w:sz w:val="21"/>
                      <w:szCs w:val="21"/>
                      <w:highlight w:val="none"/>
                      <w:vertAlign w:val="baseline"/>
                      <w:lang w:val="en-US" w:eastAsia="zh-CN"/>
                    </w:rPr>
                    <w:t>消毒。</w:t>
                  </w:r>
                </w:p>
              </w:tc>
              <w:tc>
                <w:tcPr>
                  <w:tcW w:w="638" w:type="pct"/>
                  <w:tcBorders>
                    <w:tl2br w:val="nil"/>
                    <w:tr2bl w:val="nil"/>
                  </w:tcBorders>
                  <w:vAlign w:val="center"/>
                </w:tcPr>
                <w:p w14:paraId="41D3EC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r w14:paraId="104E4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6" w:type="pct"/>
                  <w:vMerge w:val="restart"/>
                  <w:tcBorders>
                    <w:tl2br w:val="nil"/>
                    <w:tr2bl w:val="nil"/>
                  </w:tcBorders>
                  <w:vAlign w:val="center"/>
                </w:tcPr>
                <w:p w14:paraId="63C5BF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环保工程</w:t>
                  </w:r>
                </w:p>
              </w:tc>
              <w:tc>
                <w:tcPr>
                  <w:tcW w:w="803" w:type="pct"/>
                  <w:tcBorders>
                    <w:tl2br w:val="nil"/>
                    <w:tr2bl w:val="nil"/>
                  </w:tcBorders>
                  <w:vAlign w:val="center"/>
                </w:tcPr>
                <w:p w14:paraId="7E2DF5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异味</w:t>
                  </w:r>
                </w:p>
              </w:tc>
              <w:tc>
                <w:tcPr>
                  <w:tcW w:w="3052" w:type="pct"/>
                  <w:tcBorders>
                    <w:tl2br w:val="nil"/>
                    <w:tr2bl w:val="nil"/>
                  </w:tcBorders>
                  <w:vAlign w:val="center"/>
                </w:tcPr>
                <w:p w14:paraId="69CBA8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采用自然通风和空调系统结合的形式进行通风</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病房设有紫外线灯管消毒杀菌</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每天使用84消毒液对医院进行消毒。</w:t>
                  </w:r>
                </w:p>
              </w:tc>
              <w:tc>
                <w:tcPr>
                  <w:tcW w:w="638" w:type="pct"/>
                  <w:tcBorders>
                    <w:tl2br w:val="nil"/>
                    <w:tr2bl w:val="nil"/>
                  </w:tcBorders>
                  <w:vAlign w:val="center"/>
                </w:tcPr>
                <w:p w14:paraId="2E8631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077EC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567608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803" w:type="pct"/>
                  <w:tcBorders>
                    <w:tl2br w:val="nil"/>
                    <w:tr2bl w:val="nil"/>
                  </w:tcBorders>
                  <w:vAlign w:val="center"/>
                </w:tcPr>
                <w:p w14:paraId="6359F6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废水</w:t>
                  </w:r>
                </w:p>
              </w:tc>
              <w:tc>
                <w:tcPr>
                  <w:tcW w:w="3052" w:type="pct"/>
                  <w:tcBorders>
                    <w:tl2br w:val="nil"/>
                    <w:tr2bl w:val="nil"/>
                  </w:tcBorders>
                  <w:vAlign w:val="center"/>
                </w:tcPr>
                <w:p w14:paraId="3022CE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项目设置</w:t>
                  </w:r>
                  <w:r>
                    <w:rPr>
                      <w:rFonts w:hint="eastAsia" w:cs="Times New Roman"/>
                      <w:b w:val="0"/>
                      <w:bCs/>
                      <w:color w:val="auto"/>
                      <w:sz w:val="21"/>
                      <w:szCs w:val="21"/>
                      <w:highlight w:val="none"/>
                      <w:vertAlign w:val="baseline"/>
                      <w:lang w:val="en-US" w:eastAsia="zh-CN"/>
                    </w:rPr>
                    <w:t>有2</w:t>
                  </w:r>
                  <w:r>
                    <w:rPr>
                      <w:rFonts w:hint="default" w:ascii="Times New Roman" w:hAnsi="Times New Roman" w:cs="Times New Roman"/>
                      <w:b w:val="0"/>
                      <w:bCs/>
                      <w:color w:val="auto"/>
                      <w:sz w:val="21"/>
                      <w:szCs w:val="21"/>
                      <w:highlight w:val="none"/>
                      <w:vertAlign w:val="baseline"/>
                      <w:lang w:val="en-US" w:eastAsia="zh-CN"/>
                    </w:rPr>
                    <w:t>台</w:t>
                  </w:r>
                  <w:r>
                    <w:rPr>
                      <w:rFonts w:hint="eastAsia" w:cs="Times New Roman"/>
                      <w:b w:val="0"/>
                      <w:bCs/>
                      <w:color w:val="auto"/>
                      <w:sz w:val="21"/>
                      <w:szCs w:val="21"/>
                      <w:highlight w:val="none"/>
                      <w:vertAlign w:val="baseline"/>
                      <w:lang w:val="en-US" w:eastAsia="zh-CN"/>
                    </w:rPr>
                    <w:t>消毒箱，分别位于中央处置台下方、手术室洗手台下方，</w:t>
                  </w:r>
                  <w:r>
                    <w:rPr>
                      <w:rFonts w:hint="default" w:ascii="Times New Roman" w:hAnsi="Times New Roman" w:cs="Times New Roman"/>
                      <w:b w:val="0"/>
                      <w:bCs/>
                      <w:color w:val="auto"/>
                      <w:sz w:val="21"/>
                      <w:szCs w:val="21"/>
                      <w:highlight w:val="none"/>
                      <w:vertAlign w:val="baseline"/>
                      <w:lang w:val="en-US" w:eastAsia="zh-CN"/>
                    </w:rPr>
                    <w:t>用于处理</w:t>
                  </w:r>
                  <w:r>
                    <w:rPr>
                      <w:rFonts w:hint="eastAsia" w:cs="Times New Roman"/>
                      <w:b w:val="0"/>
                      <w:bCs/>
                      <w:color w:val="auto"/>
                      <w:sz w:val="21"/>
                      <w:szCs w:val="21"/>
                      <w:highlight w:val="none"/>
                      <w:vertAlign w:val="baseline"/>
                      <w:lang w:val="en-US" w:eastAsia="zh-CN"/>
                    </w:rPr>
                    <w:t>化验室、隔离室、</w:t>
                  </w:r>
                  <w:r>
                    <w:rPr>
                      <w:rFonts w:hint="eastAsia" w:ascii="Times New Roman" w:hAnsi="Times New Roman" w:cs="Times New Roman"/>
                      <w:b w:val="0"/>
                      <w:bCs/>
                      <w:color w:val="auto"/>
                      <w:sz w:val="21"/>
                      <w:szCs w:val="21"/>
                      <w:highlight w:val="none"/>
                      <w:vertAlign w:val="baseline"/>
                      <w:lang w:val="en-US" w:eastAsia="zh-CN"/>
                    </w:rPr>
                    <w:t>手术室产生的</w:t>
                  </w:r>
                  <w:r>
                    <w:rPr>
                      <w:rFonts w:hint="default" w:ascii="Times New Roman" w:hAnsi="Times New Roman" w:cs="Times New Roman"/>
                      <w:b w:val="0"/>
                      <w:bCs/>
                      <w:color w:val="auto"/>
                      <w:sz w:val="21"/>
                      <w:szCs w:val="21"/>
                      <w:highlight w:val="none"/>
                      <w:vertAlign w:val="baseline"/>
                      <w:lang w:val="en-US" w:eastAsia="zh-CN"/>
                    </w:rPr>
                    <w:t>医疗废水，</w:t>
                  </w:r>
                  <w:r>
                    <w:rPr>
                      <w:rFonts w:hint="eastAsia" w:cs="Times New Roman"/>
                      <w:b w:val="0"/>
                      <w:bCs/>
                      <w:color w:val="auto"/>
                      <w:sz w:val="21"/>
                      <w:szCs w:val="21"/>
                      <w:highlight w:val="none"/>
                      <w:vertAlign w:val="baseline"/>
                      <w:lang w:val="en-US" w:eastAsia="zh-CN"/>
                    </w:rPr>
                    <w:t>有效容积50L</w:t>
                  </w:r>
                  <w:r>
                    <w:rPr>
                      <w:rFonts w:hint="eastAsia" w:cs="Times New Roman"/>
                      <w:b w:val="0"/>
                      <w:bCs/>
                      <w:color w:val="auto"/>
                      <w:kern w:val="0"/>
                      <w:sz w:val="21"/>
                      <w:szCs w:val="21"/>
                      <w:highlight w:val="none"/>
                      <w:vertAlign w:val="baseline"/>
                      <w:lang w:eastAsia="zh-CN"/>
                    </w:rPr>
                    <w:t>、</w:t>
                  </w:r>
                  <w:r>
                    <w:rPr>
                      <w:rFonts w:hint="eastAsia" w:cs="Times New Roman"/>
                      <w:b w:val="0"/>
                      <w:bCs/>
                      <w:color w:val="auto"/>
                      <w:kern w:val="0"/>
                      <w:sz w:val="21"/>
                      <w:szCs w:val="21"/>
                      <w:highlight w:val="none"/>
                      <w:vertAlign w:val="baseline"/>
                      <w:lang w:val="en-US" w:eastAsia="zh-CN"/>
                    </w:rPr>
                    <w:t>20</w:t>
                  </w:r>
                  <w:r>
                    <w:rPr>
                      <w:rFonts w:hint="eastAsia" w:cs="Times New Roman"/>
                      <w:b w:val="0"/>
                      <w:bCs/>
                      <w:color w:val="auto"/>
                      <w:sz w:val="21"/>
                      <w:szCs w:val="21"/>
                      <w:highlight w:val="none"/>
                      <w:vertAlign w:val="baseline"/>
                      <w:lang w:val="en-US" w:eastAsia="zh-CN"/>
                    </w:rPr>
                    <w:t>L，处理工艺为消毒</w:t>
                  </w:r>
                  <w:r>
                    <w:rPr>
                      <w:rFonts w:hint="default" w:ascii="Times New Roman" w:hAnsi="Times New Roman" w:cs="Times New Roman"/>
                      <w:b w:val="0"/>
                      <w:bCs/>
                      <w:color w:val="auto"/>
                      <w:sz w:val="21"/>
                      <w:szCs w:val="21"/>
                      <w:highlight w:val="none"/>
                      <w:vertAlign w:val="baseline"/>
                      <w:lang w:val="en-US" w:eastAsia="zh-CN"/>
                    </w:rPr>
                    <w:t>。</w:t>
                  </w:r>
                </w:p>
              </w:tc>
              <w:tc>
                <w:tcPr>
                  <w:tcW w:w="638" w:type="pct"/>
                  <w:tcBorders>
                    <w:tl2br w:val="nil"/>
                    <w:tr2bl w:val="nil"/>
                  </w:tcBorders>
                  <w:vAlign w:val="center"/>
                </w:tcPr>
                <w:p w14:paraId="11330D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5240E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6" w:type="pct"/>
                  <w:vMerge w:val="continue"/>
                  <w:tcBorders>
                    <w:tl2br w:val="nil"/>
                    <w:tr2bl w:val="nil"/>
                  </w:tcBorders>
                  <w:vAlign w:val="center"/>
                </w:tcPr>
                <w:p w14:paraId="2E3031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48B6FD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3052" w:type="pct"/>
                  <w:tcBorders>
                    <w:tl2br w:val="nil"/>
                    <w:tr2bl w:val="nil"/>
                  </w:tcBorders>
                  <w:vAlign w:val="center"/>
                </w:tcPr>
                <w:p w14:paraId="3A7F78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宠物噪声：利用建筑隔声。医院室内各科室皆相互独立。加强管理，门窗常闭状态，同时按时投喂避免宠物处于饥饿状态。</w:t>
                  </w:r>
                </w:p>
              </w:tc>
              <w:tc>
                <w:tcPr>
                  <w:tcW w:w="638" w:type="pct"/>
                  <w:tcBorders>
                    <w:tl2br w:val="nil"/>
                    <w:tr2bl w:val="nil"/>
                  </w:tcBorders>
                  <w:vAlign w:val="center"/>
                </w:tcPr>
                <w:p w14:paraId="549C7F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已建</w:t>
                  </w:r>
                </w:p>
              </w:tc>
            </w:tr>
            <w:tr w14:paraId="6CBBF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vMerge w:val="continue"/>
                  <w:tcBorders>
                    <w:tl2br w:val="nil"/>
                    <w:tr2bl w:val="nil"/>
                  </w:tcBorders>
                  <w:vAlign w:val="center"/>
                </w:tcPr>
                <w:p w14:paraId="04180F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803" w:type="pct"/>
                  <w:tcBorders>
                    <w:tl2br w:val="nil"/>
                    <w:tr2bl w:val="nil"/>
                  </w:tcBorders>
                  <w:vAlign w:val="center"/>
                </w:tcPr>
                <w:p w14:paraId="74D977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固废</w:t>
                  </w:r>
                </w:p>
              </w:tc>
              <w:tc>
                <w:tcPr>
                  <w:tcW w:w="3052" w:type="pct"/>
                  <w:tcBorders>
                    <w:tl2br w:val="nil"/>
                    <w:tr2bl w:val="nil"/>
                  </w:tcBorders>
                  <w:vAlign w:val="center"/>
                </w:tcPr>
                <w:p w14:paraId="4490B6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设置单独</w:t>
                  </w:r>
                  <w:r>
                    <w:rPr>
                      <w:rFonts w:hint="eastAsia" w:cs="Times New Roman"/>
                      <w:b w:val="0"/>
                      <w:bCs/>
                      <w:color w:val="auto"/>
                      <w:sz w:val="21"/>
                      <w:szCs w:val="21"/>
                      <w:highlight w:val="none"/>
                      <w:vertAlign w:val="baseline"/>
                      <w:lang w:val="en-US" w:eastAsia="zh-CN"/>
                    </w:rPr>
                    <w:t>医废暂存点</w:t>
                  </w:r>
                  <w:r>
                    <w:rPr>
                      <w:rFonts w:hint="default" w:ascii="Times New Roman" w:hAnsi="Times New Roman" w:cs="Times New Roman"/>
                      <w:b w:val="0"/>
                      <w:bCs/>
                      <w:color w:val="auto"/>
                      <w:sz w:val="21"/>
                      <w:szCs w:val="21"/>
                      <w:highlight w:val="none"/>
                      <w:vertAlign w:val="baseline"/>
                      <w:lang w:val="en-US" w:eastAsia="zh-CN"/>
                    </w:rPr>
                    <w:t>，位于医院</w:t>
                  </w:r>
                  <w:r>
                    <w:rPr>
                      <w:rFonts w:hint="eastAsia" w:cs="Times New Roman"/>
                      <w:b w:val="0"/>
                      <w:bCs/>
                      <w:color w:val="auto"/>
                      <w:sz w:val="21"/>
                      <w:szCs w:val="21"/>
                      <w:highlight w:val="none"/>
                      <w:vertAlign w:val="baseline"/>
                      <w:lang w:val="en-US" w:eastAsia="zh-CN"/>
                    </w:rPr>
                    <w:t>化验室内</w:t>
                  </w:r>
                  <w:r>
                    <w:rPr>
                      <w:rFonts w:hint="default" w:ascii="Times New Roman" w:hAnsi="Times New Roman" w:cs="Times New Roman"/>
                      <w:b w:val="0"/>
                      <w:bCs/>
                      <w:color w:val="auto"/>
                      <w:sz w:val="21"/>
                      <w:szCs w:val="21"/>
                      <w:highlight w:val="none"/>
                      <w:vertAlign w:val="baseline"/>
                      <w:lang w:val="en-US" w:eastAsia="zh-CN"/>
                    </w:rPr>
                    <w:t>，占地面积约</w:t>
                  </w:r>
                  <w:r>
                    <w:rPr>
                      <w:rFonts w:hint="eastAsia" w:cs="Times New Roman"/>
                      <w:b w:val="0"/>
                      <w:bCs/>
                      <w:color w:val="auto"/>
                      <w:sz w:val="21"/>
                      <w:szCs w:val="21"/>
                      <w:highlight w:val="none"/>
                      <w:vertAlign w:val="baseline"/>
                      <w:lang w:val="en-US" w:eastAsia="zh-CN"/>
                    </w:rPr>
                    <w:t>1</w:t>
                  </w:r>
                  <w:r>
                    <w:rPr>
                      <w:rFonts w:hint="default" w:ascii="Times New Roman" w:hAnsi="Times New Roman" w:cs="Times New Roman"/>
                      <w:b w:val="0"/>
                      <w:bCs/>
                      <w:color w:val="auto"/>
                      <w:sz w:val="21"/>
                      <w:szCs w:val="21"/>
                      <w:highlight w:val="none"/>
                      <w:vertAlign w:val="baseline"/>
                      <w:lang w:val="en-US" w:eastAsia="zh-CN"/>
                    </w:rPr>
                    <w:t>m</w:t>
                  </w:r>
                  <w:r>
                    <w:rPr>
                      <w:rFonts w:hint="default" w:ascii="Times New Roman" w:hAnsi="Times New Roman" w:cs="Times New Roman"/>
                      <w:b w:val="0"/>
                      <w:bCs/>
                      <w:color w:val="auto"/>
                      <w:sz w:val="21"/>
                      <w:szCs w:val="21"/>
                      <w:highlight w:val="none"/>
                      <w:vertAlign w:val="superscript"/>
                      <w:lang w:val="en-US" w:eastAsia="zh-CN"/>
                    </w:rPr>
                    <w:t>2</w:t>
                  </w:r>
                  <w:r>
                    <w:rPr>
                      <w:rFonts w:hint="eastAsia" w:cs="Times New Roman"/>
                      <w:b w:val="0"/>
                      <w:bCs/>
                      <w:color w:val="auto"/>
                      <w:sz w:val="21"/>
                      <w:szCs w:val="21"/>
                      <w:highlight w:val="none"/>
                      <w:vertAlign w:val="baseline"/>
                      <w:lang w:val="en-US" w:eastAsia="zh-CN"/>
                    </w:rPr>
                    <w:t>；</w:t>
                  </w:r>
                  <w:r>
                    <w:rPr>
                      <w:rFonts w:hint="default" w:ascii="Times New Roman" w:hAnsi="Times New Roman" w:cs="Times New Roman"/>
                      <w:b w:val="0"/>
                      <w:bCs/>
                      <w:color w:val="auto"/>
                      <w:sz w:val="21"/>
                      <w:szCs w:val="21"/>
                      <w:highlight w:val="none"/>
                      <w:vertAlign w:val="baseline"/>
                      <w:lang w:val="en-US" w:eastAsia="zh-CN"/>
                    </w:rPr>
                    <w:t>设加盖医疗废物收集桶。医疗废物使用医疗废物收集桶单独收集后，暂存于</w:t>
                  </w:r>
                  <w:r>
                    <w:rPr>
                      <w:rFonts w:hint="eastAsia" w:cs="Times New Roman"/>
                      <w:b w:val="0"/>
                      <w:bCs/>
                      <w:color w:val="auto"/>
                      <w:sz w:val="21"/>
                      <w:szCs w:val="21"/>
                      <w:highlight w:val="none"/>
                      <w:vertAlign w:val="baseline"/>
                      <w:lang w:val="en-US" w:eastAsia="zh-CN"/>
                    </w:rPr>
                    <w:t>医废暂存点</w:t>
                  </w:r>
                  <w:r>
                    <w:rPr>
                      <w:rFonts w:hint="default" w:ascii="Times New Roman" w:hAnsi="Times New Roman" w:cs="Times New Roman"/>
                      <w:b w:val="0"/>
                      <w:bCs/>
                      <w:color w:val="auto"/>
                      <w:sz w:val="21"/>
                      <w:szCs w:val="21"/>
                      <w:highlight w:val="none"/>
                      <w:vertAlign w:val="baseline"/>
                      <w:lang w:val="en-US" w:eastAsia="zh-CN"/>
                    </w:rPr>
                    <w:t>，定期交有资质单位处置。</w:t>
                  </w:r>
                  <w:r>
                    <w:rPr>
                      <w:rFonts w:hint="eastAsia" w:cs="Times New Roman"/>
                      <w:b w:val="0"/>
                      <w:bCs/>
                      <w:color w:val="auto"/>
                      <w:sz w:val="21"/>
                      <w:szCs w:val="21"/>
                      <w:highlight w:val="none"/>
                      <w:vertAlign w:val="baseline"/>
                      <w:lang w:val="en-US" w:eastAsia="zh-CN"/>
                    </w:rPr>
                    <w:t>设置一个垃圾桶，动物粪污经消毒后与动物毛发、生活垃圾一同收集到垃圾桶，定期交环卫部门处理。</w:t>
                  </w:r>
                  <w:r>
                    <w:rPr>
                      <w:rFonts w:hint="default" w:ascii="Times New Roman" w:hAnsi="Times New Roman" w:eastAsia="宋体" w:cs="Times New Roman"/>
                      <w:b w:val="0"/>
                      <w:bCs/>
                      <w:color w:val="auto"/>
                      <w:sz w:val="21"/>
                      <w:szCs w:val="21"/>
                      <w:highlight w:val="none"/>
                      <w:vertAlign w:val="baseline"/>
                      <w:lang w:val="en-US" w:eastAsia="zh-CN"/>
                    </w:rPr>
                    <w:t>动物尸体交有资质单位进行无害化处理</w:t>
                  </w:r>
                  <w:r>
                    <w:rPr>
                      <w:rFonts w:hint="eastAsia" w:ascii="Times New Roman" w:hAnsi="Times New Roman" w:eastAsia="宋体" w:cs="Times New Roman"/>
                      <w:b w:val="0"/>
                      <w:bCs/>
                      <w:color w:val="auto"/>
                      <w:sz w:val="21"/>
                      <w:szCs w:val="21"/>
                      <w:highlight w:val="none"/>
                      <w:vertAlign w:val="baseline"/>
                      <w:lang w:val="en-US" w:eastAsia="zh-CN"/>
                    </w:rPr>
                    <w:t>。</w:t>
                  </w:r>
                </w:p>
              </w:tc>
              <w:tc>
                <w:tcPr>
                  <w:tcW w:w="638" w:type="pct"/>
                  <w:tcBorders>
                    <w:tl2br w:val="nil"/>
                    <w:tr2bl w:val="nil"/>
                  </w:tcBorders>
                  <w:vAlign w:val="center"/>
                </w:tcPr>
                <w:p w14:paraId="5DCF5D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已建</w:t>
                  </w:r>
                </w:p>
              </w:tc>
            </w:tr>
          </w:tbl>
          <w:p w14:paraId="187B759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2.4主要生产设备</w:t>
            </w:r>
          </w:p>
          <w:p w14:paraId="1DC608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项目主要生产设备详见表 2.4-1。</w:t>
            </w:r>
          </w:p>
          <w:p w14:paraId="4C07A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表 2.4-1项目主要生产设备一览表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38"/>
              <w:gridCol w:w="2139"/>
              <w:gridCol w:w="2025"/>
              <w:gridCol w:w="824"/>
              <w:gridCol w:w="796"/>
              <w:gridCol w:w="816"/>
            </w:tblGrid>
            <w:tr w14:paraId="71BFF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3EDF12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序号</w:t>
                  </w:r>
                </w:p>
              </w:tc>
              <w:tc>
                <w:tcPr>
                  <w:tcW w:w="568" w:type="pct"/>
                  <w:tcBorders>
                    <w:tl2br w:val="nil"/>
                    <w:tr2bl w:val="nil"/>
                  </w:tcBorders>
                  <w:vAlign w:val="center"/>
                </w:tcPr>
                <w:p w14:paraId="5B00C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位置</w:t>
                  </w:r>
                </w:p>
              </w:tc>
              <w:tc>
                <w:tcPr>
                  <w:tcW w:w="1295" w:type="pct"/>
                  <w:tcBorders>
                    <w:tl2br w:val="nil"/>
                    <w:tr2bl w:val="nil"/>
                  </w:tcBorders>
                  <w:vAlign w:val="center"/>
                </w:tcPr>
                <w:p w14:paraId="46C37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设备名称</w:t>
                  </w:r>
                </w:p>
              </w:tc>
              <w:tc>
                <w:tcPr>
                  <w:tcW w:w="1226" w:type="pct"/>
                  <w:tcBorders>
                    <w:tl2br w:val="nil"/>
                    <w:tr2bl w:val="nil"/>
                  </w:tcBorders>
                  <w:vAlign w:val="center"/>
                </w:tcPr>
                <w:p w14:paraId="63A42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规格型号</w:t>
                  </w:r>
                </w:p>
              </w:tc>
              <w:tc>
                <w:tcPr>
                  <w:tcW w:w="499" w:type="pct"/>
                  <w:tcBorders>
                    <w:tl2br w:val="nil"/>
                    <w:tr2bl w:val="nil"/>
                  </w:tcBorders>
                  <w:vAlign w:val="center"/>
                </w:tcPr>
                <w:p w14:paraId="68E9B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单位</w:t>
                  </w:r>
                </w:p>
              </w:tc>
              <w:tc>
                <w:tcPr>
                  <w:tcW w:w="482" w:type="pct"/>
                  <w:tcBorders>
                    <w:tl2br w:val="nil"/>
                    <w:tr2bl w:val="nil"/>
                  </w:tcBorders>
                  <w:vAlign w:val="center"/>
                </w:tcPr>
                <w:p w14:paraId="5A4C2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数量</w:t>
                  </w:r>
                </w:p>
              </w:tc>
              <w:tc>
                <w:tcPr>
                  <w:tcW w:w="494" w:type="pct"/>
                  <w:tcBorders>
                    <w:tl2br w:val="nil"/>
                    <w:tr2bl w:val="nil"/>
                  </w:tcBorders>
                  <w:vAlign w:val="center"/>
                </w:tcPr>
                <w:p w14:paraId="43D01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备注</w:t>
                  </w:r>
                </w:p>
              </w:tc>
            </w:tr>
            <w:tr w14:paraId="1B828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4E376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568" w:type="pct"/>
                  <w:vMerge w:val="restart"/>
                  <w:tcBorders>
                    <w:tl2br w:val="nil"/>
                    <w:tr2bl w:val="nil"/>
                  </w:tcBorders>
                  <w:vAlign w:val="center"/>
                </w:tcPr>
                <w:p w14:paraId="4161B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DR</w:t>
                  </w:r>
                  <w:r>
                    <w:rPr>
                      <w:rFonts w:hint="eastAsia" w:ascii="Times New Roman" w:hAnsi="Times New Roman" w:cs="Times New Roman"/>
                      <w:b w:val="0"/>
                      <w:bCs/>
                      <w:color w:val="auto"/>
                      <w:sz w:val="21"/>
                      <w:szCs w:val="21"/>
                      <w:highlight w:val="none"/>
                      <w:vertAlign w:val="baseline"/>
                      <w:lang w:val="en-US" w:eastAsia="zh-CN"/>
                    </w:rPr>
                    <w:t>室</w:t>
                  </w:r>
                </w:p>
              </w:tc>
              <w:tc>
                <w:tcPr>
                  <w:tcW w:w="1295" w:type="pct"/>
                  <w:tcBorders>
                    <w:tl2br w:val="nil"/>
                    <w:tr2bl w:val="nil"/>
                  </w:tcBorders>
                  <w:vAlign w:val="center"/>
                </w:tcPr>
                <w:p w14:paraId="2F8AC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全数字兽用彩色超声诊断系统</w:t>
                  </w:r>
                </w:p>
              </w:tc>
              <w:tc>
                <w:tcPr>
                  <w:tcW w:w="1226" w:type="pct"/>
                  <w:tcBorders>
                    <w:tl2br w:val="nil"/>
                    <w:tr2bl w:val="nil"/>
                  </w:tcBorders>
                  <w:vAlign w:val="center"/>
                </w:tcPr>
                <w:p w14:paraId="13491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EDAN</w:t>
                  </w:r>
                </w:p>
              </w:tc>
              <w:tc>
                <w:tcPr>
                  <w:tcW w:w="499" w:type="pct"/>
                  <w:tcBorders>
                    <w:tl2br w:val="nil"/>
                    <w:tr2bl w:val="nil"/>
                  </w:tcBorders>
                  <w:vAlign w:val="center"/>
                </w:tcPr>
                <w:p w14:paraId="7B078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1BE46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54582D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64A23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tcBorders>
                    <w:tl2br w:val="nil"/>
                    <w:tr2bl w:val="nil"/>
                  </w:tcBorders>
                  <w:vAlign w:val="center"/>
                </w:tcPr>
                <w:p w14:paraId="5D0C8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568" w:type="pct"/>
                  <w:vMerge w:val="continue"/>
                  <w:tcBorders>
                    <w:tl2br w:val="nil"/>
                    <w:tr2bl w:val="nil"/>
                  </w:tcBorders>
                  <w:vAlign w:val="center"/>
                </w:tcPr>
                <w:p w14:paraId="1BC63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493524D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动物专用数字化x射线摄影系统</w:t>
                  </w:r>
                </w:p>
              </w:tc>
              <w:tc>
                <w:tcPr>
                  <w:tcW w:w="1226" w:type="pct"/>
                  <w:tcBorders>
                    <w:tl2br w:val="nil"/>
                    <w:tr2bl w:val="nil"/>
                  </w:tcBorders>
                  <w:vAlign w:val="center"/>
                </w:tcPr>
                <w:p w14:paraId="63843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威图-Vetoo DX-V1</w:t>
                  </w:r>
                </w:p>
              </w:tc>
              <w:tc>
                <w:tcPr>
                  <w:tcW w:w="499" w:type="pct"/>
                  <w:tcBorders>
                    <w:tl2br w:val="nil"/>
                    <w:tr2bl w:val="nil"/>
                  </w:tcBorders>
                  <w:vAlign w:val="center"/>
                </w:tcPr>
                <w:p w14:paraId="586E6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30954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ED8EC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6AEF4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pct"/>
                  <w:tcBorders>
                    <w:tl2br w:val="nil"/>
                    <w:tr2bl w:val="nil"/>
                  </w:tcBorders>
                  <w:vAlign w:val="center"/>
                </w:tcPr>
                <w:p w14:paraId="2076F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568" w:type="pct"/>
                  <w:vMerge w:val="restart"/>
                  <w:tcBorders>
                    <w:tl2br w:val="nil"/>
                    <w:tr2bl w:val="nil"/>
                  </w:tcBorders>
                  <w:vAlign w:val="center"/>
                </w:tcPr>
                <w:p w14:paraId="28434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化验室</w:t>
                  </w:r>
                </w:p>
              </w:tc>
              <w:tc>
                <w:tcPr>
                  <w:tcW w:w="1295" w:type="pct"/>
                  <w:tcBorders>
                    <w:tl2br w:val="nil"/>
                    <w:tr2bl w:val="nil"/>
                  </w:tcBorders>
                  <w:vAlign w:val="center"/>
                </w:tcPr>
                <w:p w14:paraId="3CFA170E">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eastAsia="宋体"/>
                      <w:color w:val="auto"/>
                      <w:kern w:val="0"/>
                      <w:sz w:val="21"/>
                      <w:szCs w:val="21"/>
                    </w:rPr>
                    <w:t>显微镜</w:t>
                  </w:r>
                </w:p>
              </w:tc>
              <w:tc>
                <w:tcPr>
                  <w:tcW w:w="1226" w:type="pct"/>
                  <w:tcBorders>
                    <w:tl2br w:val="nil"/>
                    <w:tr2bl w:val="nil"/>
                  </w:tcBorders>
                  <w:vAlign w:val="center"/>
                </w:tcPr>
                <w:p w14:paraId="6D221D4F">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kern w:val="0"/>
                      <w:sz w:val="21"/>
                      <w:szCs w:val="21"/>
                      <w:lang w:val="en-US" w:eastAsia="zh-CN"/>
                    </w:rPr>
                    <w:t>奥林巴斯</w:t>
                  </w:r>
                </w:p>
              </w:tc>
              <w:tc>
                <w:tcPr>
                  <w:tcW w:w="499" w:type="pct"/>
                  <w:tcBorders>
                    <w:tl2br w:val="nil"/>
                    <w:tr2bl w:val="nil"/>
                  </w:tcBorders>
                  <w:vAlign w:val="center"/>
                </w:tcPr>
                <w:p w14:paraId="03B77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627AA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387D7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5DAE8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3B4B1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568" w:type="pct"/>
                  <w:vMerge w:val="continue"/>
                  <w:tcBorders>
                    <w:tl2br w:val="nil"/>
                    <w:tr2bl w:val="nil"/>
                  </w:tcBorders>
                  <w:vAlign w:val="center"/>
                </w:tcPr>
                <w:p w14:paraId="04950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0FA1971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荧光免疫分析</w:t>
                  </w:r>
                </w:p>
              </w:tc>
              <w:tc>
                <w:tcPr>
                  <w:tcW w:w="1226" w:type="pct"/>
                  <w:tcBorders>
                    <w:tl2br w:val="nil"/>
                    <w:tr2bl w:val="nil"/>
                  </w:tcBorders>
                  <w:vAlign w:val="center"/>
                </w:tcPr>
                <w:p w14:paraId="254FB75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w:t>
                  </w:r>
                </w:p>
              </w:tc>
              <w:tc>
                <w:tcPr>
                  <w:tcW w:w="499" w:type="pct"/>
                  <w:tcBorders>
                    <w:tl2br w:val="nil"/>
                    <w:tr2bl w:val="nil"/>
                  </w:tcBorders>
                  <w:vAlign w:val="center"/>
                </w:tcPr>
                <w:p w14:paraId="6B71C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81C1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7470C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74DB3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0BE0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7</w:t>
                  </w:r>
                </w:p>
              </w:tc>
              <w:tc>
                <w:tcPr>
                  <w:tcW w:w="568" w:type="pct"/>
                  <w:vMerge w:val="continue"/>
                  <w:tcBorders>
                    <w:tl2br w:val="nil"/>
                    <w:tr2bl w:val="nil"/>
                  </w:tcBorders>
                  <w:vAlign w:val="center"/>
                </w:tcPr>
                <w:p w14:paraId="0C5A7A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27A436FA">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olor w:val="auto"/>
                      <w:kern w:val="0"/>
                      <w:sz w:val="21"/>
                      <w:szCs w:val="21"/>
                      <w:lang w:val="en-US" w:eastAsia="zh-CN"/>
                    </w:rPr>
                    <w:t>核</w:t>
                  </w:r>
                  <w:r>
                    <w:rPr>
                      <w:rFonts w:hint="eastAsia" w:ascii="Times New Roman" w:hAnsi="Times New Roman" w:eastAsia="宋体"/>
                      <w:color w:val="auto"/>
                      <w:kern w:val="0"/>
                      <w:sz w:val="21"/>
                      <w:szCs w:val="21"/>
                      <w:lang w:val="en-US" w:eastAsia="zh-CN"/>
                    </w:rPr>
                    <w:t>酸</w:t>
                  </w:r>
                  <w:r>
                    <w:rPr>
                      <w:rFonts w:hint="default" w:ascii="Times New Roman" w:hAnsi="Times New Roman" w:eastAsia="宋体"/>
                      <w:color w:val="auto"/>
                      <w:kern w:val="0"/>
                      <w:sz w:val="21"/>
                      <w:szCs w:val="21"/>
                      <w:lang w:val="en-US" w:eastAsia="zh-CN"/>
                    </w:rPr>
                    <w:t>提取仪</w:t>
                  </w:r>
                </w:p>
              </w:tc>
              <w:tc>
                <w:tcPr>
                  <w:tcW w:w="1226" w:type="pct"/>
                  <w:tcBorders>
                    <w:tl2br w:val="nil"/>
                    <w:tr2bl w:val="nil"/>
                  </w:tcBorders>
                  <w:vAlign w:val="center"/>
                </w:tcPr>
                <w:p w14:paraId="750BE3D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w:t>
                  </w:r>
                </w:p>
              </w:tc>
              <w:tc>
                <w:tcPr>
                  <w:tcW w:w="499" w:type="pct"/>
                  <w:tcBorders>
                    <w:tl2br w:val="nil"/>
                    <w:tr2bl w:val="nil"/>
                  </w:tcBorders>
                  <w:vAlign w:val="center"/>
                </w:tcPr>
                <w:p w14:paraId="0BD34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298E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ADF5E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0E2F2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47E98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c>
                <w:tcPr>
                  <w:tcW w:w="568" w:type="pct"/>
                  <w:vMerge w:val="continue"/>
                  <w:tcBorders>
                    <w:tl2br w:val="nil"/>
                    <w:tr2bl w:val="nil"/>
                  </w:tcBorders>
                  <w:vAlign w:val="center"/>
                </w:tcPr>
                <w:p w14:paraId="4DE6A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5A112E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离心机</w:t>
                  </w:r>
                </w:p>
              </w:tc>
              <w:tc>
                <w:tcPr>
                  <w:tcW w:w="1226" w:type="pct"/>
                  <w:tcBorders>
                    <w:tl2br w:val="nil"/>
                    <w:tr2bl w:val="nil"/>
                  </w:tcBorders>
                  <w:vAlign w:val="center"/>
                </w:tcPr>
                <w:p w14:paraId="59C1C964">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JC-7KA</w:t>
                  </w:r>
                </w:p>
              </w:tc>
              <w:tc>
                <w:tcPr>
                  <w:tcW w:w="499" w:type="pct"/>
                  <w:tcBorders>
                    <w:tl2br w:val="nil"/>
                    <w:tr2bl w:val="nil"/>
                  </w:tcBorders>
                  <w:vAlign w:val="center"/>
                </w:tcPr>
                <w:p w14:paraId="179F35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FA0B1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68EB06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现有</w:t>
                  </w:r>
                </w:p>
              </w:tc>
            </w:tr>
            <w:tr w14:paraId="4ECE3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0F754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w:t>
                  </w:r>
                </w:p>
              </w:tc>
              <w:tc>
                <w:tcPr>
                  <w:tcW w:w="568" w:type="pct"/>
                  <w:vMerge w:val="continue"/>
                  <w:tcBorders>
                    <w:tl2br w:val="nil"/>
                    <w:tr2bl w:val="nil"/>
                  </w:tcBorders>
                  <w:vAlign w:val="center"/>
                </w:tcPr>
                <w:p w14:paraId="26A9B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431F774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val="en-US" w:eastAsia="zh-CN"/>
                    </w:rPr>
                    <w:t>全自动生化分析仪</w:t>
                  </w:r>
                </w:p>
              </w:tc>
              <w:tc>
                <w:tcPr>
                  <w:tcW w:w="1226" w:type="pct"/>
                  <w:tcBorders>
                    <w:tl2br w:val="nil"/>
                    <w:tr2bl w:val="nil"/>
                  </w:tcBorders>
                  <w:vAlign w:val="center"/>
                </w:tcPr>
                <w:p w14:paraId="692C1E48">
                  <w:pPr>
                    <w:spacing w:line="360" w:lineRule="exact"/>
                    <w:jc w:val="center"/>
                    <w:rPr>
                      <w:rFonts w:hint="eastAsia"/>
                      <w:color w:val="auto"/>
                      <w:szCs w:val="21"/>
                      <w:lang w:val="en-US" w:eastAsia="zh-CN"/>
                    </w:rPr>
                  </w:pPr>
                  <w:r>
                    <w:rPr>
                      <w:rFonts w:hint="eastAsia" w:ascii="Times New Roman" w:hAnsi="Times New Roman" w:cs="Times New Roman"/>
                      <w:color w:val="auto"/>
                      <w:kern w:val="0"/>
                      <w:sz w:val="21"/>
                      <w:szCs w:val="21"/>
                      <w:lang w:val="en-US" w:eastAsia="zh-CN" w:bidi="ar-SA"/>
                    </w:rPr>
                    <w:t>Vetxpertc5</w:t>
                  </w:r>
                </w:p>
              </w:tc>
              <w:tc>
                <w:tcPr>
                  <w:tcW w:w="499" w:type="pct"/>
                  <w:tcBorders>
                    <w:tl2br w:val="nil"/>
                    <w:tr2bl w:val="nil"/>
                  </w:tcBorders>
                  <w:vAlign w:val="center"/>
                </w:tcPr>
                <w:p w14:paraId="5BB4EF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2BE87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6BE7E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170E9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0163A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lang w:val="en-US" w:eastAsia="zh-CN"/>
                    </w:rPr>
                  </w:pPr>
                  <w:r>
                    <w:rPr>
                      <w:rFonts w:hint="eastAsia" w:cs="Times New Roman"/>
                      <w:b w:val="0"/>
                      <w:bCs/>
                      <w:color w:val="auto"/>
                      <w:sz w:val="21"/>
                      <w:szCs w:val="21"/>
                      <w:highlight w:val="none"/>
                      <w:vertAlign w:val="baseline"/>
                      <w:lang w:val="en-US" w:eastAsia="zh-CN"/>
                    </w:rPr>
                    <w:t>10</w:t>
                  </w:r>
                </w:p>
              </w:tc>
              <w:tc>
                <w:tcPr>
                  <w:tcW w:w="568" w:type="pct"/>
                  <w:vMerge w:val="continue"/>
                  <w:tcBorders>
                    <w:tl2br w:val="nil"/>
                    <w:tr2bl w:val="nil"/>
                  </w:tcBorders>
                  <w:vAlign w:val="center"/>
                </w:tcPr>
                <w:p w14:paraId="470D3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097FC78E">
                  <w:pPr>
                    <w:keepNext w:val="0"/>
                    <w:keepLines w:val="0"/>
                    <w:pageBreakBefore w:val="0"/>
                    <w:widowControl/>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全自动血细胞分析仪</w:t>
                  </w:r>
                </w:p>
              </w:tc>
              <w:tc>
                <w:tcPr>
                  <w:tcW w:w="1226" w:type="pct"/>
                  <w:tcBorders>
                    <w:tl2br w:val="nil"/>
                    <w:tr2bl w:val="nil"/>
                  </w:tcBorders>
                  <w:vAlign w:val="center"/>
                </w:tcPr>
                <w:p w14:paraId="59C75183">
                  <w:pPr>
                    <w:spacing w:line="360" w:lineRule="exac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迈瑞-BC-2600vET</w:t>
                  </w:r>
                </w:p>
              </w:tc>
              <w:tc>
                <w:tcPr>
                  <w:tcW w:w="499" w:type="pct"/>
                  <w:tcBorders>
                    <w:tl2br w:val="nil"/>
                    <w:tr2bl w:val="nil"/>
                  </w:tcBorders>
                  <w:vAlign w:val="center"/>
                </w:tcPr>
                <w:p w14:paraId="0963B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2BC0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1CDB9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03A33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33" w:type="pct"/>
                  <w:tcBorders>
                    <w:tl2br w:val="nil"/>
                    <w:tr2bl w:val="nil"/>
                  </w:tcBorders>
                  <w:vAlign w:val="center"/>
                </w:tcPr>
                <w:p w14:paraId="5188D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568" w:type="pct"/>
                  <w:vMerge w:val="continue"/>
                  <w:tcBorders>
                    <w:tl2br w:val="nil"/>
                    <w:tr2bl w:val="nil"/>
                  </w:tcBorders>
                  <w:vAlign w:val="center"/>
                </w:tcPr>
                <w:p w14:paraId="7BA2A8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79A80F74">
                  <w:pPr>
                    <w:keepNext w:val="0"/>
                    <w:keepLines w:val="0"/>
                    <w:pageBreakBefore w:val="0"/>
                    <w:widowControl/>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eastAsia="宋体"/>
                      <w:color w:val="auto"/>
                      <w:kern w:val="0"/>
                      <w:sz w:val="21"/>
                      <w:szCs w:val="21"/>
                      <w:lang w:eastAsia="zh-CN"/>
                    </w:rPr>
                    <w:t>荧光免疫分析仪</w:t>
                  </w:r>
                </w:p>
              </w:tc>
              <w:tc>
                <w:tcPr>
                  <w:tcW w:w="1226" w:type="pct"/>
                  <w:tcBorders>
                    <w:tl2br w:val="nil"/>
                    <w:tr2bl w:val="nil"/>
                  </w:tcBorders>
                  <w:vAlign w:val="center"/>
                </w:tcPr>
                <w:p w14:paraId="34ED25EF">
                  <w:pPr>
                    <w:spacing w:line="360" w:lineRule="exact"/>
                    <w:jc w:val="center"/>
                    <w:rPr>
                      <w:rFonts w:hint="default"/>
                      <w:color w:val="auto"/>
                      <w:szCs w:val="21"/>
                      <w:lang w:val="en-US" w:eastAsia="zh-CN"/>
                    </w:rPr>
                  </w:pPr>
                  <w:r>
                    <w:rPr>
                      <w:rFonts w:hint="eastAsia"/>
                      <w:color w:val="auto"/>
                      <w:szCs w:val="21"/>
                      <w:lang w:val="en-US" w:eastAsia="zh-CN"/>
                    </w:rPr>
                    <w:t>/</w:t>
                  </w:r>
                </w:p>
              </w:tc>
              <w:tc>
                <w:tcPr>
                  <w:tcW w:w="499" w:type="pct"/>
                  <w:tcBorders>
                    <w:tl2br w:val="nil"/>
                    <w:tr2bl w:val="nil"/>
                  </w:tcBorders>
                  <w:vAlign w:val="center"/>
                </w:tcPr>
                <w:p w14:paraId="1DDB7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01FF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0DADA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2835A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228405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w:t>
                  </w:r>
                </w:p>
              </w:tc>
              <w:tc>
                <w:tcPr>
                  <w:tcW w:w="568" w:type="pct"/>
                  <w:vMerge w:val="restart"/>
                  <w:tcBorders>
                    <w:tl2br w:val="nil"/>
                    <w:tr2bl w:val="nil"/>
                  </w:tcBorders>
                  <w:vAlign w:val="center"/>
                </w:tcPr>
                <w:p w14:paraId="7A447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手术室</w:t>
                  </w:r>
                </w:p>
              </w:tc>
              <w:tc>
                <w:tcPr>
                  <w:tcW w:w="1295" w:type="pct"/>
                  <w:tcBorders>
                    <w:tl2br w:val="nil"/>
                    <w:tr2bl w:val="nil"/>
                  </w:tcBorders>
                  <w:vAlign w:val="center"/>
                </w:tcPr>
                <w:p w14:paraId="08491EC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多参数监护仪</w:t>
                  </w:r>
                </w:p>
              </w:tc>
              <w:tc>
                <w:tcPr>
                  <w:tcW w:w="1226" w:type="pct"/>
                  <w:tcBorders>
                    <w:tl2br w:val="nil"/>
                    <w:tr2bl w:val="nil"/>
                  </w:tcBorders>
                  <w:vAlign w:val="center"/>
                </w:tcPr>
                <w:p w14:paraId="48E21833">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24598F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A5AF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7EC79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新增</w:t>
                  </w:r>
                </w:p>
              </w:tc>
            </w:tr>
            <w:tr w14:paraId="52656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42F57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13</w:t>
                  </w:r>
                </w:p>
              </w:tc>
              <w:tc>
                <w:tcPr>
                  <w:tcW w:w="568" w:type="pct"/>
                  <w:vMerge w:val="continue"/>
                  <w:tcBorders>
                    <w:tl2br w:val="nil"/>
                    <w:tr2bl w:val="nil"/>
                  </w:tcBorders>
                  <w:vAlign w:val="center"/>
                </w:tcPr>
                <w:p w14:paraId="6B880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2657F36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kern w:val="0"/>
                      <w:sz w:val="21"/>
                      <w:szCs w:val="21"/>
                      <w:lang w:val="en-US" w:eastAsia="zh-CN"/>
                    </w:rPr>
                    <w:t>兽用</w:t>
                  </w:r>
                  <w:r>
                    <w:rPr>
                      <w:rFonts w:hint="eastAsia" w:ascii="Times New Roman" w:hAnsi="Times New Roman" w:eastAsia="宋体"/>
                      <w:color w:val="auto"/>
                      <w:kern w:val="0"/>
                      <w:sz w:val="21"/>
                      <w:szCs w:val="21"/>
                      <w:lang w:eastAsia="zh-CN"/>
                    </w:rPr>
                    <w:t>麻醉机</w:t>
                  </w:r>
                </w:p>
              </w:tc>
              <w:tc>
                <w:tcPr>
                  <w:tcW w:w="1226" w:type="pct"/>
                  <w:tcBorders>
                    <w:tl2br w:val="nil"/>
                    <w:tr2bl w:val="nil"/>
                  </w:tcBorders>
                  <w:vAlign w:val="center"/>
                </w:tcPr>
                <w:p w14:paraId="278D8E8F">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迈瑞-Veta 5</w:t>
                  </w:r>
                </w:p>
              </w:tc>
              <w:tc>
                <w:tcPr>
                  <w:tcW w:w="499" w:type="pct"/>
                  <w:tcBorders>
                    <w:tl2br w:val="nil"/>
                    <w:tr2bl w:val="nil"/>
                  </w:tcBorders>
                  <w:vAlign w:val="center"/>
                </w:tcPr>
                <w:p w14:paraId="29D85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7F91D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F726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新增</w:t>
                  </w:r>
                </w:p>
              </w:tc>
            </w:tr>
            <w:tr w14:paraId="3B490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33" w:type="pct"/>
                  <w:tcBorders>
                    <w:tl2br w:val="nil"/>
                    <w:tr2bl w:val="nil"/>
                  </w:tcBorders>
                  <w:vAlign w:val="center"/>
                </w:tcPr>
                <w:p w14:paraId="17FB7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14</w:t>
                  </w:r>
                </w:p>
              </w:tc>
              <w:tc>
                <w:tcPr>
                  <w:tcW w:w="568" w:type="pct"/>
                  <w:vMerge w:val="continue"/>
                  <w:tcBorders>
                    <w:tl2br w:val="nil"/>
                    <w:tr2bl w:val="nil"/>
                  </w:tcBorders>
                  <w:vAlign w:val="center"/>
                </w:tcPr>
                <w:p w14:paraId="579F0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483EFA9">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无影灯</w:t>
                  </w:r>
                </w:p>
              </w:tc>
              <w:tc>
                <w:tcPr>
                  <w:tcW w:w="1226" w:type="pct"/>
                  <w:tcBorders>
                    <w:tl2br w:val="nil"/>
                    <w:tr2bl w:val="nil"/>
                  </w:tcBorders>
                  <w:vAlign w:val="center"/>
                </w:tcPr>
                <w:p w14:paraId="693B1CA4">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23BC1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CA9D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525B67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1A124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0916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w:t>
                  </w:r>
                </w:p>
              </w:tc>
              <w:tc>
                <w:tcPr>
                  <w:tcW w:w="568" w:type="pct"/>
                  <w:vMerge w:val="continue"/>
                  <w:tcBorders>
                    <w:tl2br w:val="nil"/>
                    <w:tr2bl w:val="nil"/>
                  </w:tcBorders>
                  <w:vAlign w:val="center"/>
                </w:tcPr>
                <w:p w14:paraId="5DC2A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1AF68E9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 w:val="21"/>
                      <w:szCs w:val="21"/>
                      <w:lang w:eastAsia="zh-CN"/>
                    </w:rPr>
                    <w:t>手提式压力蒸汽灭菌器</w:t>
                  </w:r>
                </w:p>
              </w:tc>
              <w:tc>
                <w:tcPr>
                  <w:tcW w:w="1226" w:type="pct"/>
                  <w:tcBorders>
                    <w:tl2br w:val="nil"/>
                    <w:tr2bl w:val="nil"/>
                  </w:tcBorders>
                  <w:vAlign w:val="center"/>
                </w:tcPr>
                <w:p w14:paraId="37899216">
                  <w:pPr>
                    <w:spacing w:line="360" w:lineRule="exac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olor w:val="auto"/>
                      <w:szCs w:val="21"/>
                      <w:lang w:val="en-US" w:eastAsia="zh-CN"/>
                    </w:rPr>
                    <w:t>24L双阀</w:t>
                  </w:r>
                </w:p>
              </w:tc>
              <w:tc>
                <w:tcPr>
                  <w:tcW w:w="499" w:type="pct"/>
                  <w:tcBorders>
                    <w:tl2br w:val="nil"/>
                    <w:tr2bl w:val="nil"/>
                  </w:tcBorders>
                  <w:vAlign w:val="center"/>
                </w:tcPr>
                <w:p w14:paraId="0377D1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4264EA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AEC2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33CD0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33" w:type="pct"/>
                  <w:tcBorders>
                    <w:tl2br w:val="nil"/>
                    <w:tr2bl w:val="nil"/>
                  </w:tcBorders>
                  <w:vAlign w:val="center"/>
                </w:tcPr>
                <w:p w14:paraId="1DB20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w:t>
                  </w:r>
                </w:p>
              </w:tc>
              <w:tc>
                <w:tcPr>
                  <w:tcW w:w="568" w:type="pct"/>
                  <w:vMerge w:val="continue"/>
                  <w:tcBorders>
                    <w:tl2br w:val="nil"/>
                    <w:tr2bl w:val="nil"/>
                  </w:tcBorders>
                  <w:vAlign w:val="center"/>
                </w:tcPr>
                <w:p w14:paraId="645DCF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55E59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超声刀</w:t>
                  </w:r>
                </w:p>
              </w:tc>
              <w:tc>
                <w:tcPr>
                  <w:tcW w:w="1226" w:type="pct"/>
                  <w:tcBorders>
                    <w:tl2br w:val="nil"/>
                    <w:tr2bl w:val="nil"/>
                  </w:tcBorders>
                  <w:vAlign w:val="center"/>
                </w:tcPr>
                <w:p w14:paraId="697F2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6D21D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1AEC8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4A25A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5E08D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33" w:type="pct"/>
                  <w:tcBorders>
                    <w:tl2br w:val="nil"/>
                    <w:tr2bl w:val="nil"/>
                  </w:tcBorders>
                  <w:vAlign w:val="center"/>
                </w:tcPr>
                <w:p w14:paraId="5CBC4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lang w:val="en-US" w:eastAsia="zh-CN"/>
                    </w:rPr>
                  </w:pPr>
                  <w:r>
                    <w:rPr>
                      <w:rFonts w:hint="eastAsia"/>
                      <w:color w:val="auto"/>
                      <w:lang w:val="en-US" w:eastAsia="zh-CN"/>
                    </w:rPr>
                    <w:t>17</w:t>
                  </w:r>
                </w:p>
              </w:tc>
              <w:tc>
                <w:tcPr>
                  <w:tcW w:w="568" w:type="pct"/>
                  <w:vMerge w:val="continue"/>
                  <w:tcBorders>
                    <w:tl2br w:val="nil"/>
                    <w:tr2bl w:val="nil"/>
                  </w:tcBorders>
                  <w:vAlign w:val="center"/>
                </w:tcPr>
                <w:p w14:paraId="3E784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95" w:type="pct"/>
                  <w:tcBorders>
                    <w:tl2br w:val="nil"/>
                    <w:tr2bl w:val="nil"/>
                  </w:tcBorders>
                  <w:vAlign w:val="center"/>
                </w:tcPr>
                <w:p w14:paraId="6D375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手术台</w:t>
                  </w:r>
                </w:p>
              </w:tc>
              <w:tc>
                <w:tcPr>
                  <w:tcW w:w="1226" w:type="pct"/>
                  <w:tcBorders>
                    <w:tl2br w:val="nil"/>
                    <w:tr2bl w:val="nil"/>
                  </w:tcBorders>
                  <w:vAlign w:val="center"/>
                </w:tcPr>
                <w:p w14:paraId="359EC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7832F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9D59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69C6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现有</w:t>
                  </w:r>
                </w:p>
              </w:tc>
            </w:tr>
            <w:tr w14:paraId="6B7DB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3D27D8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w:t>
                  </w:r>
                </w:p>
              </w:tc>
              <w:tc>
                <w:tcPr>
                  <w:tcW w:w="568" w:type="pct"/>
                  <w:vMerge w:val="restart"/>
                  <w:tcBorders>
                    <w:tl2br w:val="nil"/>
                    <w:tr2bl w:val="nil"/>
                  </w:tcBorders>
                  <w:vAlign w:val="center"/>
                </w:tcPr>
                <w:p w14:paraId="087F34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美容室</w:t>
                  </w:r>
                </w:p>
              </w:tc>
              <w:tc>
                <w:tcPr>
                  <w:tcW w:w="1295" w:type="pct"/>
                  <w:tcBorders>
                    <w:tl2br w:val="nil"/>
                    <w:tr2bl w:val="nil"/>
                  </w:tcBorders>
                  <w:vAlign w:val="center"/>
                </w:tcPr>
                <w:p w14:paraId="72B07619">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洗浴池</w:t>
                  </w:r>
                </w:p>
              </w:tc>
              <w:tc>
                <w:tcPr>
                  <w:tcW w:w="1226" w:type="pct"/>
                  <w:tcBorders>
                    <w:tl2br w:val="nil"/>
                    <w:tr2bl w:val="nil"/>
                  </w:tcBorders>
                  <w:vAlign w:val="center"/>
                </w:tcPr>
                <w:p w14:paraId="5A28AF02">
                  <w:pPr>
                    <w:spacing w:line="360" w:lineRule="exac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0FC3B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7578C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7476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6C8A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49680F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19</w:t>
                  </w:r>
                </w:p>
              </w:tc>
              <w:tc>
                <w:tcPr>
                  <w:tcW w:w="568" w:type="pct"/>
                  <w:vMerge w:val="continue"/>
                  <w:tcBorders>
                    <w:tl2br w:val="nil"/>
                    <w:tr2bl w:val="nil"/>
                  </w:tcBorders>
                  <w:vAlign w:val="center"/>
                </w:tcPr>
                <w:p w14:paraId="1C3D01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9DC0842">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宠物烘干机</w:t>
                  </w:r>
                </w:p>
              </w:tc>
              <w:tc>
                <w:tcPr>
                  <w:tcW w:w="1226" w:type="pct"/>
                  <w:tcBorders>
                    <w:tl2br w:val="nil"/>
                    <w:tr2bl w:val="nil"/>
                  </w:tcBorders>
                  <w:vAlign w:val="center"/>
                </w:tcPr>
                <w:p w14:paraId="209F733D">
                  <w:pPr>
                    <w:spacing w:line="360" w:lineRule="exact"/>
                    <w:jc w:val="center"/>
                    <w:rPr>
                      <w:rFonts w:hint="eastAsia"/>
                      <w:color w:val="auto"/>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0811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31E369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2B7FF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472B4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33" w:type="pct"/>
                  <w:tcBorders>
                    <w:tl2br w:val="nil"/>
                    <w:tr2bl w:val="nil"/>
                  </w:tcBorders>
                  <w:vAlign w:val="center"/>
                </w:tcPr>
                <w:p w14:paraId="503BE7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w:t>
                  </w:r>
                </w:p>
              </w:tc>
              <w:tc>
                <w:tcPr>
                  <w:tcW w:w="568" w:type="pct"/>
                  <w:vMerge w:val="continue"/>
                  <w:tcBorders>
                    <w:tl2br w:val="nil"/>
                    <w:tr2bl w:val="nil"/>
                  </w:tcBorders>
                  <w:vAlign w:val="center"/>
                </w:tcPr>
                <w:p w14:paraId="39892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63AA41B1">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热水器</w:t>
                  </w:r>
                </w:p>
              </w:tc>
              <w:tc>
                <w:tcPr>
                  <w:tcW w:w="1226" w:type="pct"/>
                  <w:tcBorders>
                    <w:tl2br w:val="nil"/>
                    <w:tr2bl w:val="nil"/>
                  </w:tcBorders>
                  <w:vAlign w:val="center"/>
                </w:tcPr>
                <w:p w14:paraId="029B6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9CF62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5589A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164DE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0B28C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174D85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21</w:t>
                  </w:r>
                </w:p>
              </w:tc>
              <w:tc>
                <w:tcPr>
                  <w:tcW w:w="568" w:type="pct"/>
                  <w:tcBorders>
                    <w:tl2br w:val="nil"/>
                    <w:tr2bl w:val="nil"/>
                  </w:tcBorders>
                  <w:vAlign w:val="center"/>
                </w:tcPr>
                <w:p w14:paraId="07F87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废水处理设施</w:t>
                  </w:r>
                </w:p>
              </w:tc>
              <w:tc>
                <w:tcPr>
                  <w:tcW w:w="1295" w:type="pct"/>
                  <w:tcBorders>
                    <w:tl2br w:val="nil"/>
                    <w:tr2bl w:val="nil"/>
                  </w:tcBorders>
                  <w:vAlign w:val="center"/>
                </w:tcPr>
                <w:p w14:paraId="395E1D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消毒箱</w:t>
                  </w:r>
                </w:p>
              </w:tc>
              <w:tc>
                <w:tcPr>
                  <w:tcW w:w="1226" w:type="pct"/>
                  <w:tcBorders>
                    <w:tl2br w:val="nil"/>
                    <w:tr2bl w:val="nil"/>
                  </w:tcBorders>
                  <w:vAlign w:val="center"/>
                </w:tcPr>
                <w:p w14:paraId="58D060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w:t>
                  </w:r>
                  <w:r>
                    <w:rPr>
                      <w:rFonts w:hint="eastAsia" w:ascii="Times New Roman" w:hAnsi="Times New Roman" w:eastAsia="宋体" w:cs="Times New Roman"/>
                      <w:b w:val="0"/>
                      <w:bCs/>
                      <w:color w:val="auto"/>
                      <w:sz w:val="21"/>
                      <w:szCs w:val="21"/>
                      <w:highlight w:val="none"/>
                      <w:vertAlign w:val="baseline"/>
                      <w:lang w:val="en-US" w:eastAsia="zh-CN"/>
                    </w:rPr>
                    <w:t>L、20L</w:t>
                  </w:r>
                </w:p>
              </w:tc>
              <w:tc>
                <w:tcPr>
                  <w:tcW w:w="499" w:type="pct"/>
                  <w:tcBorders>
                    <w:tl2br w:val="nil"/>
                    <w:tr2bl w:val="nil"/>
                  </w:tcBorders>
                  <w:vAlign w:val="center"/>
                </w:tcPr>
                <w:p w14:paraId="23339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482" w:type="pct"/>
                  <w:tcBorders>
                    <w:tl2br w:val="nil"/>
                    <w:tr2bl w:val="nil"/>
                  </w:tcBorders>
                  <w:vAlign w:val="center"/>
                </w:tcPr>
                <w:p w14:paraId="00CFA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494" w:type="pct"/>
                  <w:tcBorders>
                    <w:tl2br w:val="nil"/>
                    <w:tr2bl w:val="nil"/>
                  </w:tcBorders>
                  <w:vAlign w:val="center"/>
                </w:tcPr>
                <w:p w14:paraId="42325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现有</w:t>
                  </w:r>
                </w:p>
              </w:tc>
            </w:tr>
            <w:tr w14:paraId="58C46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6E150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22</w:t>
                  </w:r>
                </w:p>
              </w:tc>
              <w:tc>
                <w:tcPr>
                  <w:tcW w:w="568" w:type="pct"/>
                  <w:vMerge w:val="restart"/>
                  <w:tcBorders>
                    <w:tl2br w:val="nil"/>
                    <w:tr2bl w:val="nil"/>
                  </w:tcBorders>
                  <w:vAlign w:val="center"/>
                </w:tcPr>
                <w:p w14:paraId="73202C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住院室</w:t>
                  </w:r>
                </w:p>
              </w:tc>
              <w:tc>
                <w:tcPr>
                  <w:tcW w:w="1295" w:type="pct"/>
                  <w:tcBorders>
                    <w:tl2br w:val="nil"/>
                    <w:tr2bl w:val="nil"/>
                  </w:tcBorders>
                  <w:vAlign w:val="center"/>
                </w:tcPr>
                <w:p w14:paraId="43787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狗笼</w:t>
                  </w:r>
                </w:p>
              </w:tc>
              <w:tc>
                <w:tcPr>
                  <w:tcW w:w="1226" w:type="pct"/>
                  <w:tcBorders>
                    <w:tl2br w:val="nil"/>
                    <w:tr2bl w:val="nil"/>
                  </w:tcBorders>
                  <w:vAlign w:val="center"/>
                </w:tcPr>
                <w:p w14:paraId="2CD43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6D997D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3ECE4A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494" w:type="pct"/>
                  <w:tcBorders>
                    <w:tl2br w:val="nil"/>
                    <w:tr2bl w:val="nil"/>
                  </w:tcBorders>
                  <w:vAlign w:val="center"/>
                </w:tcPr>
                <w:p w14:paraId="06A69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olor w:val="auto"/>
                      <w:kern w:val="0"/>
                      <w:sz w:val="21"/>
                      <w:szCs w:val="21"/>
                      <w:lang w:val="en-US" w:eastAsia="zh-CN"/>
                    </w:rPr>
                    <w:t>现有</w:t>
                  </w:r>
                </w:p>
              </w:tc>
            </w:tr>
            <w:tr w14:paraId="57039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2B212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23</w:t>
                  </w:r>
                </w:p>
              </w:tc>
              <w:tc>
                <w:tcPr>
                  <w:tcW w:w="568" w:type="pct"/>
                  <w:vMerge w:val="continue"/>
                  <w:tcBorders>
                    <w:tl2br w:val="nil"/>
                    <w:tr2bl w:val="nil"/>
                  </w:tcBorders>
                  <w:vAlign w:val="center"/>
                </w:tcPr>
                <w:p w14:paraId="705BA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p>
              </w:tc>
              <w:tc>
                <w:tcPr>
                  <w:tcW w:w="1295" w:type="pct"/>
                  <w:tcBorders>
                    <w:tl2br w:val="nil"/>
                    <w:tr2bl w:val="nil"/>
                  </w:tcBorders>
                  <w:vAlign w:val="center"/>
                </w:tcPr>
                <w:p w14:paraId="56BD3F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猫笼</w:t>
                  </w:r>
                </w:p>
              </w:tc>
              <w:tc>
                <w:tcPr>
                  <w:tcW w:w="1226" w:type="pct"/>
                  <w:tcBorders>
                    <w:tl2br w:val="nil"/>
                    <w:tr2bl w:val="nil"/>
                  </w:tcBorders>
                  <w:vAlign w:val="center"/>
                </w:tcPr>
                <w:p w14:paraId="79D55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19B0E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5CF25F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494" w:type="pct"/>
                  <w:tcBorders>
                    <w:tl2br w:val="nil"/>
                    <w:tr2bl w:val="nil"/>
                  </w:tcBorders>
                  <w:vAlign w:val="center"/>
                </w:tcPr>
                <w:p w14:paraId="65B98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olor w:val="auto"/>
                      <w:kern w:val="0"/>
                      <w:sz w:val="21"/>
                      <w:szCs w:val="21"/>
                      <w:lang w:val="en-US" w:eastAsia="zh-CN"/>
                    </w:rPr>
                    <w:t>现有</w:t>
                  </w:r>
                </w:p>
              </w:tc>
            </w:tr>
            <w:tr w14:paraId="3FC74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433" w:type="pct"/>
                  <w:tcBorders>
                    <w:tl2br w:val="nil"/>
                    <w:tr2bl w:val="nil"/>
                  </w:tcBorders>
                  <w:vAlign w:val="center"/>
                </w:tcPr>
                <w:p w14:paraId="3AD775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24</w:t>
                  </w:r>
                </w:p>
              </w:tc>
              <w:tc>
                <w:tcPr>
                  <w:tcW w:w="568" w:type="pct"/>
                  <w:tcBorders>
                    <w:tl2br w:val="nil"/>
                    <w:tr2bl w:val="nil"/>
                  </w:tcBorders>
                  <w:vAlign w:val="center"/>
                </w:tcPr>
                <w:p w14:paraId="33E5AB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隔离式</w:t>
                  </w:r>
                </w:p>
              </w:tc>
              <w:tc>
                <w:tcPr>
                  <w:tcW w:w="1295" w:type="pct"/>
                  <w:tcBorders>
                    <w:tl2br w:val="nil"/>
                    <w:tr2bl w:val="nil"/>
                  </w:tcBorders>
                  <w:vAlign w:val="center"/>
                </w:tcPr>
                <w:p w14:paraId="54C04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笼子</w:t>
                  </w:r>
                </w:p>
              </w:tc>
              <w:tc>
                <w:tcPr>
                  <w:tcW w:w="1226" w:type="pct"/>
                  <w:tcBorders>
                    <w:tl2br w:val="nil"/>
                    <w:tr2bl w:val="nil"/>
                  </w:tcBorders>
                  <w:vAlign w:val="center"/>
                </w:tcPr>
                <w:p w14:paraId="699B9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99" w:type="pct"/>
                  <w:tcBorders>
                    <w:tl2br w:val="nil"/>
                    <w:tr2bl w:val="nil"/>
                  </w:tcBorders>
                  <w:vAlign w:val="center"/>
                </w:tcPr>
                <w:p w14:paraId="48679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482" w:type="pct"/>
                  <w:tcBorders>
                    <w:tl2br w:val="nil"/>
                    <w:tr2bl w:val="nil"/>
                  </w:tcBorders>
                  <w:vAlign w:val="center"/>
                </w:tcPr>
                <w:p w14:paraId="1259A5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494" w:type="pct"/>
                  <w:tcBorders>
                    <w:tl2br w:val="nil"/>
                    <w:tr2bl w:val="nil"/>
                  </w:tcBorders>
                  <w:vAlign w:val="center"/>
                </w:tcPr>
                <w:p w14:paraId="00DD9F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现有</w:t>
                  </w:r>
                </w:p>
              </w:tc>
            </w:tr>
          </w:tbl>
          <w:p w14:paraId="370FAD3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2.5主要原辅材料</w:t>
            </w:r>
          </w:p>
          <w:p w14:paraId="33B182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项目主要原辅材料详见表 2.5-1。</w:t>
            </w:r>
          </w:p>
          <w:p w14:paraId="27701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表2.5-1项目主要原辅材料一览表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4"/>
              <w:gridCol w:w="848"/>
              <w:gridCol w:w="2199"/>
              <w:gridCol w:w="847"/>
              <w:gridCol w:w="1512"/>
              <w:gridCol w:w="859"/>
              <w:gridCol w:w="682"/>
              <w:gridCol w:w="973"/>
            </w:tblGrid>
            <w:tr w14:paraId="01CE5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tcBorders>
                    <w:tl2br w:val="nil"/>
                    <w:tr2bl w:val="nil"/>
                  </w:tcBorders>
                  <w:vAlign w:val="center"/>
                </w:tcPr>
                <w:p w14:paraId="5E99F69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类别</w:t>
                  </w:r>
                </w:p>
              </w:tc>
              <w:tc>
                <w:tcPr>
                  <w:tcW w:w="1334" w:type="pct"/>
                  <w:tcBorders>
                    <w:tl2br w:val="nil"/>
                    <w:tr2bl w:val="nil"/>
                  </w:tcBorders>
                  <w:vAlign w:val="center"/>
                </w:tcPr>
                <w:p w14:paraId="198E675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名称</w:t>
                  </w:r>
                </w:p>
              </w:tc>
              <w:tc>
                <w:tcPr>
                  <w:tcW w:w="513" w:type="pct"/>
                  <w:tcBorders>
                    <w:tl2br w:val="nil"/>
                    <w:tr2bl w:val="nil"/>
                  </w:tcBorders>
                  <w:vAlign w:val="center"/>
                </w:tcPr>
                <w:p w14:paraId="1179C36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年用量</w:t>
                  </w:r>
                </w:p>
              </w:tc>
              <w:tc>
                <w:tcPr>
                  <w:tcW w:w="916" w:type="pct"/>
                  <w:tcBorders>
                    <w:tl2br w:val="nil"/>
                    <w:tr2bl w:val="nil"/>
                  </w:tcBorders>
                  <w:vAlign w:val="center"/>
                </w:tcPr>
                <w:p w14:paraId="003E2D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规格/型号</w:t>
                  </w:r>
                </w:p>
              </w:tc>
              <w:tc>
                <w:tcPr>
                  <w:tcW w:w="520" w:type="pct"/>
                  <w:tcBorders>
                    <w:tl2br w:val="nil"/>
                    <w:tr2bl w:val="nil"/>
                  </w:tcBorders>
                  <w:vAlign w:val="center"/>
                </w:tcPr>
                <w:p w14:paraId="7BE1946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暂存量</w:t>
                  </w:r>
                </w:p>
              </w:tc>
              <w:tc>
                <w:tcPr>
                  <w:tcW w:w="413" w:type="pct"/>
                  <w:tcBorders>
                    <w:tl2br w:val="nil"/>
                    <w:tr2bl w:val="nil"/>
                  </w:tcBorders>
                  <w:vAlign w:val="center"/>
                </w:tcPr>
                <w:p w14:paraId="75408E9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位置</w:t>
                  </w:r>
                </w:p>
              </w:tc>
              <w:tc>
                <w:tcPr>
                  <w:tcW w:w="590" w:type="pct"/>
                  <w:tcBorders>
                    <w:tl2br w:val="nil"/>
                    <w:tr2bl w:val="nil"/>
                  </w:tcBorders>
                  <w:vAlign w:val="center"/>
                </w:tcPr>
                <w:p w14:paraId="13BF087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备注</w:t>
                  </w:r>
                </w:p>
              </w:tc>
            </w:tr>
            <w:tr w14:paraId="36156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0" w:type="pct"/>
                  <w:gridSpan w:val="2"/>
                  <w:vMerge w:val="restart"/>
                  <w:tcBorders>
                    <w:tl2br w:val="nil"/>
                    <w:tr2bl w:val="nil"/>
                  </w:tcBorders>
                  <w:vAlign w:val="center"/>
                </w:tcPr>
                <w:p w14:paraId="05B3E74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医疗器械</w:t>
                  </w:r>
                </w:p>
              </w:tc>
              <w:tc>
                <w:tcPr>
                  <w:tcW w:w="1334" w:type="pct"/>
                  <w:tcBorders>
                    <w:tl2br w:val="nil"/>
                    <w:tr2bl w:val="nil"/>
                  </w:tcBorders>
                  <w:shd w:val="clear" w:color="auto" w:fill="auto"/>
                  <w:vAlign w:val="center"/>
                </w:tcPr>
                <w:p w14:paraId="1F238BD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棉球</w:t>
                  </w:r>
                </w:p>
              </w:tc>
              <w:tc>
                <w:tcPr>
                  <w:tcW w:w="513" w:type="pct"/>
                  <w:tcBorders>
                    <w:tl2br w:val="nil"/>
                    <w:tr2bl w:val="nil"/>
                  </w:tcBorders>
                  <w:shd w:val="clear" w:color="auto" w:fill="auto"/>
                  <w:vAlign w:val="center"/>
                </w:tcPr>
                <w:p w14:paraId="25AFD6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w:t>
                  </w:r>
                </w:p>
              </w:tc>
              <w:tc>
                <w:tcPr>
                  <w:tcW w:w="916" w:type="pct"/>
                  <w:tcBorders>
                    <w:tl2br w:val="nil"/>
                    <w:tr2bl w:val="nil"/>
                  </w:tcBorders>
                  <w:shd w:val="clear" w:color="auto" w:fill="auto"/>
                  <w:vAlign w:val="center"/>
                </w:tcPr>
                <w:p w14:paraId="3ADE7E3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520" w:type="pct"/>
                  <w:tcBorders>
                    <w:tl2br w:val="nil"/>
                    <w:tr2bl w:val="nil"/>
                  </w:tcBorders>
                  <w:shd w:val="clear" w:color="auto" w:fill="auto"/>
                  <w:vAlign w:val="center"/>
                </w:tcPr>
                <w:p w14:paraId="6BCFBBE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w:t>
                  </w:r>
                </w:p>
              </w:tc>
              <w:tc>
                <w:tcPr>
                  <w:tcW w:w="413" w:type="pct"/>
                  <w:vMerge w:val="restart"/>
                  <w:tcBorders>
                    <w:tl2br w:val="nil"/>
                    <w:tr2bl w:val="nil"/>
                  </w:tcBorders>
                  <w:vAlign w:val="center"/>
                </w:tcPr>
                <w:p w14:paraId="41F0AF8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590" w:type="pct"/>
                  <w:tcBorders>
                    <w:tl2br w:val="nil"/>
                    <w:tr2bl w:val="nil"/>
                  </w:tcBorders>
                  <w:shd w:val="clear" w:color="auto" w:fill="auto"/>
                  <w:vAlign w:val="center"/>
                </w:tcPr>
                <w:p w14:paraId="2AAA45A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C591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37B0EEF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6DA8CB9D">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注射器</w:t>
                  </w:r>
                </w:p>
              </w:tc>
              <w:tc>
                <w:tcPr>
                  <w:tcW w:w="513" w:type="pct"/>
                  <w:tcBorders>
                    <w:tl2br w:val="nil"/>
                    <w:tr2bl w:val="nil"/>
                  </w:tcBorders>
                  <w:shd w:val="clear" w:color="auto" w:fill="auto"/>
                  <w:vAlign w:val="center"/>
                </w:tcPr>
                <w:p w14:paraId="2FF9C65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916" w:type="pct"/>
                  <w:tcBorders>
                    <w:tl2br w:val="nil"/>
                    <w:tr2bl w:val="nil"/>
                  </w:tcBorders>
                  <w:shd w:val="clear" w:color="auto" w:fill="auto"/>
                  <w:vAlign w:val="center"/>
                </w:tcPr>
                <w:p w14:paraId="3FCB033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520" w:type="pct"/>
                  <w:tcBorders>
                    <w:tl2br w:val="nil"/>
                    <w:tr2bl w:val="nil"/>
                  </w:tcBorders>
                  <w:shd w:val="clear" w:color="auto" w:fill="auto"/>
                  <w:vAlign w:val="center"/>
                </w:tcPr>
                <w:p w14:paraId="685DF11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10</w:t>
                  </w:r>
                </w:p>
              </w:tc>
              <w:tc>
                <w:tcPr>
                  <w:tcW w:w="413" w:type="pct"/>
                  <w:vMerge w:val="continue"/>
                  <w:tcBorders>
                    <w:tl2br w:val="nil"/>
                    <w:tr2bl w:val="nil"/>
                  </w:tcBorders>
                  <w:vAlign w:val="center"/>
                </w:tcPr>
                <w:p w14:paraId="50E86F0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0C6C4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65BE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1DFD48B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3BEDED6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纱布</w:t>
                  </w:r>
                </w:p>
              </w:tc>
              <w:tc>
                <w:tcPr>
                  <w:tcW w:w="513" w:type="pct"/>
                  <w:tcBorders>
                    <w:tl2br w:val="nil"/>
                    <w:tr2bl w:val="nil"/>
                  </w:tcBorders>
                  <w:shd w:val="clear" w:color="auto" w:fill="auto"/>
                  <w:vAlign w:val="center"/>
                </w:tcPr>
                <w:p w14:paraId="3AD2E4C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916" w:type="pct"/>
                  <w:tcBorders>
                    <w:tl2br w:val="nil"/>
                    <w:tr2bl w:val="nil"/>
                  </w:tcBorders>
                  <w:shd w:val="clear" w:color="auto" w:fill="auto"/>
                  <w:vAlign w:val="center"/>
                </w:tcPr>
                <w:p w14:paraId="6A1D7EE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包</w:t>
                  </w:r>
                </w:p>
              </w:tc>
              <w:tc>
                <w:tcPr>
                  <w:tcW w:w="520" w:type="pct"/>
                  <w:tcBorders>
                    <w:tl2br w:val="nil"/>
                    <w:tr2bl w:val="nil"/>
                  </w:tcBorders>
                  <w:shd w:val="clear" w:color="auto" w:fill="auto"/>
                  <w:vAlign w:val="center"/>
                </w:tcPr>
                <w:p w14:paraId="1A23F04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5</w:t>
                  </w:r>
                </w:p>
              </w:tc>
              <w:tc>
                <w:tcPr>
                  <w:tcW w:w="413" w:type="pct"/>
                  <w:vMerge w:val="continue"/>
                  <w:tcBorders>
                    <w:tl2br w:val="nil"/>
                    <w:tr2bl w:val="nil"/>
                  </w:tcBorders>
                  <w:vAlign w:val="center"/>
                </w:tcPr>
                <w:p w14:paraId="3BDE0C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A9F677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A278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vAlign w:val="center"/>
                </w:tcPr>
                <w:p w14:paraId="0ED0E05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1334" w:type="pct"/>
                  <w:tcBorders>
                    <w:tl2br w:val="nil"/>
                    <w:tr2bl w:val="nil"/>
                  </w:tcBorders>
                  <w:shd w:val="clear" w:color="auto" w:fill="auto"/>
                  <w:vAlign w:val="center"/>
                </w:tcPr>
                <w:p w14:paraId="049F96D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ascii="Times New Roman" w:hAnsi="Times New Roman" w:eastAsia="宋体"/>
                      <w:color w:val="auto"/>
                      <w:kern w:val="0"/>
                      <w:sz w:val="21"/>
                      <w:szCs w:val="21"/>
                    </w:rPr>
                    <w:t>输液袋</w:t>
                  </w:r>
                </w:p>
              </w:tc>
              <w:tc>
                <w:tcPr>
                  <w:tcW w:w="513" w:type="pct"/>
                  <w:tcBorders>
                    <w:tl2br w:val="nil"/>
                    <w:tr2bl w:val="nil"/>
                  </w:tcBorders>
                  <w:shd w:val="clear" w:color="auto" w:fill="auto"/>
                  <w:vAlign w:val="center"/>
                </w:tcPr>
                <w:p w14:paraId="4C97032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916" w:type="pct"/>
                  <w:tcBorders>
                    <w:tl2br w:val="nil"/>
                    <w:tr2bl w:val="nil"/>
                  </w:tcBorders>
                  <w:shd w:val="clear" w:color="auto" w:fill="auto"/>
                  <w:vAlign w:val="center"/>
                </w:tcPr>
                <w:p w14:paraId="3349434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箱</w:t>
                  </w:r>
                </w:p>
              </w:tc>
              <w:tc>
                <w:tcPr>
                  <w:tcW w:w="520" w:type="pct"/>
                  <w:tcBorders>
                    <w:tl2br w:val="nil"/>
                    <w:tr2bl w:val="nil"/>
                  </w:tcBorders>
                  <w:shd w:val="clear" w:color="auto" w:fill="auto"/>
                  <w:vAlign w:val="center"/>
                </w:tcPr>
                <w:p w14:paraId="40E0753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w:t>
                  </w:r>
                </w:p>
              </w:tc>
              <w:tc>
                <w:tcPr>
                  <w:tcW w:w="413" w:type="pct"/>
                  <w:vMerge w:val="continue"/>
                  <w:tcBorders>
                    <w:tl2br w:val="nil"/>
                    <w:tr2bl w:val="nil"/>
                  </w:tcBorders>
                  <w:vAlign w:val="center"/>
                </w:tcPr>
                <w:p w14:paraId="28A571F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551BF2C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523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restart"/>
                  <w:tcBorders>
                    <w:tl2br w:val="nil"/>
                    <w:tr2bl w:val="nil"/>
                  </w:tcBorders>
                  <w:shd w:val="clear" w:color="auto" w:fill="auto"/>
                  <w:vAlign w:val="center"/>
                </w:tcPr>
                <w:p w14:paraId="17DF1BE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药品</w:t>
                  </w:r>
                </w:p>
              </w:tc>
              <w:tc>
                <w:tcPr>
                  <w:tcW w:w="514" w:type="pct"/>
                  <w:vMerge w:val="restart"/>
                  <w:tcBorders>
                    <w:tl2br w:val="nil"/>
                    <w:tr2bl w:val="nil"/>
                  </w:tcBorders>
                  <w:shd w:val="clear" w:color="auto" w:fill="auto"/>
                  <w:vAlign w:val="center"/>
                </w:tcPr>
                <w:p w14:paraId="4919237B">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抗生素</w:t>
                  </w:r>
                </w:p>
              </w:tc>
              <w:tc>
                <w:tcPr>
                  <w:tcW w:w="1334" w:type="pct"/>
                  <w:tcBorders>
                    <w:tl2br w:val="nil"/>
                    <w:tr2bl w:val="nil"/>
                  </w:tcBorders>
                  <w:shd w:val="clear" w:color="auto" w:fill="auto"/>
                  <w:vAlign w:val="center"/>
                </w:tcPr>
                <w:p w14:paraId="29B9D51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头孢赛呋钠注射液</w:t>
                  </w:r>
                </w:p>
              </w:tc>
              <w:tc>
                <w:tcPr>
                  <w:tcW w:w="513" w:type="pct"/>
                  <w:tcBorders>
                    <w:tl2br w:val="nil"/>
                    <w:tr2bl w:val="nil"/>
                  </w:tcBorders>
                  <w:shd w:val="clear" w:color="auto" w:fill="auto"/>
                  <w:vAlign w:val="center"/>
                </w:tcPr>
                <w:p w14:paraId="50EE50D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100</w:t>
                  </w:r>
                </w:p>
              </w:tc>
              <w:tc>
                <w:tcPr>
                  <w:tcW w:w="916" w:type="pct"/>
                  <w:tcBorders>
                    <w:tl2br w:val="nil"/>
                    <w:tr2bl w:val="nil"/>
                  </w:tcBorders>
                  <w:shd w:val="clear" w:color="auto" w:fill="auto"/>
                  <w:vAlign w:val="center"/>
                </w:tcPr>
                <w:p w14:paraId="54FCF9B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支</w:t>
                  </w:r>
                </w:p>
              </w:tc>
              <w:tc>
                <w:tcPr>
                  <w:tcW w:w="520" w:type="pct"/>
                  <w:tcBorders>
                    <w:tl2br w:val="nil"/>
                    <w:tr2bl w:val="nil"/>
                  </w:tcBorders>
                  <w:shd w:val="clear" w:color="auto" w:fill="auto"/>
                  <w:vAlign w:val="center"/>
                </w:tcPr>
                <w:p w14:paraId="3C1C20B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100</w:t>
                  </w:r>
                </w:p>
              </w:tc>
              <w:tc>
                <w:tcPr>
                  <w:tcW w:w="413" w:type="pct"/>
                  <w:vMerge w:val="continue"/>
                  <w:tcBorders>
                    <w:tl2br w:val="nil"/>
                    <w:tr2bl w:val="nil"/>
                  </w:tcBorders>
                  <w:vAlign w:val="center"/>
                </w:tcPr>
                <w:p w14:paraId="3BBE0A6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B5817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C7AA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6F939F6D">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5291D26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7EDEC94">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恩诺沙星注射液</w:t>
                  </w:r>
                </w:p>
              </w:tc>
              <w:tc>
                <w:tcPr>
                  <w:tcW w:w="513" w:type="pct"/>
                  <w:tcBorders>
                    <w:tl2br w:val="nil"/>
                    <w:tr2bl w:val="nil"/>
                  </w:tcBorders>
                  <w:shd w:val="clear" w:color="auto" w:fill="auto"/>
                  <w:vAlign w:val="center"/>
                </w:tcPr>
                <w:p w14:paraId="153FB5C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916" w:type="pct"/>
                  <w:tcBorders>
                    <w:tl2br w:val="nil"/>
                    <w:tr2bl w:val="nil"/>
                  </w:tcBorders>
                  <w:shd w:val="clear" w:color="auto" w:fill="auto"/>
                  <w:vAlign w:val="center"/>
                </w:tcPr>
                <w:p w14:paraId="54BCF83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520" w:type="pct"/>
                  <w:tcBorders>
                    <w:tl2br w:val="nil"/>
                    <w:tr2bl w:val="nil"/>
                  </w:tcBorders>
                  <w:shd w:val="clear" w:color="auto" w:fill="auto"/>
                  <w:vAlign w:val="center"/>
                </w:tcPr>
                <w:p w14:paraId="0DDB5C6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w:t>
                  </w:r>
                </w:p>
              </w:tc>
              <w:tc>
                <w:tcPr>
                  <w:tcW w:w="413" w:type="pct"/>
                  <w:vMerge w:val="continue"/>
                  <w:tcBorders>
                    <w:tl2br w:val="nil"/>
                    <w:tr2bl w:val="nil"/>
                  </w:tcBorders>
                  <w:vAlign w:val="center"/>
                </w:tcPr>
                <w:p w14:paraId="3E78EE5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1EC23CB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BF4F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612FA5">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3716607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BAEAEBC">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马坡沙星片</w:t>
                  </w:r>
                </w:p>
              </w:tc>
              <w:tc>
                <w:tcPr>
                  <w:tcW w:w="513" w:type="pct"/>
                  <w:tcBorders>
                    <w:tl2br w:val="nil"/>
                    <w:tr2bl w:val="nil"/>
                  </w:tcBorders>
                  <w:shd w:val="clear" w:color="auto" w:fill="auto"/>
                  <w:vAlign w:val="center"/>
                </w:tcPr>
                <w:p w14:paraId="537F548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4F2D507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3F56F2B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40550FF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04C356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4D74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7A8C799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4F41CFFA">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4AACCF9">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恩诺沙星片 </w:t>
                  </w:r>
                </w:p>
              </w:tc>
              <w:tc>
                <w:tcPr>
                  <w:tcW w:w="513" w:type="pct"/>
                  <w:tcBorders>
                    <w:tl2br w:val="nil"/>
                    <w:tr2bl w:val="nil"/>
                  </w:tcBorders>
                  <w:shd w:val="clear" w:color="auto" w:fill="auto"/>
                  <w:vAlign w:val="center"/>
                </w:tcPr>
                <w:p w14:paraId="7C13EF6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916" w:type="pct"/>
                  <w:tcBorders>
                    <w:tl2br w:val="nil"/>
                    <w:tr2bl w:val="nil"/>
                  </w:tcBorders>
                  <w:shd w:val="clear" w:color="auto" w:fill="auto"/>
                  <w:vAlign w:val="center"/>
                </w:tcPr>
                <w:p w14:paraId="1CE9F71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1DD0B9B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10</w:t>
                  </w:r>
                </w:p>
              </w:tc>
              <w:tc>
                <w:tcPr>
                  <w:tcW w:w="413" w:type="pct"/>
                  <w:vMerge w:val="continue"/>
                  <w:tcBorders>
                    <w:tl2br w:val="nil"/>
                    <w:tr2bl w:val="nil"/>
                  </w:tcBorders>
                  <w:vAlign w:val="center"/>
                </w:tcPr>
                <w:p w14:paraId="4F9188C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57DA353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0DB3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DA0B14">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50FB600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1A62691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多西环素片</w:t>
                  </w:r>
                </w:p>
              </w:tc>
              <w:tc>
                <w:tcPr>
                  <w:tcW w:w="513" w:type="pct"/>
                  <w:tcBorders>
                    <w:tl2br w:val="nil"/>
                    <w:tr2bl w:val="nil"/>
                  </w:tcBorders>
                  <w:shd w:val="clear" w:color="auto" w:fill="auto"/>
                  <w:vAlign w:val="center"/>
                </w:tcPr>
                <w:p w14:paraId="22ED0F0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67BED9B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7A5C358F">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50</w:t>
                  </w:r>
                </w:p>
              </w:tc>
              <w:tc>
                <w:tcPr>
                  <w:tcW w:w="413" w:type="pct"/>
                  <w:vMerge w:val="continue"/>
                  <w:tcBorders>
                    <w:tl2br w:val="nil"/>
                    <w:tr2bl w:val="nil"/>
                  </w:tcBorders>
                  <w:vAlign w:val="center"/>
                </w:tcPr>
                <w:p w14:paraId="3FE141B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2D1E02D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D587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54DEE36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2B2CBB38">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992DFC1">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甲硝唑片</w:t>
                  </w:r>
                </w:p>
              </w:tc>
              <w:tc>
                <w:tcPr>
                  <w:tcW w:w="513" w:type="pct"/>
                  <w:tcBorders>
                    <w:tl2br w:val="nil"/>
                    <w:tr2bl w:val="nil"/>
                  </w:tcBorders>
                  <w:shd w:val="clear" w:color="auto" w:fill="auto"/>
                  <w:vAlign w:val="center"/>
                </w:tcPr>
                <w:p w14:paraId="1899D06A">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5667307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636FEC2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765107E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03D52E0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8735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34F28525">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restart"/>
                  <w:tcBorders>
                    <w:tl2br w:val="nil"/>
                    <w:tr2bl w:val="nil"/>
                  </w:tcBorders>
                  <w:shd w:val="clear" w:color="auto" w:fill="auto"/>
                  <w:vAlign w:val="center"/>
                </w:tcPr>
                <w:p w14:paraId="6A83B09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消炎</w:t>
                  </w:r>
                </w:p>
              </w:tc>
              <w:tc>
                <w:tcPr>
                  <w:tcW w:w="1334" w:type="pct"/>
                  <w:tcBorders>
                    <w:tl2br w:val="nil"/>
                    <w:tr2bl w:val="nil"/>
                  </w:tcBorders>
                  <w:shd w:val="clear" w:color="auto" w:fill="auto"/>
                  <w:vAlign w:val="center"/>
                </w:tcPr>
                <w:p w14:paraId="698F42C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美洛昔康注射液</w:t>
                  </w:r>
                </w:p>
              </w:tc>
              <w:tc>
                <w:tcPr>
                  <w:tcW w:w="513" w:type="pct"/>
                  <w:tcBorders>
                    <w:tl2br w:val="nil"/>
                    <w:tr2bl w:val="nil"/>
                  </w:tcBorders>
                  <w:shd w:val="clear" w:color="auto" w:fill="auto"/>
                  <w:vAlign w:val="center"/>
                </w:tcPr>
                <w:p w14:paraId="0A9C331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p>
              </w:tc>
              <w:tc>
                <w:tcPr>
                  <w:tcW w:w="916" w:type="pct"/>
                  <w:tcBorders>
                    <w:tl2br w:val="nil"/>
                    <w:tr2bl w:val="nil"/>
                  </w:tcBorders>
                  <w:shd w:val="clear" w:color="auto" w:fill="auto"/>
                  <w:vAlign w:val="center"/>
                </w:tcPr>
                <w:p w14:paraId="25B09EF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瓶</w:t>
                  </w:r>
                </w:p>
              </w:tc>
              <w:tc>
                <w:tcPr>
                  <w:tcW w:w="520" w:type="pct"/>
                  <w:tcBorders>
                    <w:tl2br w:val="nil"/>
                    <w:tr2bl w:val="nil"/>
                  </w:tcBorders>
                  <w:shd w:val="clear" w:color="auto" w:fill="auto"/>
                  <w:vAlign w:val="center"/>
                </w:tcPr>
                <w:p w14:paraId="223D93E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1</w:t>
                  </w:r>
                </w:p>
              </w:tc>
              <w:tc>
                <w:tcPr>
                  <w:tcW w:w="413" w:type="pct"/>
                  <w:vMerge w:val="continue"/>
                  <w:tcBorders>
                    <w:tl2br w:val="nil"/>
                    <w:tr2bl w:val="nil"/>
                  </w:tcBorders>
                  <w:vAlign w:val="center"/>
                </w:tcPr>
                <w:p w14:paraId="08E2731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49C2256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3750D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0DBD3731">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vMerge w:val="continue"/>
                  <w:tcBorders>
                    <w:tl2br w:val="nil"/>
                    <w:tr2bl w:val="nil"/>
                  </w:tcBorders>
                  <w:shd w:val="clear" w:color="auto" w:fill="auto"/>
                  <w:vAlign w:val="center"/>
                </w:tcPr>
                <w:p w14:paraId="08571C34">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37D3F67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美洛昔康片</w:t>
                  </w:r>
                </w:p>
              </w:tc>
              <w:tc>
                <w:tcPr>
                  <w:tcW w:w="513" w:type="pct"/>
                  <w:tcBorders>
                    <w:tl2br w:val="nil"/>
                    <w:tr2bl w:val="nil"/>
                  </w:tcBorders>
                  <w:shd w:val="clear" w:color="auto" w:fill="auto"/>
                  <w:vAlign w:val="center"/>
                </w:tcPr>
                <w:p w14:paraId="141BB0D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916" w:type="pct"/>
                  <w:tcBorders>
                    <w:tl2br w:val="nil"/>
                    <w:tr2bl w:val="nil"/>
                  </w:tcBorders>
                  <w:shd w:val="clear" w:color="auto" w:fill="auto"/>
                  <w:vAlign w:val="center"/>
                </w:tcPr>
                <w:p w14:paraId="4909B33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片</w:t>
                  </w:r>
                </w:p>
              </w:tc>
              <w:tc>
                <w:tcPr>
                  <w:tcW w:w="520" w:type="pct"/>
                  <w:tcBorders>
                    <w:tl2br w:val="nil"/>
                    <w:tr2bl w:val="nil"/>
                  </w:tcBorders>
                  <w:shd w:val="clear" w:color="auto" w:fill="auto"/>
                  <w:vAlign w:val="center"/>
                </w:tcPr>
                <w:p w14:paraId="398F54A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40</w:t>
                  </w:r>
                </w:p>
              </w:tc>
              <w:tc>
                <w:tcPr>
                  <w:tcW w:w="413" w:type="pct"/>
                  <w:vMerge w:val="continue"/>
                  <w:tcBorders>
                    <w:tl2br w:val="nil"/>
                    <w:tr2bl w:val="nil"/>
                  </w:tcBorders>
                  <w:vAlign w:val="center"/>
                </w:tcPr>
                <w:p w14:paraId="5AF75C6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1AA69E1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26A78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6" w:type="pct"/>
                  <w:vMerge w:val="continue"/>
                  <w:tcBorders>
                    <w:tl2br w:val="nil"/>
                    <w:tr2bl w:val="nil"/>
                  </w:tcBorders>
                  <w:shd w:val="clear" w:color="auto" w:fill="auto"/>
                  <w:vAlign w:val="center"/>
                </w:tcPr>
                <w:p w14:paraId="1B9AF84F">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514" w:type="pct"/>
                  <w:tcBorders>
                    <w:tl2br w:val="nil"/>
                    <w:tr2bl w:val="nil"/>
                  </w:tcBorders>
                  <w:shd w:val="clear" w:color="auto" w:fill="auto"/>
                  <w:vAlign w:val="center"/>
                </w:tcPr>
                <w:p w14:paraId="1D061A1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麻醉剂</w:t>
                  </w:r>
                </w:p>
              </w:tc>
              <w:tc>
                <w:tcPr>
                  <w:tcW w:w="1334" w:type="pct"/>
                  <w:tcBorders>
                    <w:tl2br w:val="nil"/>
                    <w:tr2bl w:val="nil"/>
                  </w:tcBorders>
                  <w:shd w:val="clear" w:color="auto" w:fill="auto"/>
                  <w:vAlign w:val="center"/>
                </w:tcPr>
                <w:p w14:paraId="7EC28AA3">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color w:val="auto"/>
                      <w:lang w:val="en-US" w:eastAsia="zh-CN"/>
                    </w:rPr>
                  </w:pPr>
                  <w:r>
                    <w:rPr>
                      <w:rFonts w:hint="eastAsia"/>
                      <w:color w:val="auto"/>
                      <w:lang w:val="en-US" w:eastAsia="zh-CN"/>
                    </w:rPr>
                    <w:t>异氟烷</w:t>
                  </w:r>
                </w:p>
              </w:tc>
              <w:tc>
                <w:tcPr>
                  <w:tcW w:w="513" w:type="pct"/>
                  <w:tcBorders>
                    <w:tl2br w:val="nil"/>
                    <w:tr2bl w:val="nil"/>
                  </w:tcBorders>
                  <w:shd w:val="clear" w:color="auto" w:fill="auto"/>
                  <w:vAlign w:val="center"/>
                </w:tcPr>
                <w:p w14:paraId="5D011EC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ascii="Times New Roman" w:hAnsi="Times New Roman"/>
                      <w:color w:val="auto"/>
                      <w:sz w:val="21"/>
                      <w:lang w:val="en-US" w:eastAsia="zh-CN"/>
                    </w:rPr>
                    <w:t>5</w:t>
                  </w:r>
                </w:p>
              </w:tc>
              <w:tc>
                <w:tcPr>
                  <w:tcW w:w="916" w:type="pct"/>
                  <w:tcBorders>
                    <w:tl2br w:val="nil"/>
                    <w:tr2bl w:val="nil"/>
                  </w:tcBorders>
                  <w:shd w:val="clear" w:color="auto" w:fill="auto"/>
                  <w:vAlign w:val="center"/>
                </w:tcPr>
                <w:p w14:paraId="2608A0F5">
                  <w:pPr>
                    <w:keepNext w:val="0"/>
                    <w:keepLines w:val="0"/>
                    <w:pageBreakBefore w:val="0"/>
                    <w:kinsoku/>
                    <w:wordWrap/>
                    <w:overflowPunct/>
                    <w:topLinePunct w:val="0"/>
                    <w:autoSpaceDE/>
                    <w:autoSpaceDN/>
                    <w:bidi w:val="0"/>
                    <w:spacing w:line="240" w:lineRule="auto"/>
                    <w:jc w:val="center"/>
                    <w:rPr>
                      <w:rFonts w:hint="eastAsia"/>
                      <w:color w:val="auto"/>
                      <w:sz w:val="21"/>
                      <w:szCs w:val="21"/>
                      <w:lang w:val="en-US" w:eastAsia="zh-CN"/>
                    </w:rPr>
                  </w:pPr>
                  <w:r>
                    <w:rPr>
                      <w:rFonts w:hint="eastAsia"/>
                      <w:color w:val="auto"/>
                      <w:sz w:val="21"/>
                      <w:lang w:val="en-US" w:eastAsia="zh-CN"/>
                    </w:rPr>
                    <w:t>瓶</w:t>
                  </w:r>
                </w:p>
              </w:tc>
              <w:tc>
                <w:tcPr>
                  <w:tcW w:w="520" w:type="pct"/>
                  <w:tcBorders>
                    <w:tl2br w:val="nil"/>
                    <w:tr2bl w:val="nil"/>
                  </w:tcBorders>
                  <w:shd w:val="clear" w:color="auto" w:fill="auto"/>
                  <w:vAlign w:val="center"/>
                </w:tcPr>
                <w:p w14:paraId="24F4F155">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lang w:val="en-US" w:eastAsia="zh-CN"/>
                    </w:rPr>
                  </w:pPr>
                  <w:r>
                    <w:rPr>
                      <w:rFonts w:hint="eastAsia"/>
                      <w:color w:val="auto"/>
                      <w:sz w:val="21"/>
                      <w:lang w:val="en-US" w:eastAsia="zh-CN"/>
                    </w:rPr>
                    <w:t>5</w:t>
                  </w:r>
                </w:p>
              </w:tc>
              <w:tc>
                <w:tcPr>
                  <w:tcW w:w="413" w:type="pct"/>
                  <w:vMerge w:val="continue"/>
                  <w:tcBorders>
                    <w:tl2br w:val="nil"/>
                    <w:tr2bl w:val="nil"/>
                  </w:tcBorders>
                  <w:vAlign w:val="center"/>
                </w:tcPr>
                <w:p w14:paraId="358D14D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F68E5B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05F22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tcBorders>
                    <w:tl2br w:val="nil"/>
                    <w:tr2bl w:val="nil"/>
                  </w:tcBorders>
                  <w:shd w:val="clear" w:color="auto" w:fill="auto"/>
                  <w:vAlign w:val="center"/>
                </w:tcPr>
                <w:p w14:paraId="05281952">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检测试纸</w:t>
                  </w:r>
                </w:p>
              </w:tc>
              <w:tc>
                <w:tcPr>
                  <w:tcW w:w="1334" w:type="pct"/>
                  <w:tcBorders>
                    <w:tl2br w:val="nil"/>
                    <w:tr2bl w:val="nil"/>
                  </w:tcBorders>
                  <w:shd w:val="clear" w:color="auto" w:fill="auto"/>
                  <w:vAlign w:val="center"/>
                </w:tcPr>
                <w:p w14:paraId="3FE3B2B8">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lang w:val="en-US" w:eastAsia="zh-CN"/>
                    </w:rPr>
                    <w:t xml:space="preserve">细小病毒检测盒 </w:t>
                  </w:r>
                </w:p>
              </w:tc>
              <w:tc>
                <w:tcPr>
                  <w:tcW w:w="513" w:type="pct"/>
                  <w:tcBorders>
                    <w:tl2br w:val="nil"/>
                    <w:tr2bl w:val="nil"/>
                  </w:tcBorders>
                  <w:shd w:val="clear" w:color="auto" w:fill="auto"/>
                  <w:vAlign w:val="center"/>
                </w:tcPr>
                <w:p w14:paraId="3DB1689E">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7083E5B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031B775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restart"/>
                  <w:tcBorders>
                    <w:tl2br w:val="nil"/>
                    <w:tr2bl w:val="nil"/>
                  </w:tcBorders>
                  <w:vAlign w:val="center"/>
                </w:tcPr>
                <w:p w14:paraId="340F22A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化验室</w:t>
                  </w:r>
                </w:p>
              </w:tc>
              <w:tc>
                <w:tcPr>
                  <w:tcW w:w="590" w:type="pct"/>
                  <w:tcBorders>
                    <w:tl2br w:val="nil"/>
                    <w:tr2bl w:val="nil"/>
                  </w:tcBorders>
                  <w:shd w:val="clear" w:color="auto" w:fill="auto"/>
                  <w:vAlign w:val="center"/>
                </w:tcPr>
                <w:p w14:paraId="13053FF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AC19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0192CC8B">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02CFEBE">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犬瘟病毒检测盒</w:t>
                  </w:r>
                </w:p>
              </w:tc>
              <w:tc>
                <w:tcPr>
                  <w:tcW w:w="513" w:type="pct"/>
                  <w:tcBorders>
                    <w:tl2br w:val="nil"/>
                    <w:tr2bl w:val="nil"/>
                  </w:tcBorders>
                  <w:shd w:val="clear" w:color="auto" w:fill="auto"/>
                  <w:vAlign w:val="center"/>
                </w:tcPr>
                <w:p w14:paraId="4209836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tcBorders>
                    <w:tl2br w:val="nil"/>
                    <w:tr2bl w:val="nil"/>
                  </w:tcBorders>
                  <w:shd w:val="clear" w:color="auto" w:fill="auto"/>
                  <w:vAlign w:val="center"/>
                </w:tcPr>
                <w:p w14:paraId="7300A65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0CEDCBB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w:t>
                  </w:r>
                </w:p>
              </w:tc>
              <w:tc>
                <w:tcPr>
                  <w:tcW w:w="413" w:type="pct"/>
                  <w:vMerge w:val="continue"/>
                  <w:tcBorders>
                    <w:tl2br w:val="nil"/>
                    <w:tr2bl w:val="nil"/>
                  </w:tcBorders>
                  <w:vAlign w:val="center"/>
                </w:tcPr>
                <w:p w14:paraId="4018BDF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B05A6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2DC0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55EB2DD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DC2D23A">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猫瘟病毒检测盒</w:t>
                  </w:r>
                </w:p>
              </w:tc>
              <w:tc>
                <w:tcPr>
                  <w:tcW w:w="513" w:type="pct"/>
                  <w:tcBorders>
                    <w:tl2br w:val="nil"/>
                    <w:tr2bl w:val="nil"/>
                  </w:tcBorders>
                  <w:shd w:val="clear" w:color="auto" w:fill="auto"/>
                  <w:vAlign w:val="center"/>
                </w:tcPr>
                <w:p w14:paraId="556AF70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294407E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FE592E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w:t>
                  </w:r>
                </w:p>
              </w:tc>
              <w:tc>
                <w:tcPr>
                  <w:tcW w:w="413" w:type="pct"/>
                  <w:vMerge w:val="continue"/>
                  <w:tcBorders>
                    <w:tl2br w:val="nil"/>
                    <w:tr2bl w:val="nil"/>
                  </w:tcBorders>
                  <w:vAlign w:val="center"/>
                </w:tcPr>
                <w:p w14:paraId="2B9928C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CDA938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8B60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769D9550">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A20E40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color w:val="auto"/>
                      <w:sz w:val="21"/>
                      <w:szCs w:val="21"/>
                      <w:lang w:val="en-US" w:eastAsia="zh-CN"/>
                    </w:rPr>
                  </w:pPr>
                  <w:r>
                    <w:rPr>
                      <w:rFonts w:hint="eastAsia"/>
                      <w:color w:val="auto"/>
                      <w:lang w:val="en-US" w:eastAsia="zh-CN"/>
                    </w:rPr>
                    <w:t>血常规检测盒</w:t>
                  </w:r>
                </w:p>
              </w:tc>
              <w:tc>
                <w:tcPr>
                  <w:tcW w:w="513" w:type="pct"/>
                  <w:tcBorders>
                    <w:tl2br w:val="nil"/>
                    <w:tr2bl w:val="nil"/>
                  </w:tcBorders>
                  <w:shd w:val="clear" w:color="auto" w:fill="auto"/>
                  <w:vAlign w:val="center"/>
                </w:tcPr>
                <w:p w14:paraId="41E25B37">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6D988BB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5387EF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06883F1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35770D2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2BA0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53A0DDBC">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0E1F92E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lang w:val="en-US" w:eastAsia="zh-CN"/>
                    </w:rPr>
                    <w:t>显微镜玻片</w:t>
                  </w:r>
                </w:p>
              </w:tc>
              <w:tc>
                <w:tcPr>
                  <w:tcW w:w="513" w:type="pct"/>
                  <w:tcBorders>
                    <w:tl2br w:val="nil"/>
                    <w:tr2bl w:val="nil"/>
                  </w:tcBorders>
                  <w:shd w:val="clear" w:color="auto" w:fill="auto"/>
                  <w:vAlign w:val="center"/>
                </w:tcPr>
                <w:p w14:paraId="4A94A98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916" w:type="pct"/>
                  <w:tcBorders>
                    <w:tl2br w:val="nil"/>
                    <w:tr2bl w:val="nil"/>
                  </w:tcBorders>
                  <w:shd w:val="clear" w:color="auto" w:fill="auto"/>
                  <w:vAlign w:val="center"/>
                </w:tcPr>
                <w:p w14:paraId="40BE75FD">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4A9E7AB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34A13C3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66C1532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0AFC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4D87C7BC">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EE62A64">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生化</w:t>
                  </w:r>
                  <w:r>
                    <w:rPr>
                      <w:rFonts w:hint="eastAsia"/>
                      <w:color w:val="auto"/>
                      <w:lang w:val="en-US" w:eastAsia="zh-CN"/>
                    </w:rPr>
                    <w:t>检测盒</w:t>
                  </w:r>
                </w:p>
              </w:tc>
              <w:tc>
                <w:tcPr>
                  <w:tcW w:w="513" w:type="pct"/>
                  <w:tcBorders>
                    <w:tl2br w:val="nil"/>
                    <w:tr2bl w:val="nil"/>
                  </w:tcBorders>
                  <w:shd w:val="clear" w:color="auto" w:fill="auto"/>
                  <w:vAlign w:val="center"/>
                </w:tcPr>
                <w:p w14:paraId="74F19CEB">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48B48BCA">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678103C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50</w:t>
                  </w:r>
                </w:p>
              </w:tc>
              <w:tc>
                <w:tcPr>
                  <w:tcW w:w="413" w:type="pct"/>
                  <w:vMerge w:val="continue"/>
                  <w:tcBorders>
                    <w:tl2br w:val="nil"/>
                    <w:tr2bl w:val="nil"/>
                  </w:tcBorders>
                  <w:vAlign w:val="center"/>
                </w:tcPr>
                <w:p w14:paraId="1128212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450CDC8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603DE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2BD20B1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9B1219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核酸</w:t>
                  </w:r>
                  <w:r>
                    <w:rPr>
                      <w:rFonts w:hint="eastAsia"/>
                      <w:color w:val="auto"/>
                      <w:lang w:val="en-US" w:eastAsia="zh-CN"/>
                    </w:rPr>
                    <w:t>检测盒</w:t>
                  </w:r>
                </w:p>
              </w:tc>
              <w:tc>
                <w:tcPr>
                  <w:tcW w:w="513" w:type="pct"/>
                  <w:tcBorders>
                    <w:tl2br w:val="nil"/>
                    <w:tr2bl w:val="nil"/>
                  </w:tcBorders>
                  <w:shd w:val="clear" w:color="auto" w:fill="auto"/>
                  <w:vAlign w:val="center"/>
                </w:tcPr>
                <w:p w14:paraId="0270546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916" w:type="pct"/>
                  <w:tcBorders>
                    <w:tl2br w:val="nil"/>
                    <w:tr2bl w:val="nil"/>
                  </w:tcBorders>
                  <w:shd w:val="clear" w:color="auto" w:fill="auto"/>
                  <w:vAlign w:val="center"/>
                </w:tcPr>
                <w:p w14:paraId="5ABAC797">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2E4C6008">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7C8A3B0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0FD3340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25D8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4B1BE8B3">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77B0161B">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Saa</w:t>
                  </w:r>
                  <w:r>
                    <w:rPr>
                      <w:rFonts w:hint="eastAsia"/>
                      <w:color w:val="auto"/>
                      <w:lang w:val="en-US" w:eastAsia="zh-CN"/>
                    </w:rPr>
                    <w:t>检测盒</w:t>
                  </w:r>
                </w:p>
              </w:tc>
              <w:tc>
                <w:tcPr>
                  <w:tcW w:w="513" w:type="pct"/>
                  <w:tcBorders>
                    <w:tl2br w:val="nil"/>
                    <w:tr2bl w:val="nil"/>
                  </w:tcBorders>
                  <w:shd w:val="clear" w:color="auto" w:fill="auto"/>
                  <w:vAlign w:val="center"/>
                </w:tcPr>
                <w:p w14:paraId="32933FA9">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3B2226B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7E3A9523">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242EA87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5309B8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3D59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tcBorders>
                    <w:tl2br w:val="nil"/>
                    <w:tr2bl w:val="nil"/>
                  </w:tcBorders>
                  <w:shd w:val="clear" w:color="auto" w:fill="auto"/>
                  <w:vAlign w:val="center"/>
                </w:tcPr>
                <w:p w14:paraId="22CC8537">
                  <w:pPr>
                    <w:keepNext w:val="0"/>
                    <w:keepLines w:val="0"/>
                    <w:pageBreakBefore w:val="0"/>
                    <w:kinsoku/>
                    <w:wordWrap/>
                    <w:overflowPunct/>
                    <w:topLinePunct w:val="0"/>
                    <w:autoSpaceDE/>
                    <w:autoSpaceDN/>
                    <w:bidi w:val="0"/>
                    <w:spacing w:line="240" w:lineRule="auto"/>
                    <w:jc w:val="center"/>
                    <w:rPr>
                      <w:rFonts w:hint="eastAsia" w:ascii="Times New Roman" w:hAnsi="Times New Roman"/>
                      <w:color w:val="auto"/>
                      <w:sz w:val="21"/>
                      <w:szCs w:val="21"/>
                      <w:lang w:val="en-US" w:eastAsia="zh-CN"/>
                    </w:rPr>
                  </w:pPr>
                </w:p>
              </w:tc>
              <w:tc>
                <w:tcPr>
                  <w:tcW w:w="1334" w:type="pct"/>
                  <w:tcBorders>
                    <w:tl2br w:val="nil"/>
                    <w:tr2bl w:val="nil"/>
                  </w:tcBorders>
                  <w:shd w:val="clear" w:color="auto" w:fill="auto"/>
                  <w:vAlign w:val="center"/>
                </w:tcPr>
                <w:p w14:paraId="5C78BE5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color w:val="auto"/>
                      <w:sz w:val="21"/>
                      <w:szCs w:val="21"/>
                      <w:lang w:val="en-US" w:eastAsia="zh-CN"/>
                    </w:rPr>
                  </w:pPr>
                  <w:r>
                    <w:rPr>
                      <w:rFonts w:hint="eastAsia"/>
                      <w:color w:val="auto"/>
                      <w:sz w:val="21"/>
                      <w:szCs w:val="21"/>
                      <w:lang w:val="en-US" w:eastAsia="zh-CN"/>
                    </w:rPr>
                    <w:t>Crp</w:t>
                  </w:r>
                  <w:r>
                    <w:rPr>
                      <w:rFonts w:hint="eastAsia"/>
                      <w:color w:val="auto"/>
                      <w:lang w:val="en-US" w:eastAsia="zh-CN"/>
                    </w:rPr>
                    <w:t>检测盒</w:t>
                  </w:r>
                </w:p>
              </w:tc>
              <w:tc>
                <w:tcPr>
                  <w:tcW w:w="513" w:type="pct"/>
                  <w:tcBorders>
                    <w:tl2br w:val="nil"/>
                    <w:tr2bl w:val="nil"/>
                  </w:tcBorders>
                  <w:shd w:val="clear" w:color="auto" w:fill="auto"/>
                  <w:vAlign w:val="center"/>
                </w:tcPr>
                <w:p w14:paraId="0A9E8A94">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20</w:t>
                  </w:r>
                </w:p>
              </w:tc>
              <w:tc>
                <w:tcPr>
                  <w:tcW w:w="916" w:type="pct"/>
                  <w:tcBorders>
                    <w:tl2br w:val="nil"/>
                    <w:tr2bl w:val="nil"/>
                  </w:tcBorders>
                  <w:shd w:val="clear" w:color="auto" w:fill="auto"/>
                  <w:vAlign w:val="center"/>
                </w:tcPr>
                <w:p w14:paraId="2B1A0E9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520" w:type="pct"/>
                  <w:tcBorders>
                    <w:tl2br w:val="nil"/>
                    <w:tr2bl w:val="nil"/>
                  </w:tcBorders>
                  <w:shd w:val="clear" w:color="auto" w:fill="auto"/>
                  <w:vAlign w:val="center"/>
                </w:tcPr>
                <w:p w14:paraId="32EE730C">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20</w:t>
                  </w:r>
                </w:p>
              </w:tc>
              <w:tc>
                <w:tcPr>
                  <w:tcW w:w="413" w:type="pct"/>
                  <w:vMerge w:val="continue"/>
                  <w:tcBorders>
                    <w:tl2br w:val="nil"/>
                    <w:tr2bl w:val="nil"/>
                  </w:tcBorders>
                  <w:vAlign w:val="center"/>
                </w:tcPr>
                <w:p w14:paraId="41A4FDA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tcBorders>
                    <w:tl2br w:val="nil"/>
                    <w:tr2bl w:val="nil"/>
                  </w:tcBorders>
                  <w:shd w:val="clear" w:color="auto" w:fill="auto"/>
                  <w:vAlign w:val="center"/>
                </w:tcPr>
                <w:p w14:paraId="750B483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A0DD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tcBorders>
                    <w:tl2br w:val="nil"/>
                    <w:tr2bl w:val="nil"/>
                  </w:tcBorders>
                  <w:shd w:val="clear" w:color="auto" w:fill="auto"/>
                  <w:vAlign w:val="center"/>
                </w:tcPr>
                <w:p w14:paraId="13FD0D5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消毒剂</w:t>
                  </w:r>
                </w:p>
              </w:tc>
              <w:tc>
                <w:tcPr>
                  <w:tcW w:w="1334" w:type="pct"/>
                  <w:tcBorders>
                    <w:tl2br w:val="nil"/>
                    <w:tr2bl w:val="nil"/>
                  </w:tcBorders>
                  <w:shd w:val="clear" w:color="auto" w:fill="auto"/>
                  <w:vAlign w:val="center"/>
                </w:tcPr>
                <w:p w14:paraId="473F0E2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医用酒精</w:t>
                  </w:r>
                </w:p>
              </w:tc>
              <w:tc>
                <w:tcPr>
                  <w:tcW w:w="513" w:type="pct"/>
                  <w:tcBorders>
                    <w:tl2br w:val="nil"/>
                    <w:tr2bl w:val="nil"/>
                  </w:tcBorders>
                  <w:shd w:val="clear" w:color="auto" w:fill="auto"/>
                  <w:vAlign w:val="center"/>
                </w:tcPr>
                <w:p w14:paraId="779CC8F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tcBorders>
                    <w:tl2br w:val="nil"/>
                    <w:tr2bl w:val="nil"/>
                  </w:tcBorders>
                  <w:shd w:val="clear" w:color="auto" w:fill="auto"/>
                  <w:vAlign w:val="center"/>
                </w:tcPr>
                <w:p w14:paraId="04F2F1E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tcBorders>
                    <w:tl2br w:val="nil"/>
                    <w:tr2bl w:val="nil"/>
                  </w:tcBorders>
                  <w:shd w:val="clear" w:color="auto" w:fill="auto"/>
                  <w:vAlign w:val="center"/>
                </w:tcPr>
                <w:p w14:paraId="0C6FC10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2</w:t>
                  </w:r>
                </w:p>
              </w:tc>
              <w:tc>
                <w:tcPr>
                  <w:tcW w:w="413" w:type="pct"/>
                  <w:vMerge w:val="restart"/>
                  <w:tcBorders>
                    <w:tl2br w:val="nil"/>
                    <w:tr2bl w:val="nil"/>
                  </w:tcBorders>
                  <w:vAlign w:val="center"/>
                </w:tcPr>
                <w:p w14:paraId="6CD3CFD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药房</w:t>
                  </w:r>
                </w:p>
              </w:tc>
              <w:tc>
                <w:tcPr>
                  <w:tcW w:w="590" w:type="pct"/>
                  <w:tcBorders>
                    <w:tl2br w:val="nil"/>
                    <w:tr2bl w:val="nil"/>
                  </w:tcBorders>
                  <w:shd w:val="clear" w:color="auto" w:fill="auto"/>
                  <w:vAlign w:val="center"/>
                </w:tcPr>
                <w:p w14:paraId="19F9BB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1774E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34D2D37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7AB53D38">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碘伏</w:t>
                  </w:r>
                </w:p>
              </w:tc>
              <w:tc>
                <w:tcPr>
                  <w:tcW w:w="513" w:type="pct"/>
                  <w:shd w:val="clear" w:color="auto" w:fill="auto"/>
                  <w:vAlign w:val="center"/>
                </w:tcPr>
                <w:p w14:paraId="3BD884F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916" w:type="pct"/>
                  <w:shd w:val="clear" w:color="auto" w:fill="auto"/>
                  <w:vAlign w:val="center"/>
                </w:tcPr>
                <w:p w14:paraId="2F430C6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shd w:val="clear" w:color="auto" w:fill="auto"/>
                  <w:vAlign w:val="center"/>
                </w:tcPr>
                <w:p w14:paraId="332A5C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bidi="ar-SA"/>
                    </w:rPr>
                    <w:t>2</w:t>
                  </w:r>
                </w:p>
              </w:tc>
              <w:tc>
                <w:tcPr>
                  <w:tcW w:w="413" w:type="pct"/>
                  <w:vMerge w:val="continue"/>
                  <w:vAlign w:val="center"/>
                </w:tcPr>
                <w:p w14:paraId="35F6573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51E4ACF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4595A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02A2357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18D65FA0">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新洁尔灭</w:t>
                  </w:r>
                </w:p>
              </w:tc>
              <w:tc>
                <w:tcPr>
                  <w:tcW w:w="513" w:type="pct"/>
                  <w:shd w:val="clear" w:color="auto" w:fill="auto"/>
                  <w:vAlign w:val="center"/>
                </w:tcPr>
                <w:p w14:paraId="54B7AC6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p>
              </w:tc>
              <w:tc>
                <w:tcPr>
                  <w:tcW w:w="916" w:type="pct"/>
                  <w:shd w:val="clear" w:color="auto" w:fill="auto"/>
                  <w:vAlign w:val="center"/>
                </w:tcPr>
                <w:p w14:paraId="789495F3">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520" w:type="pct"/>
                  <w:shd w:val="clear" w:color="auto" w:fill="auto"/>
                  <w:vAlign w:val="center"/>
                </w:tcPr>
                <w:p w14:paraId="123585F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5</w:t>
                  </w:r>
                </w:p>
              </w:tc>
              <w:tc>
                <w:tcPr>
                  <w:tcW w:w="413" w:type="pct"/>
                  <w:vMerge w:val="continue"/>
                  <w:vAlign w:val="center"/>
                </w:tcPr>
                <w:p w14:paraId="7F840F5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05B0CB8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7CA89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50F077E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2995B777">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84消毒液</w:t>
                  </w:r>
                </w:p>
              </w:tc>
              <w:tc>
                <w:tcPr>
                  <w:tcW w:w="847" w:type="dxa"/>
                  <w:shd w:val="clear" w:color="auto" w:fill="auto"/>
                  <w:vAlign w:val="center"/>
                </w:tcPr>
                <w:p w14:paraId="6260940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olor w:val="auto"/>
                      <w:sz w:val="21"/>
                      <w:szCs w:val="21"/>
                      <w:lang w:val="en-US" w:eastAsia="zh-CN"/>
                    </w:rPr>
                    <w:t>40</w:t>
                  </w:r>
                  <w:r>
                    <w:rPr>
                      <w:rFonts w:hint="eastAsia" w:ascii="Times New Roman" w:hAnsi="Times New Roman"/>
                      <w:color w:val="auto"/>
                      <w:sz w:val="21"/>
                      <w:szCs w:val="21"/>
                      <w:lang w:val="en-US" w:eastAsia="zh-CN"/>
                    </w:rPr>
                    <w:t>瓶</w:t>
                  </w:r>
                </w:p>
              </w:tc>
              <w:tc>
                <w:tcPr>
                  <w:tcW w:w="1512" w:type="dxa"/>
                  <w:shd w:val="clear" w:color="auto" w:fill="auto"/>
                  <w:vAlign w:val="center"/>
                </w:tcPr>
                <w:p w14:paraId="40A11A3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500ml/瓶，次氯酸钠</w:t>
                  </w:r>
                </w:p>
              </w:tc>
              <w:tc>
                <w:tcPr>
                  <w:tcW w:w="859" w:type="dxa"/>
                  <w:shd w:val="clear" w:color="auto" w:fill="auto"/>
                  <w:vAlign w:val="center"/>
                </w:tcPr>
                <w:p w14:paraId="5B44866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lang w:val="en-US" w:eastAsia="zh-CN" w:bidi="ar-SA"/>
                    </w:rPr>
                  </w:pPr>
                  <w:r>
                    <w:rPr>
                      <w:rFonts w:hint="eastAsia"/>
                      <w:color w:val="auto"/>
                      <w:sz w:val="21"/>
                      <w:szCs w:val="21"/>
                      <w:lang w:val="en-US" w:eastAsia="zh-CN"/>
                    </w:rPr>
                    <w:t>3</w:t>
                  </w:r>
                </w:p>
              </w:tc>
              <w:tc>
                <w:tcPr>
                  <w:tcW w:w="413" w:type="pct"/>
                  <w:vMerge w:val="continue"/>
                  <w:vAlign w:val="center"/>
                </w:tcPr>
                <w:p w14:paraId="59E2C6C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7CABFF7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E7C0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pct"/>
                  <w:gridSpan w:val="2"/>
                  <w:vMerge w:val="continue"/>
                  <w:shd w:val="clear" w:color="auto" w:fill="auto"/>
                  <w:vAlign w:val="center"/>
                </w:tcPr>
                <w:p w14:paraId="6AFD597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1868EBBF">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color w:val="auto"/>
                      <w:sz w:val="21"/>
                      <w:lang w:val="en-US" w:eastAsia="zh-CN" w:bidi="ar-SA"/>
                    </w:rPr>
                    <w:t>三氯异氰尿酸消毒片</w:t>
                  </w:r>
                </w:p>
              </w:tc>
              <w:tc>
                <w:tcPr>
                  <w:tcW w:w="513" w:type="pct"/>
                  <w:shd w:val="clear" w:color="auto" w:fill="auto"/>
                  <w:vAlign w:val="center"/>
                </w:tcPr>
                <w:p w14:paraId="797626F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916" w:type="pct"/>
                  <w:shd w:val="clear" w:color="auto" w:fill="auto"/>
                  <w:vAlign w:val="center"/>
                </w:tcPr>
                <w:p w14:paraId="600324E0">
                  <w:pPr>
                    <w:pStyle w:val="54"/>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瓶，</w:t>
                  </w:r>
                  <w:r>
                    <w:rPr>
                      <w:rFonts w:hint="eastAsia" w:ascii="Times New Roman" w:hAnsi="Times New Roman" w:eastAsia="宋体" w:cs="Times New Roman"/>
                      <w:color w:val="auto"/>
                      <w:kern w:val="2"/>
                      <w:sz w:val="21"/>
                      <w:szCs w:val="21"/>
                      <w:lang w:val="en-US" w:eastAsia="zh-CN" w:bidi="ar-SA"/>
                    </w:rPr>
                    <w:t>100片/瓶</w:t>
                  </w:r>
                </w:p>
              </w:tc>
              <w:tc>
                <w:tcPr>
                  <w:tcW w:w="520" w:type="pct"/>
                  <w:shd w:val="clear" w:color="auto" w:fill="auto"/>
                  <w:vAlign w:val="center"/>
                </w:tcPr>
                <w:p w14:paraId="19E53047">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4</w:t>
                  </w:r>
                </w:p>
              </w:tc>
              <w:tc>
                <w:tcPr>
                  <w:tcW w:w="413" w:type="pct"/>
                  <w:vMerge w:val="continue"/>
                  <w:vAlign w:val="center"/>
                </w:tcPr>
                <w:p w14:paraId="7915D1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3E78754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外购</w:t>
                  </w:r>
                </w:p>
              </w:tc>
            </w:tr>
            <w:tr w14:paraId="541B4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shd w:val="clear" w:color="auto" w:fill="auto"/>
                  <w:vAlign w:val="center"/>
                </w:tcPr>
                <w:p w14:paraId="2184465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46D4CC46">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rPr>
                      <w:rFonts w:hint="default" w:ascii="Times New Roman" w:hAnsi="Times New Roman" w:eastAsia="宋体" w:cs="Times New Roman"/>
                      <w:b w:val="0"/>
                      <w:color w:val="auto"/>
                      <w:sz w:val="21"/>
                      <w:lang w:val="en-US" w:eastAsia="zh-CN" w:bidi="ar-SA"/>
                    </w:rPr>
                  </w:pPr>
                  <w:r>
                    <w:rPr>
                      <w:rFonts w:hint="eastAsia" w:ascii="Times New Roman" w:hAnsi="Times New Roman" w:cs="Times New Roman"/>
                      <w:b w:val="0"/>
                      <w:color w:val="auto"/>
                      <w:sz w:val="21"/>
                      <w:lang w:val="en-US" w:eastAsia="zh-CN" w:bidi="ar-SA"/>
                    </w:rPr>
                    <w:t>二氧化氯消毒片</w:t>
                  </w:r>
                </w:p>
              </w:tc>
              <w:tc>
                <w:tcPr>
                  <w:tcW w:w="513" w:type="pct"/>
                  <w:shd w:val="clear" w:color="auto" w:fill="auto"/>
                  <w:vAlign w:val="center"/>
                </w:tcPr>
                <w:p w14:paraId="5F1DFA0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lang w:val="en-US" w:eastAsia="zh-CN" w:bidi="ar-SA"/>
                    </w:rPr>
                  </w:pPr>
                  <w:r>
                    <w:rPr>
                      <w:rFonts w:hint="eastAsia" w:ascii="Times New Roman" w:hAnsi="Times New Roman" w:cs="Times New Roman"/>
                      <w:color w:val="auto"/>
                      <w:sz w:val="21"/>
                      <w:lang w:val="en-US" w:eastAsia="zh-CN" w:bidi="ar-SA"/>
                    </w:rPr>
                    <w:t>10</w:t>
                  </w:r>
                </w:p>
              </w:tc>
              <w:tc>
                <w:tcPr>
                  <w:tcW w:w="916" w:type="pct"/>
                  <w:shd w:val="clear" w:color="auto" w:fill="auto"/>
                  <w:vAlign w:val="center"/>
                </w:tcPr>
                <w:p w14:paraId="0A66CE62">
                  <w:pPr>
                    <w:pStyle w:val="54"/>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瓶，</w:t>
                  </w:r>
                  <w:r>
                    <w:rPr>
                      <w:rFonts w:hint="eastAsia" w:ascii="Times New Roman" w:hAnsi="Times New Roman" w:eastAsia="宋体" w:cs="Times New Roman"/>
                      <w:color w:val="auto"/>
                      <w:kern w:val="2"/>
                      <w:sz w:val="21"/>
                      <w:szCs w:val="21"/>
                      <w:lang w:val="en-US" w:eastAsia="zh-CN" w:bidi="ar-SA"/>
                    </w:rPr>
                    <w:t>10片/瓶</w:t>
                  </w:r>
                </w:p>
              </w:tc>
              <w:tc>
                <w:tcPr>
                  <w:tcW w:w="520" w:type="pct"/>
                  <w:shd w:val="clear" w:color="auto" w:fill="auto"/>
                  <w:vAlign w:val="center"/>
                </w:tcPr>
                <w:p w14:paraId="62E5A67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lang w:val="en-US" w:eastAsia="zh-CN" w:bidi="ar-SA"/>
                    </w:rPr>
                  </w:pPr>
                  <w:r>
                    <w:rPr>
                      <w:rFonts w:hint="eastAsia" w:cs="Times New Roman"/>
                      <w:color w:val="auto"/>
                      <w:sz w:val="21"/>
                      <w:lang w:val="en-US" w:eastAsia="zh-CN" w:bidi="ar-SA"/>
                    </w:rPr>
                    <w:t>10</w:t>
                  </w:r>
                </w:p>
              </w:tc>
              <w:tc>
                <w:tcPr>
                  <w:tcW w:w="413" w:type="pct"/>
                  <w:vMerge w:val="continue"/>
                  <w:vAlign w:val="center"/>
                </w:tcPr>
                <w:p w14:paraId="7EAD816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shd w:val="clear" w:color="auto" w:fill="auto"/>
                  <w:vAlign w:val="center"/>
                </w:tcPr>
                <w:p w14:paraId="79FA0C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FD48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restart"/>
                  <w:vAlign w:val="center"/>
                </w:tcPr>
                <w:p w14:paraId="475C0DA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寄养、住院动物</w:t>
                  </w:r>
                </w:p>
              </w:tc>
              <w:tc>
                <w:tcPr>
                  <w:tcW w:w="1334" w:type="pct"/>
                  <w:shd w:val="clear" w:color="auto" w:fill="auto"/>
                  <w:vAlign w:val="center"/>
                </w:tcPr>
                <w:p w14:paraId="3B4EFB6F">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val="en-US" w:eastAsia="zh-CN"/>
                    </w:rPr>
                    <w:t>猫砂</w:t>
                  </w:r>
                </w:p>
              </w:tc>
              <w:tc>
                <w:tcPr>
                  <w:tcW w:w="513" w:type="pct"/>
                  <w:shd w:val="clear" w:color="auto" w:fill="auto"/>
                  <w:vAlign w:val="center"/>
                </w:tcPr>
                <w:p w14:paraId="61B36581">
                  <w:pPr>
                    <w:keepNext w:val="0"/>
                    <w:keepLines w:val="0"/>
                    <w:pageBreakBefore w:val="0"/>
                    <w:kinsoku/>
                    <w:wordWrap/>
                    <w:overflowPunct/>
                    <w:topLinePunct w:val="0"/>
                    <w:autoSpaceDE/>
                    <w:autoSpaceDN/>
                    <w:bidi w:val="0"/>
                    <w:spacing w:line="240" w:lineRule="auto"/>
                    <w:ind w:firstLine="210" w:firstLineChars="1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w:t>
                  </w:r>
                </w:p>
              </w:tc>
              <w:tc>
                <w:tcPr>
                  <w:tcW w:w="916" w:type="pct"/>
                  <w:shd w:val="clear" w:color="auto" w:fill="auto"/>
                  <w:vAlign w:val="center"/>
                </w:tcPr>
                <w:p w14:paraId="3E1C5C7B">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520" w:type="pct"/>
                  <w:shd w:val="clear" w:color="auto" w:fill="auto"/>
                  <w:vAlign w:val="center"/>
                </w:tcPr>
                <w:p w14:paraId="47F0E7E5">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100</w:t>
                  </w:r>
                </w:p>
              </w:tc>
              <w:tc>
                <w:tcPr>
                  <w:tcW w:w="413" w:type="pct"/>
                  <w:vMerge w:val="restart"/>
                  <w:vAlign w:val="center"/>
                </w:tcPr>
                <w:p w14:paraId="197E829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大厅</w:t>
                  </w:r>
                </w:p>
              </w:tc>
              <w:tc>
                <w:tcPr>
                  <w:tcW w:w="590" w:type="pct"/>
                  <w:vAlign w:val="center"/>
                </w:tcPr>
                <w:p w14:paraId="2295B9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2FF75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vAlign w:val="center"/>
                </w:tcPr>
                <w:p w14:paraId="02C8AB1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0B6A0A35">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尿垫</w:t>
                  </w:r>
                </w:p>
              </w:tc>
              <w:tc>
                <w:tcPr>
                  <w:tcW w:w="513" w:type="pct"/>
                  <w:shd w:val="clear" w:color="auto" w:fill="auto"/>
                  <w:vAlign w:val="center"/>
                </w:tcPr>
                <w:p w14:paraId="32D77DA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400</w:t>
                  </w:r>
                </w:p>
              </w:tc>
              <w:tc>
                <w:tcPr>
                  <w:tcW w:w="916" w:type="pct"/>
                  <w:shd w:val="clear" w:color="auto" w:fill="auto"/>
                  <w:vAlign w:val="center"/>
                </w:tcPr>
                <w:p w14:paraId="0ACF13C0">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张</w:t>
                  </w:r>
                </w:p>
              </w:tc>
              <w:tc>
                <w:tcPr>
                  <w:tcW w:w="520" w:type="pct"/>
                  <w:shd w:val="clear" w:color="auto" w:fill="auto"/>
                  <w:vAlign w:val="center"/>
                </w:tcPr>
                <w:p w14:paraId="1341EF3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200</w:t>
                  </w:r>
                </w:p>
              </w:tc>
              <w:tc>
                <w:tcPr>
                  <w:tcW w:w="413" w:type="pct"/>
                  <w:vMerge w:val="continue"/>
                  <w:vAlign w:val="center"/>
                </w:tcPr>
                <w:p w14:paraId="1E2E6DA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vAlign w:val="center"/>
                </w:tcPr>
                <w:p w14:paraId="2CB0E71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4D5B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Merge w:val="continue"/>
                  <w:vAlign w:val="center"/>
                </w:tcPr>
                <w:p w14:paraId="58B2998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334" w:type="pct"/>
                  <w:shd w:val="clear" w:color="auto" w:fill="auto"/>
                  <w:vAlign w:val="center"/>
                </w:tcPr>
                <w:p w14:paraId="07B086F6">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宠物饲料</w:t>
                  </w:r>
                </w:p>
              </w:tc>
              <w:tc>
                <w:tcPr>
                  <w:tcW w:w="513" w:type="pct"/>
                  <w:shd w:val="clear" w:color="auto" w:fill="auto"/>
                  <w:vAlign w:val="center"/>
                </w:tcPr>
                <w:p w14:paraId="0D80E55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2000</w:t>
                  </w:r>
                </w:p>
              </w:tc>
              <w:tc>
                <w:tcPr>
                  <w:tcW w:w="916" w:type="pct"/>
                  <w:shd w:val="clear" w:color="auto" w:fill="auto"/>
                  <w:vAlign w:val="center"/>
                </w:tcPr>
                <w:p w14:paraId="62915276">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520" w:type="pct"/>
                  <w:shd w:val="clear" w:color="auto" w:fill="auto"/>
                  <w:vAlign w:val="center"/>
                </w:tcPr>
                <w:p w14:paraId="114F471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lang w:val="en-US" w:eastAsia="zh-CN" w:bidi="ar-SA"/>
                    </w:rPr>
                    <w:t>100</w:t>
                  </w:r>
                </w:p>
              </w:tc>
              <w:tc>
                <w:tcPr>
                  <w:tcW w:w="413" w:type="pct"/>
                  <w:vMerge w:val="continue"/>
                  <w:vAlign w:val="center"/>
                </w:tcPr>
                <w:p w14:paraId="2BA348E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p>
              </w:tc>
              <w:tc>
                <w:tcPr>
                  <w:tcW w:w="590" w:type="pct"/>
                  <w:vAlign w:val="center"/>
                </w:tcPr>
                <w:p w14:paraId="7096EED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外购</w:t>
                  </w:r>
                </w:p>
              </w:tc>
            </w:tr>
            <w:tr w14:paraId="47F4B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10" w:type="pct"/>
                  <w:gridSpan w:val="2"/>
                  <w:vAlign w:val="center"/>
                </w:tcPr>
                <w:p w14:paraId="299DB1A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334" w:type="pct"/>
                  <w:shd w:val="clear" w:color="auto" w:fill="auto"/>
                  <w:vAlign w:val="center"/>
                </w:tcPr>
                <w:p w14:paraId="7E70D731">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氧气瓶</w:t>
                  </w:r>
                </w:p>
              </w:tc>
              <w:tc>
                <w:tcPr>
                  <w:tcW w:w="513" w:type="pct"/>
                  <w:shd w:val="clear" w:color="auto" w:fill="auto"/>
                  <w:vAlign w:val="center"/>
                </w:tcPr>
                <w:p w14:paraId="7D1F4CEF">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p>
              </w:tc>
              <w:tc>
                <w:tcPr>
                  <w:tcW w:w="916" w:type="pct"/>
                  <w:shd w:val="clear" w:color="auto" w:fill="auto"/>
                  <w:vAlign w:val="center"/>
                </w:tcPr>
                <w:p w14:paraId="01FF7EF6">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eastAsia"/>
                      <w:color w:val="auto"/>
                      <w:sz w:val="21"/>
                      <w:szCs w:val="21"/>
                      <w:lang w:val="en-US" w:eastAsia="zh-CN"/>
                    </w:rPr>
                    <w:t>40L/</w:t>
                  </w:r>
                  <w:r>
                    <w:rPr>
                      <w:rFonts w:hint="eastAsia" w:ascii="Times New Roman" w:hAnsi="Times New Roman"/>
                      <w:color w:val="auto"/>
                      <w:sz w:val="21"/>
                      <w:szCs w:val="21"/>
                      <w:lang w:val="en-US" w:eastAsia="zh-CN"/>
                    </w:rPr>
                    <w:t>罐</w:t>
                  </w:r>
                </w:p>
              </w:tc>
              <w:tc>
                <w:tcPr>
                  <w:tcW w:w="520" w:type="pct"/>
                  <w:shd w:val="clear" w:color="auto" w:fill="auto"/>
                  <w:vAlign w:val="center"/>
                </w:tcPr>
                <w:p w14:paraId="7E28D5B1">
                  <w:pPr>
                    <w:keepNext w:val="0"/>
                    <w:keepLines w:val="0"/>
                    <w:pageBreakBefore w:val="0"/>
                    <w:kinsoku/>
                    <w:wordWrap/>
                    <w:overflowPunct/>
                    <w:topLinePunct w:val="0"/>
                    <w:autoSpaceDE/>
                    <w:autoSpaceDN/>
                    <w:bidi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lang w:val="en-US" w:eastAsia="zh-CN"/>
                    </w:rPr>
                    <w:t>2</w:t>
                  </w:r>
                </w:p>
              </w:tc>
              <w:tc>
                <w:tcPr>
                  <w:tcW w:w="413" w:type="pct"/>
                  <w:vAlign w:val="center"/>
                </w:tcPr>
                <w:p w14:paraId="2E9BF7A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手术室</w:t>
                  </w:r>
                </w:p>
              </w:tc>
              <w:tc>
                <w:tcPr>
                  <w:tcW w:w="590" w:type="pct"/>
                  <w:vAlign w:val="center"/>
                </w:tcPr>
                <w:p w14:paraId="060E95F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1用1备</w:t>
                  </w:r>
                </w:p>
              </w:tc>
            </w:tr>
          </w:tbl>
          <w:p w14:paraId="145B2C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p>
          <w:p w14:paraId="1448A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表2.5-2主要能源消耗情况表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0"/>
              <w:gridCol w:w="1651"/>
              <w:gridCol w:w="1651"/>
              <w:gridCol w:w="1651"/>
            </w:tblGrid>
            <w:tr w14:paraId="19651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49B0E1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序号</w:t>
                  </w:r>
                </w:p>
              </w:tc>
              <w:tc>
                <w:tcPr>
                  <w:tcW w:w="999" w:type="pct"/>
                  <w:tcBorders>
                    <w:tl2br w:val="nil"/>
                    <w:tr2bl w:val="nil"/>
                  </w:tcBorders>
                  <w:vAlign w:val="center"/>
                </w:tcPr>
                <w:p w14:paraId="03D50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名称</w:t>
                  </w:r>
                </w:p>
              </w:tc>
              <w:tc>
                <w:tcPr>
                  <w:tcW w:w="1000" w:type="pct"/>
                  <w:tcBorders>
                    <w:tl2br w:val="nil"/>
                    <w:tr2bl w:val="nil"/>
                  </w:tcBorders>
                  <w:vAlign w:val="center"/>
                </w:tcPr>
                <w:p w14:paraId="7C840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单位</w:t>
                  </w:r>
                </w:p>
              </w:tc>
              <w:tc>
                <w:tcPr>
                  <w:tcW w:w="1000" w:type="pct"/>
                  <w:tcBorders>
                    <w:tl2br w:val="nil"/>
                    <w:tr2bl w:val="nil"/>
                  </w:tcBorders>
                  <w:vAlign w:val="center"/>
                </w:tcPr>
                <w:p w14:paraId="2F3A9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年消耗量</w:t>
                  </w:r>
                </w:p>
              </w:tc>
              <w:tc>
                <w:tcPr>
                  <w:tcW w:w="1000" w:type="pct"/>
                  <w:tcBorders>
                    <w:tl2br w:val="nil"/>
                    <w:tr2bl w:val="nil"/>
                  </w:tcBorders>
                  <w:vAlign w:val="center"/>
                </w:tcPr>
                <w:p w14:paraId="37951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备注</w:t>
                  </w:r>
                </w:p>
              </w:tc>
            </w:tr>
            <w:tr w14:paraId="6CC15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5D972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1</w:t>
                  </w:r>
                </w:p>
              </w:tc>
              <w:tc>
                <w:tcPr>
                  <w:tcW w:w="999" w:type="pct"/>
                  <w:tcBorders>
                    <w:tl2br w:val="nil"/>
                    <w:tr2bl w:val="nil"/>
                  </w:tcBorders>
                  <w:vAlign w:val="center"/>
                </w:tcPr>
                <w:p w14:paraId="3E5EA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水</w:t>
                  </w:r>
                </w:p>
              </w:tc>
              <w:tc>
                <w:tcPr>
                  <w:tcW w:w="1000" w:type="pct"/>
                  <w:tcBorders>
                    <w:tl2br w:val="nil"/>
                    <w:tr2bl w:val="nil"/>
                  </w:tcBorders>
                  <w:vAlign w:val="center"/>
                </w:tcPr>
                <w:p w14:paraId="41136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t</w:t>
                  </w:r>
                </w:p>
              </w:tc>
              <w:tc>
                <w:tcPr>
                  <w:tcW w:w="1000" w:type="pct"/>
                  <w:tcBorders>
                    <w:tl2br w:val="nil"/>
                    <w:tr2bl w:val="nil"/>
                  </w:tcBorders>
                  <w:vAlign w:val="center"/>
                </w:tcPr>
                <w:p w14:paraId="13A413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547.1715</w:t>
                  </w:r>
                </w:p>
              </w:tc>
              <w:tc>
                <w:tcPr>
                  <w:tcW w:w="1000" w:type="pct"/>
                  <w:tcBorders>
                    <w:tl2br w:val="nil"/>
                    <w:tr2bl w:val="nil"/>
                  </w:tcBorders>
                  <w:vAlign w:val="center"/>
                </w:tcPr>
                <w:p w14:paraId="6C872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市政</w:t>
                  </w:r>
                </w:p>
              </w:tc>
            </w:tr>
            <w:tr w14:paraId="724E8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200363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w:t>
                  </w:r>
                </w:p>
              </w:tc>
              <w:tc>
                <w:tcPr>
                  <w:tcW w:w="999" w:type="pct"/>
                  <w:tcBorders>
                    <w:tl2br w:val="nil"/>
                    <w:tr2bl w:val="nil"/>
                  </w:tcBorders>
                  <w:vAlign w:val="center"/>
                </w:tcPr>
                <w:p w14:paraId="6F72EB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电</w:t>
                  </w:r>
                </w:p>
              </w:tc>
              <w:tc>
                <w:tcPr>
                  <w:tcW w:w="1000" w:type="pct"/>
                  <w:tcBorders>
                    <w:tl2br w:val="nil"/>
                    <w:tr2bl w:val="nil"/>
                  </w:tcBorders>
                  <w:vAlign w:val="center"/>
                </w:tcPr>
                <w:p w14:paraId="1A7E39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万度</w:t>
                  </w:r>
                </w:p>
              </w:tc>
              <w:tc>
                <w:tcPr>
                  <w:tcW w:w="1000" w:type="pct"/>
                  <w:tcBorders>
                    <w:tl2br w:val="nil"/>
                    <w:tr2bl w:val="nil"/>
                  </w:tcBorders>
                  <w:vAlign w:val="center"/>
                </w:tcPr>
                <w:p w14:paraId="1C30D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1.5</w:t>
                  </w:r>
                </w:p>
              </w:tc>
              <w:tc>
                <w:tcPr>
                  <w:tcW w:w="1000" w:type="pct"/>
                  <w:tcBorders>
                    <w:tl2br w:val="nil"/>
                    <w:tr2bl w:val="nil"/>
                  </w:tcBorders>
                  <w:vAlign w:val="center"/>
                </w:tcPr>
                <w:p w14:paraId="53EF08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市政</w:t>
                  </w:r>
                </w:p>
              </w:tc>
            </w:tr>
          </w:tbl>
          <w:p w14:paraId="45334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表2.5-3 原辅材料主要成分及理化性质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089"/>
            </w:tblGrid>
            <w:tr w14:paraId="1AEDD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02613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名称</w:t>
                  </w:r>
                </w:p>
              </w:tc>
              <w:tc>
                <w:tcPr>
                  <w:tcW w:w="4294" w:type="pct"/>
                  <w:tcBorders>
                    <w:tl2br w:val="nil"/>
                    <w:tr2bl w:val="nil"/>
                  </w:tcBorders>
                  <w:vAlign w:val="center"/>
                </w:tcPr>
                <w:p w14:paraId="30A61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理化性质</w:t>
                  </w:r>
                </w:p>
              </w:tc>
            </w:tr>
            <w:tr w14:paraId="71464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5CBAD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75%酒精</w:t>
                  </w:r>
                </w:p>
              </w:tc>
              <w:tc>
                <w:tcPr>
                  <w:tcW w:w="4294" w:type="pct"/>
                  <w:tcBorders>
                    <w:tl2br w:val="nil"/>
                    <w:tr2bl w:val="nil"/>
                  </w:tcBorders>
                  <w:vAlign w:val="center"/>
                </w:tcPr>
                <w:p w14:paraId="381485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18F04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27B75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碘伏</w:t>
                  </w:r>
                </w:p>
              </w:tc>
              <w:tc>
                <w:tcPr>
                  <w:tcW w:w="4294" w:type="pct"/>
                  <w:tcBorders>
                    <w:tl2br w:val="nil"/>
                    <w:tr2bl w:val="nil"/>
                  </w:tcBorders>
                  <w:vAlign w:val="center"/>
                </w:tcPr>
                <w:p w14:paraId="23A1F39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碘伏是单质碘与聚乙烯吡咯烷酮的不定型结合物。医用碘伏通常浓度较低（1%或以下），呈现浅棕色。碘伏具有广谱杀菌作用，可杀灭细菌繁殖体真菌、原虫和部分病毒。在医疗上用作杀菌消毒剂，可用于皮肤、粘膜的消毒，可用于手术前和其它皮肤的消毒、各种注射部位皮肤消毒、器械浸泡消毒等。</w:t>
                  </w:r>
                </w:p>
              </w:tc>
            </w:tr>
            <w:tr w14:paraId="72356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774D0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新洁</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尔</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灭</w:t>
                  </w:r>
                </w:p>
              </w:tc>
              <w:tc>
                <w:tcPr>
                  <w:tcW w:w="4294" w:type="pct"/>
                  <w:tcBorders>
                    <w:tl2br w:val="nil"/>
                    <w:tr2bl w:val="nil"/>
                  </w:tcBorders>
                  <w:vAlign w:val="center"/>
                </w:tcPr>
                <w:p w14:paraId="10FD687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白色腊状固体或黄色胶状体。熔点46-48℃，闪点大于110℃，易溶于水或乙醇，有芳香味，味极苦。强力振摇时产生大量泡沫。新洁尔灭用途：常用的季铵盐阳离子表面活性剂，具有优异的杀菌力和去污力。</w:t>
                  </w:r>
                </w:p>
              </w:tc>
            </w:tr>
            <w:tr w14:paraId="3F5A1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62011D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84消毒液</w:t>
                  </w:r>
                </w:p>
              </w:tc>
              <w:tc>
                <w:tcPr>
                  <w:tcW w:w="4294" w:type="pct"/>
                  <w:tcBorders>
                    <w:tl2br w:val="nil"/>
                    <w:tr2bl w:val="nil"/>
                  </w:tcBorders>
                  <w:vAlign w:val="center"/>
                </w:tcPr>
                <w:p w14:paraId="7522727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淡黄绿色、液态、刺激性气味、能溶于水。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 消毒液具有较强的挥发性，放置过久，尤其是稀释后的使用液，有效成分会挥发或降解，逐渐失去对微生物的杀灭作用，直至失效。</w:t>
                  </w:r>
                </w:p>
              </w:tc>
            </w:tr>
            <w:tr w14:paraId="5071A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0468E075">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二氧化氯</w:t>
                  </w:r>
                </w:p>
                <w:p w14:paraId="1BDB96E8">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kern w:val="2"/>
                      <w:sz w:val="21"/>
                      <w:szCs w:val="21"/>
                      <w:lang w:val="en-US" w:eastAsia="zh-CN" w:bidi="ar-SA"/>
                    </w:rPr>
                    <w:t>消毒片</w:t>
                  </w:r>
                </w:p>
              </w:tc>
              <w:tc>
                <w:tcPr>
                  <w:tcW w:w="7089" w:type="dxa"/>
                  <w:tcBorders>
                    <w:tl2br w:val="nil"/>
                    <w:tr2bl w:val="nil"/>
                  </w:tcBorders>
                  <w:vAlign w:val="center"/>
                </w:tcPr>
                <w:p w14:paraId="19F4E445">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kern w:val="2"/>
                      <w:sz w:val="21"/>
                      <w:szCs w:val="21"/>
                      <w:highlight w:val="none"/>
                      <w:lang w:val="en-US" w:eastAsia="zh-CN" w:bidi="ar-SA"/>
                    </w:rPr>
                    <w:t>固态，主要成分为二氧化氯，又被称作为二氧化氯泡腾片，属于一种安全环保的消毒片，杀菌能力不受pH值影响，具有消毒和杀菌的作用，在日常生活中应用比较广泛，可以作用于医疗器械、医院病房、传染病房、手术室，可以直接作用于室内消毒等。本项目主要用于医疗废水消毒。</w:t>
                  </w:r>
                </w:p>
              </w:tc>
            </w:tr>
            <w:tr w14:paraId="628D1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6CDDC9EB">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三氯异氰尿酸消毒片</w:t>
                  </w:r>
                </w:p>
              </w:tc>
              <w:tc>
                <w:tcPr>
                  <w:tcW w:w="7089" w:type="dxa"/>
                  <w:tcBorders>
                    <w:tl2br w:val="nil"/>
                    <w:tr2bl w:val="nil"/>
                  </w:tcBorders>
                  <w:vAlign w:val="center"/>
                </w:tcPr>
                <w:p w14:paraId="6E6F7D1A">
                  <w:pPr>
                    <w:pStyle w:val="51"/>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有机化合物，白色结晶性粉末或粒状固体，具有强烈的氯气刺激味。三氯异氰尿酸是一种极强的氧化剂和氯化剂，具有高效、广谱、较为安全的消毒作用，对细菌、病毒、真菌、芽孢等都有杀灭作用，对球虫卵囊也有一定杀灭作用。</w:t>
                  </w:r>
                </w:p>
              </w:tc>
            </w:tr>
            <w:tr w14:paraId="573FC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4" w:type="dxa"/>
                  <w:tcBorders>
                    <w:tl2br w:val="nil"/>
                    <w:tr2bl w:val="nil"/>
                  </w:tcBorders>
                  <w:vAlign w:val="center"/>
                </w:tcPr>
                <w:p w14:paraId="6E7066D2">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异氟烷</w:t>
                  </w:r>
                </w:p>
              </w:tc>
              <w:tc>
                <w:tcPr>
                  <w:tcW w:w="7089" w:type="dxa"/>
                  <w:tcBorders>
                    <w:tl2br w:val="nil"/>
                    <w:tr2bl w:val="nil"/>
                  </w:tcBorders>
                  <w:vAlign w:val="center"/>
                </w:tcPr>
                <w:p w14:paraId="6839ADEA">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属吸入性麻醉药，麻醉诱导和复苏均较快，麻醉时无交感神经系统兴奋现象，可使心脏对肾上腺素的作用稍有增敏，有一定的肌松作用，在肝脏的代谢率低，对肝脏毒性小。</w:t>
                  </w:r>
                </w:p>
              </w:tc>
            </w:tr>
          </w:tbl>
          <w:p w14:paraId="7523DDD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2.6劳动定员及工作制度</w:t>
            </w:r>
          </w:p>
          <w:p w14:paraId="25BCEA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劳动定员：项目劳动定员</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人，不提供</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食堂及住宿</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67413F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工作制度：年工作日为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天，实行一班制，</w:t>
            </w:r>
            <w:r>
              <w:rPr>
                <w:rFonts w:hint="eastAsia"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r>
              <w:rPr>
                <w:rFonts w:hint="eastAsia"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00。</w:t>
            </w:r>
          </w:p>
          <w:p w14:paraId="3F4843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2.7总平面布置</w:t>
            </w:r>
          </w:p>
          <w:p w14:paraId="284E39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本项目租赁</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cs="Times New Roman"/>
                <w:b w:val="0"/>
                <w:bCs/>
                <w:color w:val="000000" w:themeColor="text1"/>
                <w:sz w:val="24"/>
                <w:szCs w:val="24"/>
                <w:highlight w:val="none"/>
                <w:lang w:val="en-US" w:eastAsia="zh-CN"/>
                <w14:textFill>
                  <w14:solidFill>
                    <w14:schemeClr w14:val="tx1"/>
                  </w14:solidFill>
                </w14:textFill>
              </w:rPr>
              <w:t>商铺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进行运营，门面</w:t>
            </w:r>
            <w:r>
              <w:rPr>
                <w:rFonts w:hint="eastAsia" w:cs="Times New Roman"/>
                <w:b w:val="0"/>
                <w:bCs/>
                <w:color w:val="000000" w:themeColor="text1"/>
                <w:sz w:val="24"/>
                <w:szCs w:val="24"/>
                <w:highlight w:val="none"/>
                <w:lang w:val="en-US" w:eastAsia="zh-CN"/>
                <w14:textFill>
                  <w14:solidFill>
                    <w14:schemeClr w14:val="tx1"/>
                  </w14:solidFill>
                </w14:textFill>
              </w:rPr>
              <w:t>大致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呈</w:t>
            </w:r>
            <w:r>
              <w:rPr>
                <w:rFonts w:hint="eastAsia" w:cs="Times New Roman"/>
                <w:b w:val="0"/>
                <w:bCs/>
                <w:color w:val="000000" w:themeColor="text1"/>
                <w:sz w:val="24"/>
                <w:szCs w:val="24"/>
                <w:highlight w:val="none"/>
                <w:lang w:val="en-US" w:eastAsia="zh-CN"/>
                <w14:textFill>
                  <w14:solidFill>
                    <w14:schemeClr w14:val="tx1"/>
                  </w14:solidFill>
                </w14:textFill>
              </w:rPr>
              <w:t>矩形</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，本项目共设置1个出入口，位于医院</w:t>
            </w:r>
            <w:r>
              <w:rPr>
                <w:rFonts w:hint="eastAsia" w:cs="Times New Roman"/>
                <w:b w:val="0"/>
                <w:bCs/>
                <w:color w:val="000000" w:themeColor="text1"/>
                <w:sz w:val="24"/>
                <w:szCs w:val="24"/>
                <w:highlight w:val="none"/>
                <w:lang w:val="en-US" w:eastAsia="zh-CN"/>
                <w14:textFill>
                  <w14:solidFill>
                    <w14:schemeClr w14:val="tx1"/>
                  </w14:solidFill>
                </w14:textFill>
              </w:rPr>
              <w:t>南</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侧，仅供医院使用，不在居民住宅楼内，且不与同建筑物的其他商业用户共用出入口，符合《动物诊疗机构管理办法》（农业农村部令2022年第5号）相关要求。</w:t>
            </w:r>
          </w:p>
          <w:p w14:paraId="45B282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医院入口处为</w:t>
            </w:r>
            <w:r>
              <w:rPr>
                <w:rFonts w:hint="eastAsia" w:cs="Times New Roman"/>
                <w:b w:val="0"/>
                <w:bCs/>
                <w:color w:val="000000" w:themeColor="text1"/>
                <w:sz w:val="24"/>
                <w:szCs w:val="24"/>
                <w:highlight w:val="none"/>
                <w:lang w:val="en-US" w:eastAsia="zh-CN"/>
                <w14:textFill>
                  <w14:solidFill>
                    <w14:schemeClr w14:val="tx1"/>
                  </w14:solidFill>
                </w14:textFill>
              </w:rPr>
              <w:t>大厅</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大厅内设置为顾客等待区，西侧为产品区。入口处往呗走，东</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侧</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分别为</w:t>
            </w:r>
            <w:r>
              <w:rPr>
                <w:rFonts w:hint="eastAsia" w:cs="Times New Roman"/>
                <w:b w:val="0"/>
                <w:bCs/>
                <w:color w:val="000000" w:themeColor="text1"/>
                <w:sz w:val="24"/>
                <w:szCs w:val="24"/>
                <w:highlight w:val="none"/>
                <w:lang w:val="en-US" w:eastAsia="zh-CN"/>
                <w14:textFill>
                  <w14:solidFill>
                    <w14:schemeClr w14:val="tx1"/>
                  </w14:solidFill>
                </w14:textFill>
              </w:rPr>
              <w:t>诊室、免疫室、寄养室、犬住院室、美容室、卫生间，西侧分别为化验室、药房、猫住院室、DR室、手术室、隔离室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。项目分区明确，犬、猫</w:t>
            </w:r>
            <w:r>
              <w:rPr>
                <w:rFonts w:hint="eastAsia" w:cs="Times New Roman"/>
                <w:b w:val="0"/>
                <w:bCs/>
                <w:color w:val="000000" w:themeColor="text1"/>
                <w:sz w:val="24"/>
                <w:szCs w:val="24"/>
                <w:highlight w:val="none"/>
                <w:lang w:val="en-US" w:eastAsia="zh-CN"/>
                <w14:textFill>
                  <w14:solidFill>
                    <w14:schemeClr w14:val="tx1"/>
                  </w14:solidFill>
                </w14:textFill>
              </w:rPr>
              <w:t>住院室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和隔离室分开设置，有效避免交叉感染，采取封闭式管理，非工作人员不得随意进入，可有效防止臭味扩散。</w:t>
            </w:r>
          </w:p>
          <w:p w14:paraId="3B1556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医废暂存点位于</w:t>
            </w:r>
            <w:r>
              <w:rPr>
                <w:rFonts w:hint="eastAsia" w:cs="Times New Roman"/>
                <w:b w:val="0"/>
                <w:bCs/>
                <w:color w:val="000000" w:themeColor="text1"/>
                <w:sz w:val="24"/>
                <w:szCs w:val="24"/>
                <w:highlight w:val="none"/>
                <w:lang w:val="en-US" w:eastAsia="zh-CN"/>
                <w14:textFill>
                  <w14:solidFill>
                    <w14:schemeClr w14:val="tx1"/>
                  </w14:solidFill>
                </w14:textFill>
              </w:rPr>
              <w:t>化验室内</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与</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诊疗及住院区域</w:t>
            </w:r>
            <w:r>
              <w:rPr>
                <w:rFonts w:hint="eastAsia" w:cs="Times New Roman"/>
                <w:b w:val="0"/>
                <w:bCs/>
                <w:color w:val="000000" w:themeColor="text1"/>
                <w:sz w:val="24"/>
                <w:szCs w:val="24"/>
                <w:highlight w:val="none"/>
                <w:lang w:val="en-US" w:eastAsia="zh-CN"/>
                <w14:textFill>
                  <w14:solidFill>
                    <w14:schemeClr w14:val="tx1"/>
                  </w14:solidFill>
                </w14:textFill>
              </w:rPr>
              <w:t>隔开</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。医废暂存点设加盖收集桶分类暂存医疗废物和其他危险废物，并在下班后避开高峰时段外运，交重庆</w:t>
            </w:r>
            <w:r>
              <w:rPr>
                <w:rFonts w:hint="eastAsia" w:cs="Times New Roman"/>
                <w:b w:val="0"/>
                <w:bCs/>
                <w:color w:val="000000" w:themeColor="text1"/>
                <w:sz w:val="24"/>
                <w:szCs w:val="24"/>
                <w:highlight w:val="none"/>
                <w:lang w:val="en-US" w:eastAsia="zh-CN"/>
                <w14:textFill>
                  <w14:solidFill>
                    <w14:schemeClr w14:val="tx1"/>
                  </w14:solidFill>
                </w14:textFill>
              </w:rPr>
              <w:t>可厚德环保技术</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有限公司收运处置。</w:t>
            </w:r>
          </w:p>
          <w:p w14:paraId="43BA9B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企业</w:t>
            </w:r>
            <w:r>
              <w:rPr>
                <w:rFonts w:hint="eastAsia" w:cs="Times New Roman"/>
                <w:b w:val="0"/>
                <w:bCs/>
                <w:color w:val="auto"/>
                <w:sz w:val="24"/>
                <w:szCs w:val="24"/>
                <w:highlight w:val="none"/>
                <w:lang w:val="en-US" w:eastAsia="zh-CN"/>
              </w:rPr>
              <w:t>设置有2</w:t>
            </w:r>
            <w:r>
              <w:rPr>
                <w:rFonts w:hint="eastAsia" w:ascii="Times New Roman" w:hAnsi="Times New Roman" w:eastAsia="宋体" w:cs="Times New Roman"/>
                <w:b w:val="0"/>
                <w:bCs/>
                <w:color w:val="auto"/>
                <w:sz w:val="24"/>
                <w:szCs w:val="24"/>
                <w:highlight w:val="none"/>
                <w:lang w:val="en-US" w:eastAsia="zh-CN"/>
              </w:rPr>
              <w:t>套消毒箱</w:t>
            </w:r>
            <w:r>
              <w:rPr>
                <w:rFonts w:hint="eastAsia" w:cs="Times New Roman"/>
                <w:b w:val="0"/>
                <w:bCs/>
                <w:color w:val="auto"/>
                <w:sz w:val="24"/>
                <w:szCs w:val="24"/>
                <w:highlight w:val="none"/>
                <w:lang w:val="en-US" w:eastAsia="zh-CN"/>
              </w:rPr>
              <w:t>，分别</w:t>
            </w:r>
            <w:r>
              <w:rPr>
                <w:rFonts w:hint="eastAsia" w:ascii="Times New Roman" w:hAnsi="Times New Roman" w:eastAsia="宋体" w:cs="Times New Roman"/>
                <w:b w:val="0"/>
                <w:bCs/>
                <w:color w:val="auto"/>
                <w:sz w:val="24"/>
                <w:szCs w:val="24"/>
                <w:highlight w:val="none"/>
                <w:lang w:val="en-US" w:eastAsia="zh-CN"/>
              </w:rPr>
              <w:t>置于</w:t>
            </w:r>
            <w:r>
              <w:rPr>
                <w:rFonts w:hint="eastAsia" w:cs="Times New Roman"/>
                <w:b w:val="0"/>
                <w:bCs/>
                <w:color w:val="auto"/>
                <w:sz w:val="24"/>
                <w:szCs w:val="24"/>
                <w:highlight w:val="none"/>
                <w:lang w:val="en-US" w:eastAsia="zh-CN"/>
              </w:rPr>
              <w:t>手术室洗手台、中央处置台</w:t>
            </w:r>
            <w:r>
              <w:rPr>
                <w:rFonts w:hint="eastAsia" w:ascii="Times New Roman" w:hAnsi="Times New Roman" w:eastAsia="宋体" w:cs="Times New Roman"/>
                <w:b w:val="0"/>
                <w:bCs/>
                <w:color w:val="auto"/>
                <w:sz w:val="24"/>
                <w:szCs w:val="24"/>
                <w:highlight w:val="none"/>
                <w:lang w:val="en-US" w:eastAsia="zh-CN"/>
              </w:rPr>
              <w:t>下方，医疗废水经消毒设施预处理后排入</w:t>
            </w:r>
            <w:r>
              <w:rPr>
                <w:rFonts w:hint="eastAsia" w:cs="Times New Roman"/>
                <w:b w:val="0"/>
                <w:bCs/>
                <w:color w:val="auto"/>
                <w:sz w:val="24"/>
                <w:szCs w:val="24"/>
                <w:highlight w:val="none"/>
                <w:lang w:val="en-US" w:eastAsia="zh-CN"/>
              </w:rPr>
              <w:t>弘悦101已建</w:t>
            </w:r>
            <w:r>
              <w:rPr>
                <w:rFonts w:hint="eastAsia" w:ascii="Times New Roman" w:hAnsi="Times New Roman" w:eastAsia="宋体" w:cs="Times New Roman"/>
                <w:b w:val="0"/>
                <w:bCs/>
                <w:color w:val="auto"/>
                <w:sz w:val="24"/>
                <w:szCs w:val="24"/>
                <w:highlight w:val="none"/>
                <w:lang w:val="en-US" w:eastAsia="zh-CN"/>
              </w:rPr>
              <w:t>生化池</w:t>
            </w:r>
            <w:r>
              <w:rPr>
                <w:rFonts w:hint="default" w:ascii="Times New Roman" w:hAnsi="Times New Roman" w:eastAsia="宋体" w:cs="Times New Roman"/>
                <w:b w:val="0"/>
                <w:bCs/>
                <w:color w:val="auto"/>
                <w:sz w:val="24"/>
                <w:szCs w:val="24"/>
                <w:highlight w:val="none"/>
                <w:lang w:val="en-US" w:eastAsia="zh-CN"/>
              </w:rPr>
              <w:t>处理达标后排入市政污水管网</w:t>
            </w:r>
            <w:r>
              <w:rPr>
                <w:rFonts w:hint="eastAsia" w:ascii="Times New Roman" w:hAnsi="Times New Roman" w:eastAsia="宋体" w:cs="Times New Roman"/>
                <w:b w:val="0"/>
                <w:bCs/>
                <w:color w:val="auto"/>
                <w:sz w:val="24"/>
                <w:szCs w:val="24"/>
                <w:highlight w:val="none"/>
                <w:lang w:val="en-US" w:eastAsia="zh-CN"/>
              </w:rPr>
              <w:t>。</w:t>
            </w:r>
          </w:p>
          <w:p w14:paraId="2DF202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综上，本项目各功能区分区明确，布局清晰合理，总体布局合理。</w:t>
            </w:r>
          </w:p>
          <w:p w14:paraId="43D82F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2.8公用工程</w:t>
            </w:r>
          </w:p>
          <w:p w14:paraId="4B52E6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2.8.1供水</w:t>
            </w:r>
          </w:p>
          <w:p w14:paraId="535C69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（1）给水水源</w:t>
            </w:r>
          </w:p>
          <w:p w14:paraId="3A31A4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项目供水主要来自市政自来水厂，利用市政给水管接口接入。</w:t>
            </w:r>
          </w:p>
          <w:p w14:paraId="48BE3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（2）用水量</w:t>
            </w:r>
          </w:p>
          <w:p w14:paraId="7A8333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项目不提供食堂</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及住宿</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。项目用水主要为职工生活用水、流动顾客用水、</w:t>
            </w:r>
            <w:r>
              <w:rPr>
                <w:rFonts w:hint="eastAsia" w:cs="Times New Roman"/>
                <w:b w:val="0"/>
                <w:bCs/>
                <w:color w:val="000000" w:themeColor="text1"/>
                <w:sz w:val="24"/>
                <w:szCs w:val="24"/>
                <w:highlight w:val="none"/>
                <w:lang w:val="en-US" w:eastAsia="zh-CN"/>
                <w14:textFill>
                  <w14:solidFill>
                    <w14:schemeClr w14:val="tx1"/>
                  </w14:solidFill>
                </w14:textFill>
              </w:rPr>
              <w:t>化验用水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、宠物笼清洗用水、手术器械清洗用水、地面清洁用水、工服清洗用水、宠物饮用水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、宠物毛毯清洗用水、美容洗浴用水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219FFE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①生活用水</w:t>
            </w:r>
          </w:p>
          <w:p w14:paraId="2BDA2A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项目生活用水包括职工生活用水、流动顾客用水。</w:t>
            </w:r>
          </w:p>
          <w:p w14:paraId="3F2CD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职工生活用水：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项目劳动定员</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人，根据《建筑给水排水设计标准》（GB50015-2019），职工生活用水量按照</w:t>
            </w:r>
            <w:r>
              <w:rPr>
                <w:rFonts w:hint="default" w:ascii="Times New Roman" w:hAnsi="Times New Roman" w:cs="Times New Roman"/>
                <w:b w:val="0"/>
                <w:bCs/>
                <w:color w:val="auto"/>
                <w:sz w:val="24"/>
                <w:szCs w:val="24"/>
                <w:highlight w:val="none"/>
                <w:lang w:val="en-US" w:eastAsia="zh-CN"/>
              </w:rPr>
              <w:t>50L/（人·d）计，则职工生活用水量约</w:t>
            </w:r>
            <w:r>
              <w:rPr>
                <w:rFonts w:hint="eastAsia" w:cs="Times New Roman"/>
                <w:b w:val="0"/>
                <w:bCs/>
                <w:color w:val="auto"/>
                <w:sz w:val="24"/>
                <w:szCs w:val="24"/>
                <w:highlight w:val="none"/>
                <w:lang w:val="en-US" w:eastAsia="zh-CN"/>
              </w:rPr>
              <w:t>0.15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54.75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/a）。生活污水排污系数按0.9计。</w:t>
            </w:r>
          </w:p>
          <w:p w14:paraId="403156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流动顾客用水：</w:t>
            </w:r>
            <w:r>
              <w:rPr>
                <w:rFonts w:hint="default" w:ascii="Times New Roman" w:hAnsi="Times New Roman" w:cs="Times New Roman"/>
                <w:b w:val="0"/>
                <w:bCs/>
                <w:color w:val="auto"/>
                <w:sz w:val="24"/>
                <w:szCs w:val="24"/>
                <w:highlight w:val="none"/>
                <w:lang w:val="en-US" w:eastAsia="zh-CN"/>
              </w:rPr>
              <w:t>流动顾客规模为门诊客人总人数</w:t>
            </w:r>
            <w:r>
              <w:rPr>
                <w:rFonts w:hint="eastAsia" w:ascii="Times New Roman" w:hAnsi="Times New Roman" w:cs="Times New Roman"/>
                <w:b w:val="0"/>
                <w:bCs/>
                <w:color w:val="auto"/>
                <w:sz w:val="24"/>
                <w:szCs w:val="24"/>
                <w:highlight w:val="none"/>
                <w:lang w:val="en-US" w:eastAsia="zh-CN"/>
              </w:rPr>
              <w:t>及美容服务客人总人数</w:t>
            </w:r>
            <w:r>
              <w:rPr>
                <w:rFonts w:hint="default" w:ascii="Times New Roman" w:hAnsi="Times New Roman" w:cs="Times New Roman"/>
                <w:b w:val="0"/>
                <w:bCs/>
                <w:color w:val="auto"/>
                <w:sz w:val="24"/>
                <w:szCs w:val="24"/>
                <w:highlight w:val="none"/>
                <w:lang w:val="en-US" w:eastAsia="zh-CN"/>
              </w:rPr>
              <w:t>，按每只宠物由1名主人携带就诊考虑，即宠物主人约</w:t>
            </w:r>
            <w:r>
              <w:rPr>
                <w:rFonts w:hint="eastAsia" w:cs="Times New Roman"/>
                <w:b w:val="0"/>
                <w:bCs/>
                <w:color w:val="auto"/>
                <w:sz w:val="24"/>
                <w:szCs w:val="24"/>
                <w:highlight w:val="none"/>
                <w:lang w:val="en-US" w:eastAsia="zh-CN"/>
              </w:rPr>
              <w:t>36</w:t>
            </w:r>
            <w:r>
              <w:rPr>
                <w:rFonts w:hint="default" w:ascii="Times New Roman" w:hAnsi="Times New Roman" w:cs="Times New Roman"/>
                <w:b w:val="0"/>
                <w:bCs/>
                <w:color w:val="auto"/>
                <w:sz w:val="24"/>
                <w:szCs w:val="24"/>
                <w:highlight w:val="none"/>
                <w:lang w:val="en-US" w:eastAsia="zh-CN"/>
              </w:rPr>
              <w:t>人次/d，类比同类宠物医院项目，流动顾客用水量按照10L/人·次计，则流动顾客用水量约</w:t>
            </w:r>
            <w:r>
              <w:rPr>
                <w:rFonts w:hint="eastAsia" w:cs="Times New Roman"/>
                <w:b w:val="0"/>
                <w:bCs/>
                <w:color w:val="auto"/>
                <w:sz w:val="24"/>
                <w:szCs w:val="24"/>
                <w:highlight w:val="none"/>
                <w:lang w:val="en-US" w:eastAsia="zh-CN"/>
              </w:rPr>
              <w:t>0.36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131.4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。流动顾客污水排污系数按0.9计。</w:t>
            </w:r>
          </w:p>
          <w:p w14:paraId="583A4E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②医疗废水</w:t>
            </w:r>
          </w:p>
          <w:p w14:paraId="610E8B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项目医疗用水包括手术器械清洗用水、</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、宠物笼清洗用水、住院宠物饮用水</w:t>
            </w:r>
            <w:r>
              <w:rPr>
                <w:rFonts w:hint="eastAsia" w:cs="Times New Roman"/>
                <w:b w:val="0"/>
                <w:bCs/>
                <w:color w:val="auto"/>
                <w:sz w:val="24"/>
                <w:szCs w:val="24"/>
                <w:highlight w:val="none"/>
                <w:lang w:val="en-US" w:eastAsia="zh-CN"/>
              </w:rPr>
              <w:t>、狗隔离室洗手用水、猫隔离室洗手用水</w:t>
            </w:r>
            <w:r>
              <w:rPr>
                <w:rFonts w:hint="default" w:ascii="Times New Roman" w:hAnsi="Times New Roman" w:cs="Times New Roman"/>
                <w:b w:val="0"/>
                <w:bCs/>
                <w:color w:val="auto"/>
                <w:sz w:val="24"/>
                <w:szCs w:val="24"/>
                <w:highlight w:val="none"/>
                <w:lang w:val="en-US" w:eastAsia="zh-CN"/>
              </w:rPr>
              <w:t>。</w:t>
            </w:r>
          </w:p>
          <w:p w14:paraId="06B9E6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手术器械清洗用水：</w:t>
            </w:r>
            <w:r>
              <w:rPr>
                <w:rFonts w:hint="default" w:ascii="Times New Roman" w:hAnsi="Times New Roman" w:cs="Times New Roman"/>
                <w:b w:val="0"/>
                <w:bCs/>
                <w:color w:val="auto"/>
                <w:sz w:val="24"/>
                <w:szCs w:val="24"/>
                <w:highlight w:val="none"/>
                <w:lang w:val="en-US" w:eastAsia="zh-CN"/>
              </w:rPr>
              <w:t>根据建设单位提供资料及类比同类型宠物医院，手术器械清洗用水量约5L/台，项目每日最大手术量约</w:t>
            </w:r>
            <w:r>
              <w:rPr>
                <w:rFonts w:hint="eastAsia"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val="en-US" w:eastAsia="zh-CN"/>
              </w:rPr>
              <w:t>台，则手术器械清洗用水量约0.0</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7.3</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eastAsia" w:cs="Times New Roman"/>
                <w:b w:val="0"/>
                <w:bCs/>
                <w:color w:val="auto"/>
                <w:sz w:val="24"/>
                <w:szCs w:val="24"/>
                <w:highlight w:val="none"/>
                <w:lang w:val="en-US" w:eastAsia="zh-CN"/>
              </w:rPr>
              <w:t>a</w:t>
            </w:r>
            <w:r>
              <w:rPr>
                <w:rFonts w:hint="default" w:ascii="Times New Roman" w:hAnsi="Times New Roman" w:cs="Times New Roman"/>
                <w:b w:val="0"/>
                <w:bCs/>
                <w:color w:val="auto"/>
                <w:sz w:val="24"/>
                <w:szCs w:val="24"/>
                <w:highlight w:val="none"/>
                <w:lang w:val="en-US" w:eastAsia="zh-CN"/>
              </w:rPr>
              <w:t>）。手术器械清洗废水排污系数按0.9计。</w:t>
            </w:r>
          </w:p>
          <w:p w14:paraId="0F8406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eastAsia" w:cs="Times New Roman"/>
                <w:b/>
                <w:bCs w:val="0"/>
                <w:color w:val="auto"/>
                <w:sz w:val="24"/>
                <w:szCs w:val="24"/>
                <w:highlight w:val="none"/>
                <w:lang w:val="en-US" w:eastAsia="zh-CN"/>
              </w:rPr>
              <w:t>化验用水</w:t>
            </w:r>
            <w:r>
              <w:rPr>
                <w:rFonts w:hint="default" w:ascii="Times New Roman" w:hAnsi="Times New Roman" w:cs="Times New Roman"/>
                <w:b/>
                <w:bCs w:val="0"/>
                <w:color w:val="auto"/>
                <w:sz w:val="24"/>
                <w:szCs w:val="24"/>
                <w:highlight w:val="none"/>
                <w:lang w:val="en-US" w:eastAsia="zh-CN"/>
              </w:rPr>
              <w:t>：</w:t>
            </w:r>
            <w:r>
              <w:rPr>
                <w:rFonts w:hint="eastAsia" w:ascii="Times New Roman" w:hAnsi="Times New Roman" w:cs="Times New Roman"/>
                <w:b w:val="0"/>
                <w:bCs/>
                <w:color w:val="auto"/>
                <w:sz w:val="24"/>
                <w:szCs w:val="24"/>
                <w:highlight w:val="none"/>
                <w:lang w:val="en-US" w:eastAsia="zh-CN"/>
              </w:rPr>
              <w:t>化验</w:t>
            </w:r>
            <w:r>
              <w:rPr>
                <w:rFonts w:hint="default" w:ascii="Times New Roman" w:hAnsi="Times New Roman" w:cs="Times New Roman"/>
                <w:b w:val="0"/>
                <w:bCs/>
                <w:color w:val="auto"/>
                <w:sz w:val="24"/>
                <w:szCs w:val="24"/>
                <w:highlight w:val="none"/>
                <w:lang w:val="en-US" w:eastAsia="zh-CN"/>
              </w:rPr>
              <w:t>用水主要为医护人员检查、化验诊断前后的洗手用水</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由于目前宠物医疗用水定额暂未发布相关文件，因此项目</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参照《建筑给水排水设计标准》（GB50015-2019）进行用水量核算，</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定额取人医活动用水量最大值，按每只宠物15L/d计算，项目每天最大接诊量约</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只，即项目</w:t>
            </w:r>
            <w:r>
              <w:rPr>
                <w:rFonts w:hint="eastAsia" w:cs="Times New Roman"/>
                <w:b w:val="0"/>
                <w:bCs/>
                <w:color w:val="auto"/>
                <w:sz w:val="24"/>
                <w:szCs w:val="24"/>
                <w:highlight w:val="none"/>
                <w:lang w:val="en-US" w:eastAsia="zh-CN"/>
              </w:rPr>
              <w:t>化验用水</w:t>
            </w:r>
            <w:r>
              <w:rPr>
                <w:rFonts w:hint="default" w:ascii="Times New Roman" w:hAnsi="Times New Roman" w:cs="Times New Roman"/>
                <w:b w:val="0"/>
                <w:bCs/>
                <w:color w:val="auto"/>
                <w:sz w:val="24"/>
                <w:szCs w:val="24"/>
                <w:highlight w:val="none"/>
                <w:lang w:val="en-US" w:eastAsia="zh-CN"/>
              </w:rPr>
              <w:t>量0.</w:t>
            </w:r>
            <w:r>
              <w:rPr>
                <w:rFonts w:hint="eastAsia" w:cs="Times New Roman"/>
                <w:b w:val="0"/>
                <w:bCs/>
                <w:color w:val="auto"/>
                <w:sz w:val="24"/>
                <w:szCs w:val="24"/>
                <w:highlight w:val="none"/>
                <w:lang w:val="en-US" w:eastAsia="zh-CN"/>
              </w:rPr>
              <w:t>15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54.75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r>
              <w:rPr>
                <w:rFonts w:hint="eastAsia" w:cs="Times New Roman"/>
                <w:b w:val="0"/>
                <w:bCs/>
                <w:color w:val="auto"/>
                <w:sz w:val="24"/>
                <w:szCs w:val="24"/>
                <w:highlight w:val="none"/>
                <w:lang w:val="en-US" w:eastAsia="zh-CN"/>
              </w:rPr>
              <w:t>化验废水</w:t>
            </w:r>
            <w:r>
              <w:rPr>
                <w:rFonts w:hint="default" w:ascii="Times New Roman" w:hAnsi="Times New Roman" w:cs="Times New Roman"/>
                <w:b w:val="0"/>
                <w:bCs/>
                <w:color w:val="auto"/>
                <w:sz w:val="24"/>
                <w:szCs w:val="24"/>
                <w:highlight w:val="none"/>
                <w:lang w:val="en-US" w:eastAsia="zh-CN"/>
              </w:rPr>
              <w:t>排污系数按0.9计。</w:t>
            </w:r>
          </w:p>
          <w:p w14:paraId="00BA54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宠物笼清洗用水：</w:t>
            </w:r>
            <w:r>
              <w:rPr>
                <w:rFonts w:hint="default" w:ascii="Times New Roman" w:hAnsi="Times New Roman" w:cs="Times New Roman"/>
                <w:b w:val="0"/>
                <w:bCs/>
                <w:color w:val="auto"/>
                <w:sz w:val="24"/>
                <w:szCs w:val="24"/>
                <w:highlight w:val="none"/>
                <w:lang w:val="en-US" w:eastAsia="zh-CN"/>
              </w:rPr>
              <w:t>项目宠物笼和排泄物每天需要进行清洁。根据建设单位提供资料并类比同类型宠物医院，宠物笼清洗用水量按5L/笼子计算，则项目宠物笼清洗用水量约0.</w:t>
            </w:r>
            <w:r>
              <w:rPr>
                <w:rFonts w:hint="eastAsia" w:cs="Times New Roman"/>
                <w:b w:val="0"/>
                <w:bCs/>
                <w:color w:val="auto"/>
                <w:sz w:val="24"/>
                <w:szCs w:val="24"/>
                <w:highlight w:val="none"/>
                <w:lang w:val="en-US" w:eastAsia="zh-CN"/>
              </w:rPr>
              <w:t>095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34.675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。宠物笼清洗废水排污系数按0.9计。</w:t>
            </w:r>
          </w:p>
          <w:p w14:paraId="35E5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宠物饮用水：</w:t>
            </w:r>
            <w:r>
              <w:rPr>
                <w:rFonts w:hint="default" w:ascii="Times New Roman" w:hAnsi="Times New Roman" w:cs="Times New Roman"/>
                <w:b w:val="0"/>
                <w:bCs/>
                <w:color w:val="auto"/>
                <w:sz w:val="24"/>
                <w:szCs w:val="24"/>
                <w:highlight w:val="none"/>
                <w:lang w:val="en-US" w:eastAsia="zh-CN"/>
              </w:rPr>
              <w:t>项目</w:t>
            </w:r>
            <w:r>
              <w:rPr>
                <w:rFonts w:hint="eastAsia" w:ascii="Times New Roman" w:hAnsi="Times New Roman" w:cs="Times New Roman"/>
                <w:b w:val="0"/>
                <w:bCs/>
                <w:color w:val="auto"/>
                <w:sz w:val="24"/>
                <w:szCs w:val="24"/>
                <w:highlight w:val="none"/>
                <w:lang w:val="en-US" w:eastAsia="zh-CN"/>
              </w:rPr>
              <w:t>住</w:t>
            </w:r>
            <w:r>
              <w:rPr>
                <w:rFonts w:hint="eastAsia" w:cs="Times New Roman"/>
                <w:b w:val="0"/>
                <w:bCs/>
                <w:color w:val="auto"/>
                <w:sz w:val="24"/>
                <w:szCs w:val="24"/>
                <w:highlight w:val="none"/>
                <w:lang w:val="en-US" w:eastAsia="zh-CN"/>
              </w:rPr>
              <w:t>院</w:t>
            </w:r>
            <w:r>
              <w:rPr>
                <w:rFonts w:hint="default" w:ascii="Times New Roman" w:hAnsi="Times New Roman" w:cs="Times New Roman"/>
                <w:b w:val="0"/>
                <w:bCs/>
                <w:color w:val="auto"/>
                <w:sz w:val="24"/>
                <w:szCs w:val="24"/>
                <w:highlight w:val="none"/>
                <w:lang w:val="en-US" w:eastAsia="zh-CN"/>
              </w:rPr>
              <w:t>宠物最大量按</w:t>
            </w:r>
            <w:r>
              <w:rPr>
                <w:rFonts w:hint="eastAsia" w:cs="Times New Roman"/>
                <w:b w:val="0"/>
                <w:bCs/>
                <w:color w:val="auto"/>
                <w:sz w:val="24"/>
                <w:szCs w:val="24"/>
                <w:highlight w:val="none"/>
                <w:lang w:val="en-US" w:eastAsia="zh-CN"/>
              </w:rPr>
              <w:t>14</w:t>
            </w:r>
            <w:r>
              <w:rPr>
                <w:rFonts w:hint="default" w:ascii="Times New Roman" w:hAnsi="Times New Roman" w:cs="Times New Roman"/>
                <w:b w:val="0"/>
                <w:bCs/>
                <w:color w:val="auto"/>
                <w:sz w:val="24"/>
                <w:szCs w:val="24"/>
                <w:highlight w:val="none"/>
                <w:lang w:val="en-US" w:eastAsia="zh-CN"/>
              </w:rPr>
              <w:t>个/d</w:t>
            </w:r>
            <w:r>
              <w:rPr>
                <w:rFonts w:hint="eastAsia" w:cs="Times New Roman"/>
                <w:b w:val="0"/>
                <w:bCs/>
                <w:color w:val="auto"/>
                <w:sz w:val="24"/>
                <w:szCs w:val="24"/>
                <w:highlight w:val="none"/>
                <w:lang w:val="en-US" w:eastAsia="zh-CN"/>
              </w:rPr>
              <w:t>、寄养4</w:t>
            </w:r>
            <w:r>
              <w:rPr>
                <w:rFonts w:hint="default" w:ascii="Times New Roman" w:hAnsi="Times New Roman" w:cs="Times New Roman"/>
                <w:b w:val="0"/>
                <w:bCs/>
                <w:color w:val="auto"/>
                <w:sz w:val="24"/>
                <w:szCs w:val="24"/>
                <w:highlight w:val="none"/>
                <w:lang w:val="en-US" w:eastAsia="zh-CN"/>
              </w:rPr>
              <w:t>个/d进行核算，其中猫</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个，犬</w:t>
            </w:r>
            <w:r>
              <w:rPr>
                <w:rFonts w:hint="eastAsia" w:cs="Times New Roman"/>
                <w:b w:val="0"/>
                <w:bCs/>
                <w:color w:val="auto"/>
                <w:sz w:val="24"/>
                <w:szCs w:val="24"/>
                <w:highlight w:val="none"/>
                <w:lang w:val="en-US" w:eastAsia="zh-CN"/>
              </w:rPr>
              <w:t>8</w:t>
            </w:r>
            <w:r>
              <w:rPr>
                <w:rFonts w:hint="default" w:ascii="Times New Roman" w:hAnsi="Times New Roman" w:cs="Times New Roman"/>
                <w:b w:val="0"/>
                <w:bCs/>
                <w:color w:val="auto"/>
                <w:sz w:val="24"/>
                <w:szCs w:val="24"/>
                <w:highlight w:val="none"/>
                <w:lang w:val="en-US" w:eastAsia="zh-CN"/>
              </w:rPr>
              <w:t>个。根据查询相关资料，猫每天饮用水量约40~60ml/kg，猫重量约2.5kg~8kg，项目猫饮用水量取50ml/kg，重量取平均值6kg</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只进行计算，则猫饮用水量约0.00</w:t>
            </w:r>
            <w:r>
              <w:rPr>
                <w:rFonts w:hint="eastAsia" w:cs="Times New Roman"/>
                <w:b w:val="0"/>
                <w:bCs/>
                <w:color w:val="auto"/>
                <w:sz w:val="24"/>
                <w:szCs w:val="24"/>
                <w:highlight w:val="none"/>
                <w:lang w:val="en-US" w:eastAsia="zh-CN"/>
              </w:rPr>
              <w:t>3</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1.095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/a）。猫的排泄物直接通过猫砂盆进行收集。</w:t>
            </w:r>
          </w:p>
          <w:p w14:paraId="458136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查询相关资料，犬分为小型犬、中型犬、大型犬。项目接诊的小型犬体重约4~10kg/只，中型犬体重约10kg~30kg/只，大型犬体重约30kg~50kg/只，项目按照均值取各类型犬的重量，即小型犬取7kg/只，中型犬取20kg/只，大型犬取40kg/只，项目住院犬饮用水量按60ml/kg-狗进行核算。根据建设单位提供资料，项目接待的各类型犬的比例约为小型犬：中型犬：大型犬=</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，则项目每天</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宠物的小型犬约</w:t>
            </w:r>
            <w:r>
              <w:rPr>
                <w:rFonts w:hint="eastAsia"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只，中型犬约</w:t>
            </w: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val="en-US" w:eastAsia="zh-CN"/>
              </w:rPr>
              <w:t>只，大型犬约</w:t>
            </w:r>
            <w:r>
              <w:rPr>
                <w:rFonts w:hint="eastAsia"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val="en-US" w:eastAsia="zh-CN"/>
              </w:rPr>
              <w:t>只。则</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宠物小型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ascii="Times New Roman" w:hAnsi="Times New Roman" w:cs="Times New Roman"/>
                <w:b w:val="0"/>
                <w:bCs/>
                <w:color w:val="auto"/>
                <w:sz w:val="24"/>
                <w:szCs w:val="24"/>
                <w:highlight w:val="none"/>
                <w:lang w:val="en-US" w:eastAsia="zh-CN"/>
              </w:rPr>
              <w:t>0.00</w:t>
            </w:r>
            <w:r>
              <w:rPr>
                <w:rFonts w:hint="eastAsia" w:cs="Times New Roman"/>
                <w:b w:val="0"/>
                <w:bCs/>
                <w:color w:val="auto"/>
                <w:sz w:val="24"/>
                <w:szCs w:val="24"/>
                <w:highlight w:val="none"/>
                <w:lang w:val="en-US" w:eastAsia="zh-CN"/>
              </w:rPr>
              <w:t>21</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0.7665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/a），中型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/a），大型</w:t>
            </w:r>
            <w:r>
              <w:rPr>
                <w:rFonts w:hint="eastAsia" w:ascii="Times New Roman" w:hAnsi="Times New Roman" w:cs="Times New Roman"/>
                <w:b w:val="0"/>
                <w:bCs/>
                <w:color w:val="auto"/>
                <w:sz w:val="24"/>
                <w:szCs w:val="24"/>
                <w:highlight w:val="none"/>
                <w:lang w:val="en-US" w:eastAsia="zh-CN"/>
              </w:rPr>
              <w:t>犬</w:t>
            </w:r>
            <w:r>
              <w:rPr>
                <w:rFonts w:hint="default" w:ascii="Times New Roman" w:hAnsi="Times New Roman" w:cs="Times New Roman"/>
                <w:b w:val="0"/>
                <w:bCs/>
                <w:color w:val="auto"/>
                <w:sz w:val="24"/>
                <w:szCs w:val="24"/>
                <w:highlight w:val="none"/>
                <w:lang w:val="en-US" w:eastAsia="zh-CN"/>
              </w:rPr>
              <w:t>用水量约</w:t>
            </w:r>
            <w:r>
              <w:rPr>
                <w:rFonts w:hint="eastAsia" w:cs="Times New Roman"/>
                <w:b w:val="0"/>
                <w:bCs/>
                <w:color w:val="auto"/>
                <w:sz w:val="24"/>
                <w:szCs w:val="24"/>
                <w:highlight w:val="none"/>
                <w:lang w:val="en-US" w:eastAsia="zh-CN"/>
              </w:rPr>
              <w:t>0.0024</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0.876</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/a）。</w:t>
            </w:r>
          </w:p>
          <w:p w14:paraId="195747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color w:val="auto"/>
                <w:sz w:val="24"/>
                <w:szCs w:val="24"/>
                <w:lang w:val="en-US" w:eastAsia="zh-CN"/>
              </w:rPr>
              <w:t>门诊饮水按</w:t>
            </w:r>
            <w:r>
              <w:rPr>
                <w:rFonts w:hint="eastAsia" w:ascii="Times New Roman" w:hAnsi="Times New Roman" w:eastAsia="宋体" w:cs="Times New Roman"/>
                <w:b w:val="0"/>
                <w:bCs w:val="0"/>
                <w:color w:val="000000"/>
                <w:kern w:val="2"/>
                <w:sz w:val="24"/>
                <w:szCs w:val="24"/>
                <w:lang w:val="en-US" w:eastAsia="zh-CN" w:bidi="ar-SA"/>
              </w:rPr>
              <w:t>30</w:t>
            </w:r>
            <w:r>
              <w:rPr>
                <w:rFonts w:hint="eastAsia" w:cs="Times New Roman"/>
                <w:b w:val="0"/>
                <w:bCs w:val="0"/>
                <w:color w:val="000000"/>
                <w:kern w:val="2"/>
                <w:sz w:val="24"/>
                <w:szCs w:val="24"/>
                <w:lang w:val="en-US" w:eastAsia="zh-CN" w:bidi="ar-SA"/>
              </w:rPr>
              <w:t>0</w:t>
            </w:r>
            <w:r>
              <w:rPr>
                <w:rFonts w:hint="eastAsia" w:ascii="Times New Roman" w:hAnsi="Times New Roman" w:eastAsia="宋体" w:cs="Times New Roman"/>
                <w:b w:val="0"/>
                <w:bCs w:val="0"/>
                <w:color w:val="000000"/>
                <w:kern w:val="2"/>
                <w:sz w:val="24"/>
                <w:szCs w:val="24"/>
                <w:lang w:val="en-US" w:eastAsia="zh-CN" w:bidi="ar-SA"/>
              </w:rPr>
              <w:t>mL/只</w:t>
            </w:r>
            <w:r>
              <w:rPr>
                <w:rFonts w:hint="default" w:ascii="Times New Roman" w:hAnsi="Times New Roman" w:eastAsia="宋体" w:cs="Times New Roman"/>
                <w:color w:val="auto"/>
                <w:sz w:val="24"/>
                <w:szCs w:val="24"/>
              </w:rPr>
              <w:t>·d计</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每天最多接诊宠物数量为10只，则接诊宠物饮水量为</w:t>
            </w:r>
            <w:r>
              <w:rPr>
                <w:rFonts w:hint="default" w:ascii="Times New Roman" w:hAnsi="Times New Roman" w:cs="Times New Roman"/>
                <w:b w:val="0"/>
                <w:bCs/>
                <w:sz w:val="24"/>
                <w:szCs w:val="24"/>
                <w:highlight w:val="none"/>
                <w:lang w:val="en-US" w:eastAsia="zh-CN"/>
              </w:rPr>
              <w:t>0.00</w:t>
            </w:r>
            <w:r>
              <w:rPr>
                <w:rFonts w:hint="eastAsia" w:cs="Times New Roman"/>
                <w:b w:val="0"/>
                <w:bCs/>
                <w:sz w:val="24"/>
                <w:szCs w:val="24"/>
                <w:highlight w:val="none"/>
                <w:lang w:val="en-US" w:eastAsia="zh-CN"/>
              </w:rPr>
              <w:t>3</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1.0</w:t>
            </w:r>
            <w:r>
              <w:rPr>
                <w:rFonts w:hint="eastAsia" w:ascii="Times New Roman" w:hAnsi="Times New Roman" w:cs="Times New Roman"/>
                <w:b w:val="0"/>
                <w:bCs/>
                <w:sz w:val="24"/>
                <w:szCs w:val="24"/>
                <w:highlight w:val="none"/>
                <w:lang w:val="en-US" w:eastAsia="zh-CN"/>
              </w:rPr>
              <w:t>95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p>
          <w:p w14:paraId="1343FC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C8"/>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猫</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及诊疗期间产生的粪便与尿液均可使用猫砂盒收集，日常工作人员及时清理猫砂盒，清理出的猫砂使用</w:t>
            </w:r>
            <w:r>
              <w:rPr>
                <w:rFonts w:hint="eastAsia" w:cs="Times New Roman"/>
                <w:b w:val="0"/>
                <w:bCs/>
                <w:color w:val="auto"/>
                <w:sz w:val="24"/>
                <w:szCs w:val="24"/>
                <w:highlight w:val="none"/>
                <w:lang w:val="en-US" w:eastAsia="zh-CN"/>
              </w:rPr>
              <w:t>84</w:t>
            </w:r>
            <w:r>
              <w:rPr>
                <w:rFonts w:hint="default" w:ascii="Times New Roman" w:hAnsi="Times New Roman" w:cs="Times New Roman"/>
                <w:b w:val="0"/>
                <w:bCs/>
                <w:color w:val="auto"/>
                <w:sz w:val="24"/>
                <w:szCs w:val="24"/>
                <w:highlight w:val="none"/>
                <w:lang w:val="en-US" w:eastAsia="zh-CN"/>
              </w:rPr>
              <w:t>消毒剂消毒后收集集中处置。狗笼内设置排便与排尿盒，犬</w:t>
            </w:r>
            <w:r>
              <w:rPr>
                <w:rFonts w:hint="eastAsia" w:ascii="Times New Roman" w:hAnsi="Times New Roman" w:cs="Times New Roman"/>
                <w:b w:val="0"/>
                <w:bCs/>
                <w:color w:val="auto"/>
                <w:sz w:val="24"/>
                <w:szCs w:val="24"/>
                <w:highlight w:val="none"/>
                <w:lang w:val="en-US" w:eastAsia="zh-CN"/>
              </w:rPr>
              <w:t>住宿</w:t>
            </w:r>
            <w:r>
              <w:rPr>
                <w:rFonts w:hint="default" w:ascii="Times New Roman" w:hAnsi="Times New Roman" w:cs="Times New Roman"/>
                <w:b w:val="0"/>
                <w:bCs/>
                <w:color w:val="auto"/>
                <w:sz w:val="24"/>
                <w:szCs w:val="24"/>
                <w:highlight w:val="none"/>
                <w:lang w:val="en-US" w:eastAsia="zh-CN"/>
              </w:rPr>
              <w:t>与诊疗期间排污采取干湿分离，犬尿液排放比例约40%，进入</w:t>
            </w:r>
            <w:r>
              <w:rPr>
                <w:rFonts w:hint="eastAsia" w:cs="Times New Roman"/>
                <w:b w:val="0"/>
                <w:bCs/>
                <w:color w:val="auto"/>
                <w:sz w:val="24"/>
                <w:szCs w:val="24"/>
                <w:highlight w:val="none"/>
                <w:lang w:val="en-US" w:eastAsia="zh-CN"/>
              </w:rPr>
              <w:t>消毒设施</w:t>
            </w:r>
            <w:r>
              <w:rPr>
                <w:rFonts w:hint="default" w:ascii="Times New Roman" w:hAnsi="Times New Roman" w:cs="Times New Roman"/>
                <w:b w:val="0"/>
                <w:bCs/>
                <w:color w:val="auto"/>
                <w:sz w:val="24"/>
                <w:szCs w:val="24"/>
                <w:highlight w:val="none"/>
                <w:lang w:val="en-US" w:eastAsia="zh-CN"/>
              </w:rPr>
              <w:t>进行消毒，粪污使用</w:t>
            </w:r>
            <w:r>
              <w:rPr>
                <w:rFonts w:hint="eastAsia" w:cs="Times New Roman"/>
                <w:b w:val="0"/>
                <w:bCs/>
                <w:color w:val="auto"/>
                <w:sz w:val="24"/>
                <w:szCs w:val="24"/>
                <w:highlight w:val="none"/>
                <w:lang w:val="en-US" w:eastAsia="zh-CN"/>
              </w:rPr>
              <w:t>84消毒剂</w:t>
            </w:r>
            <w:r>
              <w:rPr>
                <w:rFonts w:hint="default" w:ascii="Times New Roman" w:hAnsi="Times New Roman" w:cs="Times New Roman"/>
                <w:b w:val="0"/>
                <w:bCs/>
                <w:color w:val="auto"/>
                <w:sz w:val="24"/>
                <w:szCs w:val="24"/>
                <w:highlight w:val="none"/>
                <w:lang w:val="en-US" w:eastAsia="zh-CN"/>
              </w:rPr>
              <w:t>消毒后收集集中处置，排便与排尿盒清洗用排水已纳入宠物笼清洗用排水，不再单独核算。将处理后的动物粪污消毒后打包交由环卫部门收运处置。</w:t>
            </w:r>
          </w:p>
          <w:p w14:paraId="40AB44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综上，宠物饮用水量约0.0</w:t>
            </w:r>
            <w:r>
              <w:rPr>
                <w:rFonts w:hint="eastAsia" w:cs="Times New Roman"/>
                <w:b w:val="0"/>
                <w:bCs/>
                <w:color w:val="auto"/>
                <w:sz w:val="24"/>
                <w:szCs w:val="24"/>
                <w:highlight w:val="none"/>
                <w:lang w:val="en-US" w:eastAsia="zh-CN"/>
              </w:rPr>
              <w:t>129</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4.7085</w:t>
            </w:r>
            <w:r>
              <w:rPr>
                <w:rFonts w:hint="default" w:ascii="Times New Roman" w:hAnsi="Times New Roman" w:cs="Times New Roman"/>
                <w:b w:val="0"/>
                <w:bCs/>
                <w:color w:val="auto"/>
                <w:sz w:val="24"/>
                <w:szCs w:val="24"/>
                <w:highlight w:val="no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a）。</w:t>
            </w:r>
          </w:p>
          <w:p w14:paraId="74DFD1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③其他用水</w:t>
            </w:r>
          </w:p>
          <w:p w14:paraId="6CC4BD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项目其他用水主要是工服清洗用水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、宠物毛毯清洗用水、美容洗浴用水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7F066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地面清洁用水：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项目地面采用拖布拖地（清洁用水里添加84消毒液进行消毒），地面清洁用水按照2L/（m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d），项目需要清洁的地面面积约</w:t>
            </w:r>
            <w:r>
              <w:rPr>
                <w:rFonts w:hint="eastAsia" w:cs="Times New Roman"/>
                <w:b w:val="0"/>
                <w:bCs/>
                <w:color w:val="000000" w:themeColor="text1"/>
                <w:sz w:val="24"/>
                <w:szCs w:val="24"/>
                <w:highlight w:val="none"/>
                <w:lang w:val="en-US" w:eastAsia="zh-CN"/>
                <w14:textFill>
                  <w14:solidFill>
                    <w14:schemeClr w14:val="tx1"/>
                  </w14:solidFill>
                </w14:textFill>
              </w:rPr>
              <w:t>132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，则地面清洁用水量</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w:t>
            </w:r>
            <w:r>
              <w:rPr>
                <w:rFonts w:hint="eastAsia" w:cs="Times New Roman"/>
                <w:b w:val="0"/>
                <w:bCs/>
                <w:color w:val="000000" w:themeColor="text1"/>
                <w:sz w:val="24"/>
                <w:szCs w:val="24"/>
                <w:highlight w:val="none"/>
                <w:lang w:val="en-US" w:eastAsia="zh-CN"/>
                <w14:textFill>
                  <w14:solidFill>
                    <w14:schemeClr w14:val="tx1"/>
                  </w14:solidFill>
                </w14:textFill>
              </w:rPr>
              <w:t>264</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w:t>
            </w:r>
            <w:r>
              <w:rPr>
                <w:rFonts w:hint="eastAsia" w:cs="Times New Roman"/>
                <w:b w:val="0"/>
                <w:bCs/>
                <w:color w:val="000000" w:themeColor="text1"/>
                <w:sz w:val="24"/>
                <w:szCs w:val="24"/>
                <w:highlight w:val="none"/>
                <w:lang w:val="en-US" w:eastAsia="zh-CN"/>
                <w14:textFill>
                  <w14:solidFill>
                    <w14:schemeClr w14:val="tx1"/>
                  </w14:solidFill>
                </w14:textFill>
              </w:rPr>
              <w:t>96.36</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/a）。地面清洁废水排污系数按0.9计。</w:t>
            </w:r>
          </w:p>
          <w:p w14:paraId="50ADC9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美容洗浴用水：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类比同类型项目，项目美容洗浴用水量按照</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50L/</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只计，项目美容洗浴每天最大</w:t>
            </w:r>
            <w:r>
              <w:rPr>
                <w:rFonts w:hint="eastAsia" w:cs="Times New Roman"/>
                <w:b w:val="0"/>
                <w:bCs/>
                <w:color w:val="000000" w:themeColor="text1"/>
                <w:sz w:val="24"/>
                <w:szCs w:val="24"/>
                <w:highlight w:val="none"/>
                <w:lang w:val="en-US" w:eastAsia="zh-CN"/>
                <w14:textFill>
                  <w14:solidFill>
                    <w14:schemeClr w14:val="tx1"/>
                  </w14:solidFill>
                </w14:textFill>
              </w:rPr>
              <w:t>接纳</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量约</w:t>
            </w:r>
            <w:r>
              <w:rPr>
                <w:rFonts w:hint="eastAsia" w:cs="Times New Roman"/>
                <w:b w:val="0"/>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只，则美容洗浴用水量约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w:t>
            </w:r>
            <w:r>
              <w:rPr>
                <w:rFonts w:hint="eastAsia"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73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）。美容洗浴废水排污系数按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计。</w:t>
            </w:r>
          </w:p>
          <w:p w14:paraId="7BC00D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美容洗浴废水经过滤网过滤后与生活污水、其他废水一起排入</w:t>
            </w:r>
            <w:r>
              <w:rPr>
                <w:rFonts w:hint="eastAsia" w:cs="Times New Roman"/>
                <w:b w:val="0"/>
                <w:bCs/>
                <w:color w:val="000000" w:themeColor="text1"/>
                <w:sz w:val="24"/>
                <w:szCs w:val="24"/>
                <w:highlight w:val="no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生化池处理达《污水综合排放标准》（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GB8978-1996</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）三级标准后进入市政污水管网。</w:t>
            </w:r>
          </w:p>
          <w:p w14:paraId="3DCCF9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工服清洗用水：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项目员工工服需要进行清洗消毒，洗涤时先使用84消毒液进行浸泡消毒之后使用洗衣液进行洗涤，根据《建筑给水排水设计标准》（GB50015-2019），清洗用水量按照60L/kg干衣物计算。项目平均每天清洗工服重量约</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kg，则工服清洗用水量约</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0.1</w:t>
            </w:r>
            <w:r>
              <w:rPr>
                <w:rFonts w:hint="eastAsia" w:cs="Times New Roman"/>
                <w:b w:val="0"/>
                <w:bCs/>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/d（</w:t>
            </w:r>
            <w:r>
              <w:rPr>
                <w:rFonts w:hint="eastAsia" w:cs="Times New Roman"/>
                <w:b w:val="0"/>
                <w:bCs/>
                <w:color w:val="000000" w:themeColor="text1"/>
                <w:sz w:val="24"/>
                <w:szCs w:val="24"/>
                <w:highlight w:val="none"/>
                <w:lang w:val="en-US" w:eastAsia="zh-CN"/>
                <w14:textFill>
                  <w14:solidFill>
                    <w14:schemeClr w14:val="tx1"/>
                  </w14:solidFill>
                </w14:textFill>
              </w:rPr>
              <w:t>65.7</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/a）。工服清洗废水排污系数按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0.9计。</w:t>
            </w:r>
          </w:p>
          <w:p w14:paraId="6A97C7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宠物毛毯清洗用水：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健康的宠物美容洗浴后的毛毯需要定期进行清洗，参照《建筑给水排水设计标准》（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GB50015-2019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），清洗用水量按照</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60L/kg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干衣物计算，根据建设单位提供资料，项目平均每天清洗宠物毛毯约</w:t>
            </w:r>
            <w:r>
              <w:rPr>
                <w:rFonts w:hint="eastAsia"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kg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，则宠物毛毯清洗用水量约</w:t>
            </w:r>
            <w:r>
              <w:rPr>
                <w:rFonts w:hint="eastAsia" w:cs="Times New Roman"/>
                <w:b w:val="0"/>
                <w:bCs/>
                <w:color w:val="000000" w:themeColor="text1"/>
                <w:sz w:val="24"/>
                <w:szCs w:val="24"/>
                <w:highlight w:val="none"/>
                <w:lang w:val="en-US" w:eastAsia="zh-CN"/>
                <w14:textFill>
                  <w14:solidFill>
                    <w14:schemeClr w14:val="tx1"/>
                  </w14:solidFill>
                </w14:textFill>
              </w:rPr>
              <w:t>0.06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21.9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）。宠物毛毯清洗废水排污系数按</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0.9</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计。</w:t>
            </w:r>
          </w:p>
          <w:p w14:paraId="03AC3D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项目用排水情况一览表详见表2.8-1。</w:t>
            </w:r>
          </w:p>
          <w:p w14:paraId="4AA494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表2.8-1项目用排水量核算一览表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59"/>
              <w:gridCol w:w="777"/>
              <w:gridCol w:w="1159"/>
              <w:gridCol w:w="996"/>
              <w:gridCol w:w="954"/>
              <w:gridCol w:w="996"/>
              <w:gridCol w:w="1002"/>
            </w:tblGrid>
            <w:tr w14:paraId="709FF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38DCE4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类别</w:t>
                  </w:r>
                </w:p>
              </w:tc>
              <w:tc>
                <w:tcPr>
                  <w:tcW w:w="470" w:type="pct"/>
                  <w:tcBorders>
                    <w:tl2br w:val="nil"/>
                    <w:tr2bl w:val="nil"/>
                  </w:tcBorders>
                  <w:vAlign w:val="center"/>
                </w:tcPr>
                <w:p w14:paraId="4288F7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规模</w:t>
                  </w:r>
                </w:p>
              </w:tc>
              <w:tc>
                <w:tcPr>
                  <w:tcW w:w="702" w:type="pct"/>
                  <w:tcBorders>
                    <w:tl2br w:val="nil"/>
                    <w:tr2bl w:val="nil"/>
                  </w:tcBorders>
                  <w:vAlign w:val="center"/>
                </w:tcPr>
                <w:p w14:paraId="1E7AC4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用水定额</w:t>
                  </w:r>
                </w:p>
              </w:tc>
              <w:tc>
                <w:tcPr>
                  <w:tcW w:w="603" w:type="pct"/>
                  <w:tcBorders>
                    <w:tl2br w:val="nil"/>
                    <w:tr2bl w:val="nil"/>
                  </w:tcBorders>
                  <w:vAlign w:val="center"/>
                </w:tcPr>
                <w:p w14:paraId="2534F8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用水</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578" w:type="pct"/>
                  <w:tcBorders>
                    <w:tl2br w:val="nil"/>
                    <w:tr2bl w:val="nil"/>
                  </w:tcBorders>
                  <w:vAlign w:val="center"/>
                </w:tcPr>
                <w:p w14:paraId="61CD46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产生量（m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/a）</w:t>
                  </w:r>
                </w:p>
              </w:tc>
              <w:tc>
                <w:tcPr>
                  <w:tcW w:w="603" w:type="pct"/>
                  <w:tcBorders>
                    <w:tl2br w:val="nil"/>
                    <w:tr2bl w:val="nil"/>
                  </w:tcBorders>
                  <w:shd w:val="clear" w:color="auto" w:fill="auto"/>
                  <w:vAlign w:val="center"/>
                </w:tcPr>
                <w:p w14:paraId="19F8A9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排放量（m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607" w:type="pct"/>
                  <w:tcBorders>
                    <w:tl2br w:val="nil"/>
                    <w:tr2bl w:val="nil"/>
                  </w:tcBorders>
                  <w:shd w:val="clear" w:color="auto" w:fill="auto"/>
                  <w:vAlign w:val="center"/>
                </w:tcPr>
                <w:p w14:paraId="336D02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排放量（m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/a）</w:t>
                  </w:r>
                </w:p>
              </w:tc>
            </w:tr>
            <w:tr w14:paraId="5B873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restart"/>
                  <w:tcBorders>
                    <w:tl2br w:val="nil"/>
                    <w:tr2bl w:val="nil"/>
                  </w:tcBorders>
                  <w:vAlign w:val="center"/>
                </w:tcPr>
                <w:p w14:paraId="1D5642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生活用水</w:t>
                  </w:r>
                </w:p>
              </w:tc>
              <w:tc>
                <w:tcPr>
                  <w:tcW w:w="702" w:type="pct"/>
                  <w:tcBorders>
                    <w:tl2br w:val="nil"/>
                    <w:tr2bl w:val="nil"/>
                  </w:tcBorders>
                  <w:vAlign w:val="center"/>
                </w:tcPr>
                <w:p w14:paraId="3C92C5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生活用水</w:t>
                  </w:r>
                </w:p>
              </w:tc>
              <w:tc>
                <w:tcPr>
                  <w:tcW w:w="470" w:type="pct"/>
                  <w:tcBorders>
                    <w:tl2br w:val="nil"/>
                    <w:tr2bl w:val="nil"/>
                  </w:tcBorders>
                  <w:vAlign w:val="center"/>
                </w:tcPr>
                <w:p w14:paraId="207144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人</w:t>
                  </w:r>
                </w:p>
              </w:tc>
              <w:tc>
                <w:tcPr>
                  <w:tcW w:w="702" w:type="pct"/>
                  <w:tcBorders>
                    <w:tl2br w:val="nil"/>
                    <w:tr2bl w:val="nil"/>
                  </w:tcBorders>
                  <w:vAlign w:val="center"/>
                </w:tcPr>
                <w:p w14:paraId="6591F8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50L/人</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703863D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954" w:type="dxa"/>
                  <w:tcBorders>
                    <w:tl2br w:val="nil"/>
                    <w:tr2bl w:val="nil"/>
                  </w:tcBorders>
                  <w:vAlign w:val="center"/>
                </w:tcPr>
                <w:p w14:paraId="0B0350F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54.75</w:t>
                  </w:r>
                </w:p>
              </w:tc>
              <w:tc>
                <w:tcPr>
                  <w:tcW w:w="996" w:type="dxa"/>
                  <w:tcBorders>
                    <w:tl2br w:val="nil"/>
                    <w:tr2bl w:val="nil"/>
                  </w:tcBorders>
                  <w:vAlign w:val="center"/>
                </w:tcPr>
                <w:p w14:paraId="4356636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0.135</w:t>
                  </w:r>
                </w:p>
              </w:tc>
              <w:tc>
                <w:tcPr>
                  <w:tcW w:w="1002" w:type="dxa"/>
                  <w:tcBorders>
                    <w:tl2br w:val="nil"/>
                    <w:tr2bl w:val="nil"/>
                  </w:tcBorders>
                  <w:vAlign w:val="center"/>
                </w:tcPr>
                <w:p w14:paraId="1957012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49.275</w:t>
                  </w:r>
                </w:p>
              </w:tc>
            </w:tr>
            <w:tr w14:paraId="6740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6AE5D4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0D113C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流动顾客用水</w:t>
                  </w:r>
                </w:p>
              </w:tc>
              <w:tc>
                <w:tcPr>
                  <w:tcW w:w="470" w:type="pct"/>
                  <w:tcBorders>
                    <w:tl2br w:val="nil"/>
                    <w:tr2bl w:val="nil"/>
                  </w:tcBorders>
                  <w:vAlign w:val="center"/>
                </w:tcPr>
                <w:p w14:paraId="3678FF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36</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人/d</w:t>
                  </w:r>
                </w:p>
              </w:tc>
              <w:tc>
                <w:tcPr>
                  <w:tcW w:w="702" w:type="pct"/>
                  <w:tcBorders>
                    <w:tl2br w:val="nil"/>
                    <w:tr2bl w:val="nil"/>
                  </w:tcBorders>
                  <w:vAlign w:val="center"/>
                </w:tcPr>
                <w:p w14:paraId="12832B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10L/人</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043C296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954" w:type="dxa"/>
                  <w:tcBorders>
                    <w:tl2br w:val="nil"/>
                    <w:tr2bl w:val="nil"/>
                  </w:tcBorders>
                  <w:vAlign w:val="center"/>
                </w:tcPr>
                <w:p w14:paraId="72AFF30E">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131.4</w:t>
                  </w:r>
                </w:p>
              </w:tc>
              <w:tc>
                <w:tcPr>
                  <w:tcW w:w="996" w:type="dxa"/>
                  <w:tcBorders>
                    <w:tl2br w:val="nil"/>
                    <w:tr2bl w:val="nil"/>
                  </w:tcBorders>
                  <w:vAlign w:val="center"/>
                </w:tcPr>
                <w:p w14:paraId="41AF851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0.324</w:t>
                  </w:r>
                </w:p>
              </w:tc>
              <w:tc>
                <w:tcPr>
                  <w:tcW w:w="1002" w:type="dxa"/>
                  <w:tcBorders>
                    <w:tl2br w:val="nil"/>
                    <w:tr2bl w:val="nil"/>
                  </w:tcBorders>
                  <w:vAlign w:val="center"/>
                </w:tcPr>
                <w:p w14:paraId="2AF7279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118.26</w:t>
                  </w:r>
                </w:p>
              </w:tc>
            </w:tr>
            <w:tr w14:paraId="2294F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455F9B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10F4AB2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54" w:type="dxa"/>
                  <w:tcBorders>
                    <w:tl2br w:val="nil"/>
                    <w:tr2bl w:val="nil"/>
                  </w:tcBorders>
                  <w:vAlign w:val="center"/>
                </w:tcPr>
                <w:p w14:paraId="72D48A05">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186.15</w:t>
                  </w:r>
                </w:p>
              </w:tc>
              <w:tc>
                <w:tcPr>
                  <w:tcW w:w="996" w:type="dxa"/>
                  <w:tcBorders>
                    <w:tl2br w:val="nil"/>
                    <w:tr2bl w:val="nil"/>
                  </w:tcBorders>
                  <w:vAlign w:val="center"/>
                </w:tcPr>
                <w:p w14:paraId="0694BD7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0.459</w:t>
                  </w:r>
                </w:p>
              </w:tc>
              <w:tc>
                <w:tcPr>
                  <w:tcW w:w="1002" w:type="dxa"/>
                  <w:tcBorders>
                    <w:tl2br w:val="nil"/>
                    <w:tr2bl w:val="nil"/>
                  </w:tcBorders>
                  <w:vAlign w:val="center"/>
                </w:tcPr>
                <w:p w14:paraId="2625711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167.535</w:t>
                  </w:r>
                </w:p>
              </w:tc>
            </w:tr>
            <w:tr w14:paraId="60009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restart"/>
                  <w:tcBorders>
                    <w:tl2br w:val="nil"/>
                    <w:tr2bl w:val="nil"/>
                  </w:tcBorders>
                  <w:vAlign w:val="center"/>
                </w:tcPr>
                <w:p w14:paraId="47FE4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w:t>
                  </w:r>
                </w:p>
              </w:tc>
              <w:tc>
                <w:tcPr>
                  <w:tcW w:w="702" w:type="pct"/>
                  <w:tcBorders>
                    <w:tl2br w:val="nil"/>
                    <w:tr2bl w:val="nil"/>
                  </w:tcBorders>
                  <w:vAlign w:val="center"/>
                </w:tcPr>
                <w:p w14:paraId="022845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化验用水</w:t>
                  </w:r>
                </w:p>
              </w:tc>
              <w:tc>
                <w:tcPr>
                  <w:tcW w:w="470" w:type="pct"/>
                  <w:tcBorders>
                    <w:tl2br w:val="nil"/>
                    <w:tr2bl w:val="nil"/>
                  </w:tcBorders>
                  <w:vAlign w:val="center"/>
                </w:tcPr>
                <w:p w14:paraId="16D2C2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只/d</w:t>
                  </w:r>
                </w:p>
              </w:tc>
              <w:tc>
                <w:tcPr>
                  <w:tcW w:w="702" w:type="pct"/>
                  <w:tcBorders>
                    <w:tl2br w:val="nil"/>
                    <w:tr2bl w:val="nil"/>
                  </w:tcBorders>
                  <w:vAlign w:val="center"/>
                </w:tcPr>
                <w:p w14:paraId="422803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15</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L/只</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0EE4A03A">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954" w:type="dxa"/>
                  <w:tcBorders>
                    <w:tl2br w:val="nil"/>
                    <w:tr2bl w:val="nil"/>
                  </w:tcBorders>
                  <w:vAlign w:val="center"/>
                </w:tcPr>
                <w:p w14:paraId="12BBA62C">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54.75</w:t>
                  </w:r>
                </w:p>
              </w:tc>
              <w:tc>
                <w:tcPr>
                  <w:tcW w:w="996" w:type="dxa"/>
                  <w:tcBorders>
                    <w:tl2br w:val="nil"/>
                    <w:tr2bl w:val="nil"/>
                  </w:tcBorders>
                  <w:vAlign w:val="center"/>
                </w:tcPr>
                <w:p w14:paraId="1C0E764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0.135</w:t>
                  </w:r>
                </w:p>
              </w:tc>
              <w:tc>
                <w:tcPr>
                  <w:tcW w:w="1002" w:type="dxa"/>
                  <w:tcBorders>
                    <w:tl2br w:val="nil"/>
                    <w:tr2bl w:val="nil"/>
                  </w:tcBorders>
                  <w:vAlign w:val="center"/>
                </w:tcPr>
                <w:p w14:paraId="089081E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49.275</w:t>
                  </w:r>
                </w:p>
              </w:tc>
            </w:tr>
            <w:tr w14:paraId="64CCF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04A48D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44DE93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宠物饮用水</w:t>
                  </w:r>
                </w:p>
              </w:tc>
              <w:tc>
                <w:tcPr>
                  <w:tcW w:w="470" w:type="pct"/>
                  <w:tcBorders>
                    <w:tl2br w:val="nil"/>
                    <w:tr2bl w:val="nil"/>
                  </w:tcBorders>
                  <w:vAlign w:val="center"/>
                </w:tcPr>
                <w:p w14:paraId="5E5567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702" w:type="pct"/>
                  <w:tcBorders>
                    <w:tl2br w:val="nil"/>
                    <w:tr2bl w:val="nil"/>
                  </w:tcBorders>
                  <w:vAlign w:val="center"/>
                </w:tcPr>
                <w:p w14:paraId="21D5D3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996" w:type="dxa"/>
                  <w:tcBorders>
                    <w:tl2br w:val="nil"/>
                    <w:tr2bl w:val="nil"/>
                  </w:tcBorders>
                  <w:vAlign w:val="center"/>
                </w:tcPr>
                <w:p w14:paraId="4ABCFE7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0.0129</w:t>
                  </w:r>
                </w:p>
              </w:tc>
              <w:tc>
                <w:tcPr>
                  <w:tcW w:w="954" w:type="dxa"/>
                  <w:tcBorders>
                    <w:tl2br w:val="nil"/>
                    <w:tr2bl w:val="nil"/>
                  </w:tcBorders>
                  <w:vAlign w:val="center"/>
                </w:tcPr>
                <w:p w14:paraId="20750779">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4.7085</w:t>
                  </w:r>
                </w:p>
              </w:tc>
              <w:tc>
                <w:tcPr>
                  <w:tcW w:w="996" w:type="dxa"/>
                  <w:tcBorders>
                    <w:tl2br w:val="nil"/>
                    <w:tr2bl w:val="nil"/>
                  </w:tcBorders>
                  <w:vAlign w:val="center"/>
                </w:tcPr>
                <w:p w14:paraId="7F3D0C4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tcBorders>
                    <w:tl2br w:val="nil"/>
                    <w:tr2bl w:val="nil"/>
                  </w:tcBorders>
                  <w:vAlign w:val="center"/>
                </w:tcPr>
                <w:p w14:paraId="0988236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FDB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1" w:type="pct"/>
                  <w:vMerge w:val="continue"/>
                  <w:tcBorders>
                    <w:tl2br w:val="nil"/>
                    <w:tr2bl w:val="nil"/>
                  </w:tcBorders>
                  <w:vAlign w:val="center"/>
                </w:tcPr>
                <w:p w14:paraId="5F1D37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488172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宠物笼清洗用水</w:t>
                  </w:r>
                </w:p>
              </w:tc>
              <w:tc>
                <w:tcPr>
                  <w:tcW w:w="470" w:type="pct"/>
                  <w:tcBorders>
                    <w:tl2br w:val="nil"/>
                    <w:tr2bl w:val="nil"/>
                  </w:tcBorders>
                  <w:vAlign w:val="center"/>
                </w:tcPr>
                <w:p w14:paraId="021287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19</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w:t>
                  </w:r>
                </w:p>
              </w:tc>
              <w:tc>
                <w:tcPr>
                  <w:tcW w:w="702" w:type="pct"/>
                  <w:tcBorders>
                    <w:tl2br w:val="nil"/>
                    <w:tr2bl w:val="nil"/>
                  </w:tcBorders>
                  <w:vAlign w:val="center"/>
                </w:tcPr>
                <w:p w14:paraId="38C858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5L/笼</w:t>
                  </w:r>
                </w:p>
              </w:tc>
              <w:tc>
                <w:tcPr>
                  <w:tcW w:w="996" w:type="dxa"/>
                  <w:tcBorders>
                    <w:tl2br w:val="nil"/>
                    <w:tr2bl w:val="nil"/>
                  </w:tcBorders>
                  <w:vAlign w:val="center"/>
                </w:tcPr>
                <w:p w14:paraId="6EA9EA9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0.095</w:t>
                  </w:r>
                </w:p>
              </w:tc>
              <w:tc>
                <w:tcPr>
                  <w:tcW w:w="954" w:type="dxa"/>
                  <w:tcBorders>
                    <w:tl2br w:val="nil"/>
                    <w:tr2bl w:val="nil"/>
                  </w:tcBorders>
                  <w:vAlign w:val="center"/>
                </w:tcPr>
                <w:p w14:paraId="7D4676C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34.675</w:t>
                  </w:r>
                </w:p>
              </w:tc>
              <w:tc>
                <w:tcPr>
                  <w:tcW w:w="996" w:type="dxa"/>
                  <w:tcBorders>
                    <w:tl2br w:val="nil"/>
                    <w:tr2bl w:val="nil"/>
                  </w:tcBorders>
                  <w:vAlign w:val="center"/>
                </w:tcPr>
                <w:p w14:paraId="3DDB3FF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0.0855</w:t>
                  </w:r>
                </w:p>
              </w:tc>
              <w:tc>
                <w:tcPr>
                  <w:tcW w:w="1002" w:type="dxa"/>
                  <w:tcBorders>
                    <w:tl2br w:val="nil"/>
                    <w:tr2bl w:val="nil"/>
                  </w:tcBorders>
                  <w:vAlign w:val="center"/>
                </w:tcPr>
                <w:p w14:paraId="0FBFD7B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31.2075</w:t>
                  </w:r>
                </w:p>
              </w:tc>
            </w:tr>
            <w:tr w14:paraId="7492E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31" w:type="pct"/>
                  <w:vMerge w:val="continue"/>
                  <w:tcBorders>
                    <w:tl2br w:val="nil"/>
                    <w:tr2bl w:val="nil"/>
                  </w:tcBorders>
                  <w:vAlign w:val="center"/>
                </w:tcPr>
                <w:p w14:paraId="7F6D99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sz w:val="21"/>
                      <w:szCs w:val="21"/>
                      <w:highlight w:val="none"/>
                      <w:vertAlign w:val="baseline"/>
                      <w:lang w:val="en-US" w:eastAsia="zh-CN"/>
                    </w:rPr>
                  </w:pPr>
                </w:p>
              </w:tc>
              <w:tc>
                <w:tcPr>
                  <w:tcW w:w="702" w:type="pct"/>
                  <w:tcBorders>
                    <w:tl2br w:val="nil"/>
                    <w:tr2bl w:val="nil"/>
                  </w:tcBorders>
                  <w:vAlign w:val="center"/>
                </w:tcPr>
                <w:p w14:paraId="1533DF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手术器械清洗用水</w:t>
                  </w:r>
                </w:p>
              </w:tc>
              <w:tc>
                <w:tcPr>
                  <w:tcW w:w="470" w:type="pct"/>
                  <w:tcBorders>
                    <w:tl2br w:val="nil"/>
                    <w:tr2bl w:val="nil"/>
                  </w:tcBorders>
                  <w:vAlign w:val="center"/>
                </w:tcPr>
                <w:p w14:paraId="660E5C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台/d</w:t>
                  </w:r>
                </w:p>
              </w:tc>
              <w:tc>
                <w:tcPr>
                  <w:tcW w:w="702" w:type="pct"/>
                  <w:tcBorders>
                    <w:tl2br w:val="nil"/>
                    <w:tr2bl w:val="nil"/>
                  </w:tcBorders>
                  <w:vAlign w:val="center"/>
                </w:tcPr>
                <w:p w14:paraId="2BC969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5L/台</w:t>
                  </w:r>
                </w:p>
              </w:tc>
              <w:tc>
                <w:tcPr>
                  <w:tcW w:w="996" w:type="dxa"/>
                  <w:tcBorders>
                    <w:tl2br w:val="nil"/>
                    <w:tr2bl w:val="nil"/>
                  </w:tcBorders>
                  <w:vAlign w:val="center"/>
                </w:tcPr>
                <w:p w14:paraId="66DB37B1">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954" w:type="dxa"/>
                  <w:tcBorders>
                    <w:tl2br w:val="nil"/>
                    <w:tr2bl w:val="nil"/>
                  </w:tcBorders>
                  <w:vAlign w:val="center"/>
                </w:tcPr>
                <w:p w14:paraId="3B71032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96" w:type="dxa"/>
                  <w:tcBorders>
                    <w:tl2br w:val="nil"/>
                    <w:tr2bl w:val="nil"/>
                  </w:tcBorders>
                  <w:vAlign w:val="center"/>
                </w:tcPr>
                <w:p w14:paraId="05CC53C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1002" w:type="dxa"/>
                  <w:tcBorders>
                    <w:tl2br w:val="nil"/>
                    <w:tr2bl w:val="nil"/>
                  </w:tcBorders>
                  <w:vAlign w:val="center"/>
                </w:tcPr>
                <w:p w14:paraId="2690085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r>
            <w:tr w14:paraId="6B257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72513F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120CFA4D">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0.2779</w:t>
                  </w:r>
                </w:p>
              </w:tc>
              <w:tc>
                <w:tcPr>
                  <w:tcW w:w="954" w:type="dxa"/>
                  <w:tcBorders>
                    <w:tl2br w:val="nil"/>
                    <w:tr2bl w:val="nil"/>
                  </w:tcBorders>
                  <w:vAlign w:val="center"/>
                </w:tcPr>
                <w:p w14:paraId="44A4D578">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101.4335</w:t>
                  </w:r>
                </w:p>
              </w:tc>
              <w:tc>
                <w:tcPr>
                  <w:tcW w:w="996" w:type="dxa"/>
                  <w:tcBorders>
                    <w:tl2br w:val="nil"/>
                    <w:tr2bl w:val="nil"/>
                  </w:tcBorders>
                  <w:vAlign w:val="center"/>
                </w:tcPr>
                <w:p w14:paraId="0D3FE12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0.2385</w:t>
                  </w:r>
                </w:p>
              </w:tc>
              <w:tc>
                <w:tcPr>
                  <w:tcW w:w="1002" w:type="dxa"/>
                  <w:tcBorders>
                    <w:tl2br w:val="nil"/>
                    <w:tr2bl w:val="nil"/>
                  </w:tcBorders>
                  <w:vAlign w:val="center"/>
                </w:tcPr>
                <w:p w14:paraId="7186C36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87.0525</w:t>
                  </w:r>
                </w:p>
              </w:tc>
            </w:tr>
            <w:tr w14:paraId="5058C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2C9FB7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地面清洁用水</w:t>
                  </w:r>
                </w:p>
              </w:tc>
              <w:tc>
                <w:tcPr>
                  <w:tcW w:w="470" w:type="pct"/>
                  <w:tcBorders>
                    <w:tl2br w:val="nil"/>
                    <w:tr2bl w:val="nil"/>
                  </w:tcBorders>
                  <w:vAlign w:val="center"/>
                </w:tcPr>
                <w:p w14:paraId="3869DB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132</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2</w:t>
                  </w:r>
                </w:p>
              </w:tc>
              <w:tc>
                <w:tcPr>
                  <w:tcW w:w="702" w:type="pct"/>
                  <w:tcBorders>
                    <w:tl2br w:val="nil"/>
                    <w:tr2bl w:val="nil"/>
                  </w:tcBorders>
                  <w:vAlign w:val="center"/>
                </w:tcPr>
                <w:p w14:paraId="7723D8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2L/（m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d）</w:t>
                  </w:r>
                </w:p>
              </w:tc>
              <w:tc>
                <w:tcPr>
                  <w:tcW w:w="996" w:type="dxa"/>
                  <w:tcBorders>
                    <w:tl2br w:val="nil"/>
                    <w:tr2bl w:val="nil"/>
                  </w:tcBorders>
                  <w:vAlign w:val="center"/>
                </w:tcPr>
                <w:p w14:paraId="47BF2FA8">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0.264</w:t>
                  </w:r>
                </w:p>
              </w:tc>
              <w:tc>
                <w:tcPr>
                  <w:tcW w:w="954" w:type="dxa"/>
                  <w:tcBorders>
                    <w:tl2br w:val="nil"/>
                    <w:tr2bl w:val="nil"/>
                  </w:tcBorders>
                  <w:vAlign w:val="center"/>
                </w:tcPr>
                <w:p w14:paraId="03AD3CE7">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96.36</w:t>
                  </w:r>
                </w:p>
              </w:tc>
              <w:tc>
                <w:tcPr>
                  <w:tcW w:w="996" w:type="dxa"/>
                  <w:tcBorders>
                    <w:tl2br w:val="nil"/>
                    <w:tr2bl w:val="nil"/>
                  </w:tcBorders>
                  <w:vAlign w:val="center"/>
                </w:tcPr>
                <w:p w14:paraId="27E2BA3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0.2376</w:t>
                  </w:r>
                </w:p>
              </w:tc>
              <w:tc>
                <w:tcPr>
                  <w:tcW w:w="1002" w:type="dxa"/>
                  <w:tcBorders>
                    <w:tl2br w:val="nil"/>
                    <w:tr2bl w:val="nil"/>
                  </w:tcBorders>
                  <w:vAlign w:val="center"/>
                </w:tcPr>
                <w:p w14:paraId="1A3017C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86.724</w:t>
                  </w:r>
                </w:p>
              </w:tc>
            </w:tr>
            <w:tr w14:paraId="77E2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3" w:type="pct"/>
                  <w:gridSpan w:val="2"/>
                  <w:tcBorders>
                    <w:tl2br w:val="nil"/>
                    <w:tr2bl w:val="nil"/>
                  </w:tcBorders>
                  <w:vAlign w:val="center"/>
                </w:tcPr>
                <w:p w14:paraId="765BBD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工服清洗用水</w:t>
                  </w:r>
                </w:p>
              </w:tc>
              <w:tc>
                <w:tcPr>
                  <w:tcW w:w="470" w:type="pct"/>
                  <w:tcBorders>
                    <w:tl2br w:val="nil"/>
                    <w:tr2bl w:val="nil"/>
                  </w:tcBorders>
                  <w:vAlign w:val="center"/>
                </w:tcPr>
                <w:p w14:paraId="7BC9D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kg/d</w:t>
                  </w:r>
                </w:p>
              </w:tc>
              <w:tc>
                <w:tcPr>
                  <w:tcW w:w="702" w:type="pct"/>
                  <w:tcBorders>
                    <w:tl2br w:val="nil"/>
                    <w:tr2bl w:val="nil"/>
                  </w:tcBorders>
                  <w:vAlign w:val="center"/>
                </w:tcPr>
                <w:p w14:paraId="0E09B0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60</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L/kg</w:t>
                  </w:r>
                </w:p>
              </w:tc>
              <w:tc>
                <w:tcPr>
                  <w:tcW w:w="996" w:type="dxa"/>
                  <w:tcBorders>
                    <w:tl2br w:val="nil"/>
                    <w:tr2bl w:val="nil"/>
                  </w:tcBorders>
                  <w:vAlign w:val="center"/>
                </w:tcPr>
                <w:p w14:paraId="6B5ECE5F">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954" w:type="dxa"/>
                  <w:tcBorders>
                    <w:tl2br w:val="nil"/>
                    <w:tr2bl w:val="nil"/>
                  </w:tcBorders>
                  <w:vAlign w:val="center"/>
                </w:tcPr>
                <w:p w14:paraId="2AB50543">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c>
                <w:tcPr>
                  <w:tcW w:w="996" w:type="dxa"/>
                  <w:tcBorders>
                    <w:tl2br w:val="nil"/>
                    <w:tr2bl w:val="nil"/>
                  </w:tcBorders>
                  <w:vAlign w:val="center"/>
                </w:tcPr>
                <w:p w14:paraId="23D1C5F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0.162</w:t>
                  </w:r>
                </w:p>
              </w:tc>
              <w:tc>
                <w:tcPr>
                  <w:tcW w:w="1002" w:type="dxa"/>
                  <w:tcBorders>
                    <w:tl2br w:val="nil"/>
                    <w:tr2bl w:val="nil"/>
                  </w:tcBorders>
                  <w:vAlign w:val="center"/>
                </w:tcPr>
                <w:p w14:paraId="73E8381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59.13</w:t>
                  </w:r>
                </w:p>
              </w:tc>
            </w:tr>
            <w:tr w14:paraId="774E9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5BE1D5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美容洗浴用水</w:t>
                  </w:r>
                </w:p>
              </w:tc>
              <w:tc>
                <w:tcPr>
                  <w:tcW w:w="470" w:type="pct"/>
                  <w:tcBorders>
                    <w:tl2br w:val="nil"/>
                    <w:tr2bl w:val="nil"/>
                  </w:tcBorders>
                  <w:vAlign w:val="center"/>
                </w:tcPr>
                <w:p w14:paraId="39CC1E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4</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只/d</w:t>
                  </w:r>
                </w:p>
              </w:tc>
              <w:tc>
                <w:tcPr>
                  <w:tcW w:w="702" w:type="pct"/>
                  <w:tcBorders>
                    <w:tl2br w:val="nil"/>
                    <w:tr2bl w:val="nil"/>
                  </w:tcBorders>
                  <w:vAlign w:val="center"/>
                </w:tcPr>
                <w:p w14:paraId="18D5D7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50L/只</w:t>
                  </w:r>
                </w:p>
              </w:tc>
              <w:tc>
                <w:tcPr>
                  <w:tcW w:w="996" w:type="dxa"/>
                  <w:tcBorders>
                    <w:tl2br w:val="nil"/>
                    <w:tr2bl w:val="nil"/>
                  </w:tcBorders>
                  <w:vAlign w:val="center"/>
                </w:tcPr>
                <w:p w14:paraId="67739FF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954" w:type="dxa"/>
                  <w:tcBorders>
                    <w:tl2br w:val="nil"/>
                    <w:tr2bl w:val="nil"/>
                  </w:tcBorders>
                  <w:vAlign w:val="center"/>
                </w:tcPr>
                <w:p w14:paraId="40D9933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96" w:type="dxa"/>
                  <w:tcBorders>
                    <w:tl2br w:val="nil"/>
                    <w:tr2bl w:val="nil"/>
                  </w:tcBorders>
                  <w:vAlign w:val="center"/>
                </w:tcPr>
                <w:p w14:paraId="08910C7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1002" w:type="dxa"/>
                  <w:tcBorders>
                    <w:tl2br w:val="nil"/>
                    <w:tr2bl w:val="nil"/>
                  </w:tcBorders>
                  <w:vAlign w:val="center"/>
                </w:tcPr>
                <w:p w14:paraId="7627C46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65.7</w:t>
                  </w:r>
                </w:p>
              </w:tc>
            </w:tr>
            <w:tr w14:paraId="26A37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pct"/>
                  <w:gridSpan w:val="2"/>
                  <w:tcBorders>
                    <w:tl2br w:val="nil"/>
                    <w:tr2bl w:val="nil"/>
                  </w:tcBorders>
                  <w:vAlign w:val="center"/>
                </w:tcPr>
                <w:p w14:paraId="19164F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宠物毛毯清洗用水</w:t>
                  </w:r>
                </w:p>
              </w:tc>
              <w:tc>
                <w:tcPr>
                  <w:tcW w:w="470" w:type="pct"/>
                  <w:tcBorders>
                    <w:tl2br w:val="nil"/>
                    <w:tr2bl w:val="nil"/>
                  </w:tcBorders>
                  <w:vAlign w:val="center"/>
                </w:tcPr>
                <w:p w14:paraId="2BC467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kg/d</w:t>
                  </w:r>
                </w:p>
              </w:tc>
              <w:tc>
                <w:tcPr>
                  <w:tcW w:w="702" w:type="pct"/>
                  <w:tcBorders>
                    <w:tl2br w:val="nil"/>
                    <w:tr2bl w:val="nil"/>
                  </w:tcBorders>
                  <w:vAlign w:val="center"/>
                </w:tcPr>
                <w:p w14:paraId="568134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60L/kg</w:t>
                  </w:r>
                </w:p>
              </w:tc>
              <w:tc>
                <w:tcPr>
                  <w:tcW w:w="996" w:type="dxa"/>
                  <w:tcBorders>
                    <w:tl2br w:val="nil"/>
                    <w:tr2bl w:val="nil"/>
                  </w:tcBorders>
                  <w:vAlign w:val="center"/>
                </w:tcPr>
                <w:p w14:paraId="73FCE312">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954" w:type="dxa"/>
                  <w:tcBorders>
                    <w:tl2br w:val="nil"/>
                    <w:tr2bl w:val="nil"/>
                  </w:tcBorders>
                  <w:vAlign w:val="center"/>
                </w:tcPr>
                <w:p w14:paraId="694DF3A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996" w:type="dxa"/>
                  <w:tcBorders>
                    <w:tl2br w:val="nil"/>
                    <w:tr2bl w:val="nil"/>
                  </w:tcBorders>
                  <w:vAlign w:val="center"/>
                </w:tcPr>
                <w:p w14:paraId="155CF04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1002" w:type="dxa"/>
                  <w:tcBorders>
                    <w:tl2br w:val="nil"/>
                    <w:tr2bl w:val="nil"/>
                  </w:tcBorders>
                  <w:vAlign w:val="center"/>
                </w:tcPr>
                <w:p w14:paraId="4E9F00A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19.71</w:t>
                  </w:r>
                </w:p>
              </w:tc>
            </w:tr>
            <w:tr w14:paraId="735B0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25F546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小计</w:t>
                  </w:r>
                </w:p>
              </w:tc>
              <w:tc>
                <w:tcPr>
                  <w:tcW w:w="996" w:type="dxa"/>
                  <w:tcBorders>
                    <w:tl2br w:val="nil"/>
                    <w:tr2bl w:val="nil"/>
                  </w:tcBorders>
                  <w:vAlign w:val="center"/>
                </w:tcPr>
                <w:p w14:paraId="5C7D52F4">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0.704</w:t>
                  </w:r>
                </w:p>
              </w:tc>
              <w:tc>
                <w:tcPr>
                  <w:tcW w:w="954" w:type="dxa"/>
                  <w:tcBorders>
                    <w:tl2br w:val="nil"/>
                    <w:tr2bl w:val="nil"/>
                  </w:tcBorders>
                  <w:vAlign w:val="center"/>
                </w:tcPr>
                <w:p w14:paraId="306164B0">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256.96</w:t>
                  </w:r>
                </w:p>
              </w:tc>
              <w:tc>
                <w:tcPr>
                  <w:tcW w:w="996" w:type="dxa"/>
                  <w:tcBorders>
                    <w:tl2br w:val="nil"/>
                    <w:tr2bl w:val="nil"/>
                  </w:tcBorders>
                  <w:vAlign w:val="center"/>
                </w:tcPr>
                <w:p w14:paraId="357ECCC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0.6336</w:t>
                  </w:r>
                </w:p>
              </w:tc>
              <w:tc>
                <w:tcPr>
                  <w:tcW w:w="1002" w:type="dxa"/>
                  <w:tcBorders>
                    <w:tl2br w:val="nil"/>
                    <w:tr2bl w:val="nil"/>
                  </w:tcBorders>
                  <w:vAlign w:val="center"/>
                </w:tcPr>
                <w:p w14:paraId="33B1665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231.264</w:t>
                  </w:r>
                </w:p>
              </w:tc>
            </w:tr>
            <w:tr w14:paraId="5763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7" w:type="pct"/>
                  <w:gridSpan w:val="4"/>
                  <w:tcBorders>
                    <w:tl2br w:val="nil"/>
                    <w:tr2bl w:val="nil"/>
                  </w:tcBorders>
                  <w:vAlign w:val="center"/>
                </w:tcPr>
                <w:p w14:paraId="48E703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合计</w:t>
                  </w:r>
                </w:p>
              </w:tc>
              <w:tc>
                <w:tcPr>
                  <w:tcW w:w="996" w:type="dxa"/>
                  <w:tcBorders>
                    <w:tl2br w:val="nil"/>
                    <w:tr2bl w:val="nil"/>
                  </w:tcBorders>
                  <w:vAlign w:val="center"/>
                </w:tcPr>
                <w:p w14:paraId="67763D6B">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1.4919</w:t>
                  </w:r>
                </w:p>
              </w:tc>
              <w:tc>
                <w:tcPr>
                  <w:tcW w:w="954" w:type="dxa"/>
                  <w:tcBorders>
                    <w:tl2br w:val="nil"/>
                    <w:tr2bl w:val="nil"/>
                  </w:tcBorders>
                  <w:vAlign w:val="center"/>
                </w:tcPr>
                <w:p w14:paraId="21A15B46">
                  <w:pPr>
                    <w:keepNext w:val="0"/>
                    <w:keepLines w:val="0"/>
                    <w:widowControl/>
                    <w:suppressLineNumbers w:val="0"/>
                    <w:jc w:val="center"/>
                    <w:textAlignment w:val="center"/>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544.5435</w:t>
                  </w:r>
                </w:p>
              </w:tc>
              <w:tc>
                <w:tcPr>
                  <w:tcW w:w="996" w:type="dxa"/>
                  <w:tcBorders>
                    <w:tl2br w:val="nil"/>
                    <w:tr2bl w:val="nil"/>
                  </w:tcBorders>
                  <w:vAlign w:val="center"/>
                </w:tcPr>
                <w:p w14:paraId="5CF2F3F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1.3311</w:t>
                  </w:r>
                </w:p>
              </w:tc>
              <w:tc>
                <w:tcPr>
                  <w:tcW w:w="1002" w:type="dxa"/>
                  <w:tcBorders>
                    <w:tl2br w:val="nil"/>
                    <w:tr2bl w:val="nil"/>
                  </w:tcBorders>
                  <w:vAlign w:val="center"/>
                </w:tcPr>
                <w:p w14:paraId="588F5DD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485.8515</w:t>
                  </w:r>
                </w:p>
              </w:tc>
            </w:tr>
            <w:tr w14:paraId="147C3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tcBorders>
                    <w:tl2br w:val="nil"/>
                    <w:tr2bl w:val="nil"/>
                  </w:tcBorders>
                  <w:vAlign w:val="center"/>
                </w:tcPr>
                <w:p w14:paraId="4C80DC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备注：宠物住院规模按照最大住院量进行核算</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门诊规模为建设单位提供的最大接诊量</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w:t>
                  </w:r>
                </w:p>
              </w:tc>
            </w:tr>
          </w:tbl>
          <w:p w14:paraId="749719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2.8.2排水</w:t>
            </w:r>
          </w:p>
          <w:p w14:paraId="5B7529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项目废水来自于生活污水、医疗废水及</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其他废水（含</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工服清洗废水</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、宠物毛毯清洗</w:t>
            </w:r>
            <w:r>
              <w:rPr>
                <w:rFonts w:hint="eastAsia" w:ascii="Times New Roman" w:hAnsi="Times New Roman" w:cs="Times New Roman"/>
                <w:b w:val="0"/>
                <w:bCs/>
                <w:color w:val="auto"/>
                <w:sz w:val="24"/>
                <w:szCs w:val="24"/>
                <w:highlight w:val="none"/>
                <w:vertAlign w:val="baseline"/>
                <w:lang w:val="en-US" w:eastAsia="zh-CN"/>
              </w:rPr>
              <w:t>废水、美容洗浴废水</w:t>
            </w:r>
            <w:r>
              <w:rPr>
                <w:rFonts w:hint="eastAsia" w:cs="Times New Roman"/>
                <w:b w:val="0"/>
                <w:bCs/>
                <w:color w:val="auto"/>
                <w:sz w:val="24"/>
                <w:szCs w:val="24"/>
                <w:highlight w:val="none"/>
                <w:vertAlign w:val="baseline"/>
                <w:lang w:val="en-US" w:eastAsia="zh-CN"/>
              </w:rPr>
              <w:t>、地面清洁废水</w:t>
            </w:r>
            <w:r>
              <w:rPr>
                <w:rFonts w:hint="eastAsia" w:ascii="Times New Roman" w:hAnsi="Times New Roman" w:cs="Times New Roman"/>
                <w:b w:val="0"/>
                <w:bCs/>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vertAlign w:val="baseline"/>
                <w:lang w:val="en-US" w:eastAsia="zh-CN"/>
              </w:rPr>
              <w:t>。废水排放总量为</w:t>
            </w:r>
            <w:r>
              <w:rPr>
                <w:rFonts w:hint="eastAsia" w:cs="Times New Roman"/>
                <w:b w:val="0"/>
                <w:bCs/>
                <w:color w:val="auto"/>
                <w:sz w:val="24"/>
                <w:szCs w:val="24"/>
                <w:highlight w:val="none"/>
                <w:vertAlign w:val="baseline"/>
                <w:lang w:val="en-US" w:eastAsia="zh-CN"/>
              </w:rPr>
              <w:t>1.3311</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w:t>
            </w:r>
            <w:r>
              <w:rPr>
                <w:rFonts w:hint="eastAsia" w:cs="Times New Roman"/>
                <w:b w:val="0"/>
                <w:bCs/>
                <w:color w:val="auto"/>
                <w:sz w:val="24"/>
                <w:szCs w:val="24"/>
                <w:highlight w:val="none"/>
                <w:vertAlign w:val="baseline"/>
                <w:lang w:val="en-US" w:eastAsia="zh-CN"/>
              </w:rPr>
              <w:t>485.8515</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/a），其中医疗废水</w:t>
            </w:r>
            <w:r>
              <w:rPr>
                <w:rFonts w:hint="eastAsia" w:cs="Times New Roman"/>
                <w:b w:val="0"/>
                <w:bCs/>
                <w:color w:val="auto"/>
                <w:sz w:val="24"/>
                <w:szCs w:val="24"/>
                <w:highlight w:val="none"/>
                <w:vertAlign w:val="baseline"/>
                <w:lang w:val="en-US" w:eastAsia="zh-CN"/>
              </w:rPr>
              <w:t>0.2385</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/d，生活污水量</w:t>
            </w:r>
            <w:r>
              <w:rPr>
                <w:rFonts w:hint="eastAsia" w:cs="Times New Roman"/>
                <w:b w:val="0"/>
                <w:bCs/>
                <w:color w:val="auto"/>
                <w:sz w:val="24"/>
                <w:szCs w:val="24"/>
                <w:highlight w:val="none"/>
                <w:vertAlign w:val="baseline"/>
                <w:lang w:val="en-US" w:eastAsia="zh-CN"/>
              </w:rPr>
              <w:t>0.459</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w:t>
            </w:r>
            <w:r>
              <w:rPr>
                <w:rFonts w:hint="eastAsia" w:ascii="Times New Roman" w:hAnsi="Times New Roman" w:cs="Times New Roman"/>
                <w:b w:val="0"/>
                <w:bCs/>
                <w:color w:val="auto"/>
                <w:sz w:val="24"/>
                <w:szCs w:val="24"/>
                <w:highlight w:val="none"/>
                <w:vertAlign w:val="baseline"/>
                <w:lang w:val="en-US" w:eastAsia="zh-CN"/>
              </w:rPr>
              <w:t>，其他废水</w:t>
            </w:r>
            <w:r>
              <w:rPr>
                <w:rFonts w:hint="default" w:ascii="Times New Roman" w:hAnsi="Times New Roman" w:cs="Times New Roman"/>
                <w:b w:val="0"/>
                <w:bCs/>
                <w:color w:val="auto"/>
                <w:sz w:val="24"/>
                <w:szCs w:val="24"/>
                <w:highlight w:val="none"/>
                <w:vertAlign w:val="baseline"/>
                <w:lang w:val="en-US" w:eastAsia="zh-CN"/>
              </w:rPr>
              <w:t>产生量约</w:t>
            </w:r>
            <w:r>
              <w:rPr>
                <w:rFonts w:hint="eastAsia" w:cs="Times New Roman"/>
                <w:b w:val="0"/>
                <w:bCs/>
                <w:color w:val="auto"/>
                <w:sz w:val="24"/>
                <w:szCs w:val="24"/>
                <w:highlight w:val="none"/>
                <w:vertAlign w:val="baseline"/>
                <w:lang w:val="en-US" w:eastAsia="zh-CN"/>
              </w:rPr>
              <w:t>0.6336</w:t>
            </w:r>
            <w:r>
              <w:rPr>
                <w:rFonts w:hint="default" w:ascii="Times New Roman" w:hAnsi="Times New Roman" w:cs="Times New Roman"/>
                <w:b w:val="0"/>
                <w:bCs/>
                <w:color w:val="auto"/>
                <w:sz w:val="24"/>
                <w:szCs w:val="24"/>
                <w:highlight w:val="none"/>
                <w:vertAlign w:val="baseline"/>
                <w:lang w:val="en-US" w:eastAsia="zh-CN"/>
              </w:rPr>
              <w:t>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vertAlign w:val="baseline"/>
                <w:lang w:val="en-US" w:eastAsia="zh-CN"/>
              </w:rPr>
              <w:t>/d。医疗废水经</w:t>
            </w:r>
            <w:r>
              <w:rPr>
                <w:rFonts w:hint="eastAsia" w:cs="Times New Roman"/>
                <w:b w:val="0"/>
                <w:bCs/>
                <w:color w:val="auto"/>
                <w:sz w:val="24"/>
                <w:szCs w:val="24"/>
                <w:highlight w:val="none"/>
                <w:vertAlign w:val="baseline"/>
                <w:lang w:val="en-US" w:eastAsia="zh-CN"/>
              </w:rPr>
              <w:t>消毒设施消毒</w:t>
            </w:r>
            <w:r>
              <w:rPr>
                <w:rFonts w:hint="default" w:ascii="Times New Roman" w:hAnsi="Times New Roman" w:cs="Times New Roman"/>
                <w:b w:val="0"/>
                <w:bCs/>
                <w:color w:val="auto"/>
                <w:sz w:val="24"/>
                <w:szCs w:val="24"/>
                <w:highlight w:val="none"/>
                <w:vertAlign w:val="baseline"/>
                <w:lang w:val="en-US" w:eastAsia="zh-CN"/>
              </w:rPr>
              <w:t>后，美容洗浴废水经滤网过滤后再与生活污水及</w:t>
            </w:r>
            <w:r>
              <w:rPr>
                <w:rFonts w:hint="eastAsia" w:ascii="Times New Roman" w:hAnsi="Times New Roman" w:cs="Times New Roman"/>
                <w:b w:val="0"/>
                <w:bCs/>
                <w:color w:val="auto"/>
                <w:sz w:val="24"/>
                <w:szCs w:val="24"/>
                <w:highlight w:val="none"/>
                <w:vertAlign w:val="baseline"/>
                <w:lang w:val="en-US" w:eastAsia="zh-CN"/>
              </w:rPr>
              <w:t>其它废水</w:t>
            </w:r>
            <w:r>
              <w:rPr>
                <w:rFonts w:hint="default" w:ascii="Times New Roman" w:hAnsi="Times New Roman" w:cs="Times New Roman"/>
                <w:b w:val="0"/>
                <w:bCs/>
                <w:color w:val="auto"/>
                <w:sz w:val="24"/>
                <w:szCs w:val="24"/>
                <w:highlight w:val="none"/>
                <w:vertAlign w:val="baseline"/>
                <w:lang w:val="en-US" w:eastAsia="zh-CN"/>
              </w:rPr>
              <w:t>一并进入</w:t>
            </w:r>
            <w:r>
              <w:rPr>
                <w:rFonts w:hint="eastAsia" w:cs="Times New Roman"/>
                <w:b w:val="0"/>
                <w:bCs/>
                <w:color w:val="auto"/>
                <w:sz w:val="24"/>
                <w:szCs w:val="24"/>
                <w:highlight w:val="none"/>
                <w:lang w:val="en-US" w:eastAsia="zh-CN"/>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处理达《污水综合排放标准》（GB8978-1996）三级标准后</w:t>
            </w:r>
            <w:r>
              <w:rPr>
                <w:rFonts w:hint="default" w:cs="Times New Roman"/>
                <w:b w:val="0"/>
                <w:bCs/>
                <w:color w:val="000000" w:themeColor="text1"/>
                <w:sz w:val="24"/>
                <w:szCs w:val="24"/>
                <w:highlight w:val="none"/>
                <w:lang w:val="en-US" w:eastAsia="zh-CN"/>
                <w14:textFill>
                  <w14:solidFill>
                    <w14:schemeClr w14:val="tx1"/>
                  </w14:solidFill>
                </w14:textFill>
              </w:rPr>
              <w:t>排入市政污水管网，再进入</w:t>
            </w:r>
            <w:r>
              <w:rPr>
                <w:rFonts w:hint="eastAsia" w:cs="Times New Roman"/>
                <w:b w:val="0"/>
                <w:bCs/>
                <w:color w:val="000000" w:themeColor="text1"/>
                <w:sz w:val="24"/>
                <w:szCs w:val="24"/>
                <w:highlight w:val="none"/>
                <w:lang w:val="en-US" w:eastAsia="zh-CN"/>
                <w14:textFill>
                  <w14:solidFill>
                    <w14:schemeClr w14:val="tx1"/>
                  </w14:solidFill>
                </w14:textFill>
              </w:rPr>
              <w:t>彩云湖污水处理厂</w:t>
            </w:r>
            <w:r>
              <w:rPr>
                <w:rFonts w:hint="default" w:cs="Times New Roman"/>
                <w:b w:val="0"/>
                <w:bCs/>
                <w:color w:val="000000" w:themeColor="text1"/>
                <w:sz w:val="24"/>
                <w:szCs w:val="24"/>
                <w:highlight w:val="none"/>
                <w:lang w:val="en-US" w:eastAsia="zh-CN"/>
                <w14:textFill>
                  <w14:solidFill>
                    <w14:schemeClr w14:val="tx1"/>
                  </w14:solidFill>
                </w14:textFill>
              </w:rPr>
              <w:t>进一步</w:t>
            </w:r>
            <w:r>
              <w:rPr>
                <w:rFonts w:hint="default" w:cs="Times New Roman"/>
                <w:b w:val="0"/>
                <w:bCs/>
                <w:color w:val="auto"/>
                <w:sz w:val="24"/>
                <w:szCs w:val="24"/>
                <w:highlight w:val="none"/>
                <w:lang w:val="en-US" w:eastAsia="zh-CN"/>
              </w:rPr>
              <w:t>处理达</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彩云湖污水处理厂出水水质标准后</w:t>
            </w:r>
            <w:r>
              <w:rPr>
                <w:rFonts w:hint="default" w:ascii="Times New Roman" w:hAnsi="Times New Roman" w:eastAsia="宋体" w:cs="Times New Roman"/>
                <w:b w:val="0"/>
                <w:bCs/>
                <w:color w:val="auto"/>
                <w:sz w:val="24"/>
                <w:szCs w:val="24"/>
                <w:highlight w:val="none"/>
                <w:vertAlign w:val="baseline"/>
                <w:lang w:val="en-US" w:eastAsia="zh-CN"/>
              </w:rPr>
              <w:t>作为彩云湖湿地公园和桃花溪景观补水</w:t>
            </w:r>
            <w:r>
              <w:rPr>
                <w:rFonts w:hint="eastAsia" w:cs="Times New Roman"/>
                <w:b w:val="0"/>
                <w:bCs/>
                <w:color w:val="auto"/>
                <w:sz w:val="24"/>
                <w:szCs w:val="24"/>
                <w:highlight w:val="none"/>
                <w:vertAlign w:val="baseline"/>
                <w:lang w:val="en-US" w:eastAsia="zh-CN"/>
              </w:rPr>
              <w:t>，最终</w:t>
            </w:r>
            <w:r>
              <w:rPr>
                <w:rFonts w:hint="default" w:cs="Times New Roman"/>
                <w:b w:val="0"/>
                <w:bCs/>
                <w:color w:val="auto"/>
                <w:sz w:val="24"/>
                <w:szCs w:val="24"/>
                <w:highlight w:val="none"/>
                <w:lang w:val="en-US" w:eastAsia="zh-CN"/>
              </w:rPr>
              <w:t>排入</w:t>
            </w:r>
            <w:r>
              <w:rPr>
                <w:rFonts w:hint="eastAsia" w:cs="Times New Roman"/>
                <w:b w:val="0"/>
                <w:bCs/>
                <w:color w:val="000000" w:themeColor="text1"/>
                <w:sz w:val="24"/>
                <w:szCs w:val="24"/>
                <w:highlight w:val="none"/>
                <w:lang w:val="en-US" w:eastAsia="zh-CN"/>
                <w14:textFill>
                  <w14:solidFill>
                    <w14:schemeClr w14:val="tx1"/>
                  </w14:solidFill>
                </w14:textFill>
              </w:rPr>
              <w:t>长江</w:t>
            </w:r>
            <w:r>
              <w:rPr>
                <w:rFonts w:hint="default" w:cs="Times New Roman"/>
                <w:b w:val="0"/>
                <w:bCs/>
                <w:color w:val="000000" w:themeColor="text1"/>
                <w:sz w:val="24"/>
                <w:szCs w:val="24"/>
                <w:highlight w:val="none"/>
                <w:lang w:val="en-US" w:eastAsia="zh-CN"/>
                <w14:textFill>
                  <w14:solidFill>
                    <w14:schemeClr w14:val="tx1"/>
                  </w14:solidFill>
                </w14:textFill>
              </w:rPr>
              <w:t>。</w:t>
            </w:r>
          </w:p>
          <w:p w14:paraId="6E1087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5258435" cy="6118860"/>
                  <wp:effectExtent l="0" t="0" r="18415" b="15240"/>
                  <wp:docPr id="1" name="图片 1" descr="17537737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3773701673"/>
                          <pic:cNvPicPr>
                            <a:picLocks noChangeAspect="1"/>
                          </pic:cNvPicPr>
                        </pic:nvPicPr>
                        <pic:blipFill>
                          <a:blip r:embed="rId17"/>
                          <a:stretch>
                            <a:fillRect/>
                          </a:stretch>
                        </pic:blipFill>
                        <pic:spPr>
                          <a:xfrm>
                            <a:off x="0" y="0"/>
                            <a:ext cx="5258435" cy="6118860"/>
                          </a:xfrm>
                          <a:prstGeom prst="rect">
                            <a:avLst/>
                          </a:prstGeom>
                        </pic:spPr>
                      </pic:pic>
                    </a:graphicData>
                  </a:graphic>
                </wp:inline>
              </w:drawing>
            </w:r>
          </w:p>
          <w:p w14:paraId="6CE3D9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图2.1</w:t>
            </w:r>
            <w:r>
              <w:rPr>
                <w:rFonts w:hint="eastAsia" w:cs="Times New Roman"/>
                <w:b/>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项目水平衡图（m</w:t>
            </w:r>
            <w:r>
              <w:rPr>
                <w:rFonts w:hint="default" w:ascii="Times New Roman" w:hAnsi="Times New Roman" w:cs="Times New Roman"/>
                <w:b/>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/d）</w:t>
            </w:r>
          </w:p>
          <w:p w14:paraId="006716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2.8.3供电</w:t>
            </w:r>
          </w:p>
          <w:p w14:paraId="70FB0E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由市政供电设施供电，能满足项目需要。</w:t>
            </w:r>
          </w:p>
          <w:p w14:paraId="1B1E1F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2.8.4热水</w:t>
            </w:r>
          </w:p>
          <w:p w14:paraId="0D5FEA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项目采用电热水器烧水。</w:t>
            </w:r>
          </w:p>
          <w:p w14:paraId="6FDFB4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2.8.5消毒系统</w:t>
            </w:r>
          </w:p>
          <w:p w14:paraId="36DA30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项目的</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医疗器械、玻璃器皿等采用</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蒸汽灭菌器进行灭菌消毒</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公共区域采用紫外线</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消毒车紫外灯</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消毒、84消毒液喷酒消毒</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医疗废水通过投加</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二氧化氯</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消毒片</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消毒</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0E0BDD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2.8.6</w:t>
            </w:r>
            <w:r>
              <w:rPr>
                <w:rFonts w:hint="eastAsia" w:ascii="Times New Roman" w:hAnsi="Times New Roman" w:cs="Times New Roman"/>
                <w:b/>
                <w:bCs w:val="0"/>
                <w:color w:val="000000" w:themeColor="text1"/>
                <w:sz w:val="24"/>
                <w:szCs w:val="24"/>
                <w:highlight w:val="none"/>
                <w:vertAlign w:val="baseline"/>
                <w:lang w:val="en-US" w:eastAsia="zh-CN"/>
                <w14:textFill>
                  <w14:solidFill>
                    <w14:schemeClr w14:val="tx1"/>
                  </w14:solidFill>
                </w14:textFill>
              </w:rPr>
              <w:t>供氧</w:t>
            </w:r>
          </w:p>
          <w:p w14:paraId="3623AB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项目在手术室设置</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个成品氧气瓶（各</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40</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L，</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用</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备）</w:t>
            </w:r>
            <w:r>
              <w:rPr>
                <w:rFonts w:hint="eastAsia" w:ascii="Times New Roman" w:hAnsi="Times New Roman" w:eastAsia="宋体" w:cs="Times New Roman"/>
                <w:b w:val="0"/>
                <w:bCs/>
                <w:color w:val="0000C8"/>
                <w:sz w:val="24"/>
                <w:szCs w:val="24"/>
                <w:highlight w:val="none"/>
                <w:lang w:eastAsia="zh-CN"/>
              </w:rPr>
              <w:t>。</w:t>
            </w:r>
          </w:p>
        </w:tc>
      </w:tr>
      <w:tr w14:paraId="5829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485" w:type="dxa"/>
            <w:noWrap w:val="0"/>
            <w:vAlign w:val="center"/>
          </w:tcPr>
          <w:p w14:paraId="7984571B">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000000" w:themeColor="text1"/>
                <w:sz w:val="21"/>
                <w:szCs w:val="21"/>
                <w:highlight w:val="none"/>
                <w14:textFill>
                  <w14:solidFill>
                    <w14:schemeClr w14:val="tx1"/>
                  </w14:solidFill>
                </w14:textFill>
              </w:rPr>
              <w:t>工艺流程和产排污环节</w:t>
            </w:r>
          </w:p>
        </w:tc>
        <w:tc>
          <w:tcPr>
            <w:tcW w:w="8499" w:type="dxa"/>
            <w:noWrap w:val="0"/>
            <w:vAlign w:val="top"/>
          </w:tcPr>
          <w:p w14:paraId="5762D2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2.9工艺流程及产排污环节分析</w:t>
            </w:r>
          </w:p>
          <w:p w14:paraId="1FBE256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2.9.1施工期</w:t>
            </w:r>
            <w:r>
              <w:rPr>
                <w:rFonts w:hint="default" w:ascii="Times New Roman" w:hAnsi="Times New Roman" w:cs="Times New Roman"/>
                <w:b/>
                <w:bCs w:val="0"/>
                <w:color w:val="000000" w:themeColor="text1"/>
                <w:sz w:val="24"/>
                <w:szCs w:val="24"/>
                <w:highlight w:val="none"/>
                <w14:textFill>
                  <w14:solidFill>
                    <w14:schemeClr w14:val="tx1"/>
                  </w14:solidFill>
                </w14:textFill>
              </w:rPr>
              <w:t>工艺流程及产排污分析</w:t>
            </w:r>
          </w:p>
          <w:p w14:paraId="2E0B25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本次建设是在宠物医院现有手术基础上增设动物颅腔、胸腔、腹腔手术服务，仅新增部分设备，无需重新装修，无施工期。故本次评价不再对施工期进行分析。</w:t>
            </w:r>
          </w:p>
          <w:p w14:paraId="0B9E3D3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2.9.</w:t>
            </w: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val="0"/>
                <w:color w:val="000000" w:themeColor="text1"/>
                <w:sz w:val="24"/>
                <w:szCs w:val="24"/>
                <w:highlight w:val="none"/>
                <w14:textFill>
                  <w14:solidFill>
                    <w14:schemeClr w14:val="tx1"/>
                  </w14:solidFill>
                </w14:textFill>
              </w:rPr>
              <w:t>营运期工艺流程及产排污分析</w:t>
            </w:r>
          </w:p>
          <w:p w14:paraId="40A4C9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14:textFill>
                  <w14:solidFill>
                    <w14:schemeClr w14:val="tx1"/>
                  </w14:solidFill>
                </w14:textFill>
              </w:rPr>
              <w:t>项目建成后主要进行狗、猫等宠物疾病预防、诊疗、治疗和手术</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14:textFill>
                  <w14:solidFill>
                    <w14:schemeClr w14:val="tx1"/>
                  </w14:solidFill>
                </w14:textFill>
              </w:rPr>
              <w:t>含三腔手术</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及美容服务</w:t>
            </w:r>
            <w:r>
              <w:rPr>
                <w:rFonts w:hint="default" w:ascii="Times New Roman" w:hAnsi="Times New Roman" w:cs="Times New Roman"/>
                <w:b w:val="0"/>
                <w:bCs/>
                <w:color w:val="000000" w:themeColor="text1"/>
                <w:sz w:val="24"/>
                <w:szCs w:val="24"/>
                <w:highlight w:val="none"/>
                <w14:textFill>
                  <w14:solidFill>
                    <w14:schemeClr w14:val="tx1"/>
                  </w14:solidFill>
                </w14:textFill>
              </w:rPr>
              <w:t>，宠物进行挂号、就诊、化验、治疗和手术、住院观察等，部分宠物仅打疫苗预防疾病。项目配备1台DR自带数字直接成像系统。不需要出片，不设置洗片室，不涉及洗片废水产生。项目医疗服务的工作流程及产污节点见下图。</w:t>
            </w:r>
          </w:p>
          <w:p w14:paraId="6D6D5C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drawing>
                <wp:inline distT="0" distB="0" distL="114300" distR="114300">
                  <wp:extent cx="5250815" cy="2849880"/>
                  <wp:effectExtent l="0" t="0" r="6985" b="7620"/>
                  <wp:docPr id="17" name="图片 17"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艺流程"/>
                          <pic:cNvPicPr>
                            <a:picLocks noChangeAspect="1"/>
                          </pic:cNvPicPr>
                        </pic:nvPicPr>
                        <pic:blipFill>
                          <a:blip r:embed="rId18"/>
                          <a:stretch>
                            <a:fillRect/>
                          </a:stretch>
                        </pic:blipFill>
                        <pic:spPr>
                          <a:xfrm>
                            <a:off x="0" y="0"/>
                            <a:ext cx="5250815" cy="2849880"/>
                          </a:xfrm>
                          <a:prstGeom prst="rect">
                            <a:avLst/>
                          </a:prstGeom>
                        </pic:spPr>
                      </pic:pic>
                    </a:graphicData>
                  </a:graphic>
                </wp:inline>
              </w:drawing>
            </w:r>
          </w:p>
          <w:p w14:paraId="472E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图2.9-1 医疗服务工作流程及产污环节分析</w:t>
            </w:r>
          </w:p>
          <w:p w14:paraId="2E08FB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工艺流程简述</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p>
          <w:p w14:paraId="6630D1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宠物治疗</w:t>
            </w:r>
          </w:p>
          <w:p w14:paraId="6C1824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项目主要从事犬、猫等动物疫病的预防、诊疗及手术。项目不接收经诊断患有人畜交叉感染传染病的宠物，仅对一般宠物感染病症进行隔离。项目化验过程中均采用成品试剂，该过程不产生化验废水。</w:t>
            </w:r>
          </w:p>
          <w:p w14:paraId="5698B7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检查</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顾客携带宠物先到前台挂号并进行初检，符合治疗条件的患病动物由导诊人员</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或顾客</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带至诊室就诊，由医护人员对宠物进行基础检查，会使用医用酒精棉进行消毒，使用后的酒精棉属于医疗废物。</w:t>
            </w:r>
          </w:p>
          <w:p w14:paraId="3147A81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化验诊断</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医护人员根据宠物情况进行常规检查，包括使用显微镜进行细胞学、皮肤、耳道分泌物、粪常规检查</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使用生化分析仪采用干式生化试剂片对ALT</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谷丙转氨酶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、ALB</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白蛋白</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、ALP</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碱性磷酸酶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、AMY</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淀粉酶</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等因子进行检测</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使用荧光分析仪采用干式试剂片对犬胰腺炎、猫胰腺炎等进行检测及DR检测等。执业医师根据化验数据做出诊断结果</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并根据患病动物的情况进行输液、手术、疫苗接种等诊疗过程。化验诊疗主要产生的一次性医疗器、棉签、宠物血液、针管等医疗废物，化验时宠物医生洗手等产生医疗废水。</w:t>
            </w:r>
          </w:p>
          <w:p w14:paraId="7652A5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治疗</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治疗包含手术治疗和常规治疗。手术过程中手术台上铺的医用纱布、垫料，手术过程中产生的血液、废弃医用棉、宠物医生的一次性手套、输液及手术过程中的一次性注射器等医疗废物，切除的宠物组织、病死宠物尸体等属于医疗废物。宠物医生手术后的清洗废水及手术器械清洗废水属于医疗废水。治疗过程中会产生医疗废物和医疗废水。</w:t>
            </w:r>
          </w:p>
          <w:p w14:paraId="06081A4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住院</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宠物住院观察过程中宠物生活会产生少量臭气、粪便及宠物笼清洗废水及宠物叫声。</w:t>
            </w:r>
          </w:p>
          <w:p w14:paraId="28142B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离开</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观察一段时间后，宠物恢复，离开医院</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w:t>
            </w:r>
          </w:p>
          <w:p w14:paraId="3D83540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（2）美容洗浴</w:t>
            </w:r>
          </w:p>
          <w:p w14:paraId="25621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宠物美容主要包括给宠物修剪指（趾）甲、剃脚毛、挖耳朵、洗澡等，进行美容后的宠物由其主人带离医院，本项目美容不包括染色项目。</w:t>
            </w:r>
          </w:p>
          <w:p w14:paraId="1CD7EA8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美容洗浴：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洗护人员对宠物进行全身清洗，该过程会产生美容洗浴废水。</w:t>
            </w:r>
          </w:p>
          <w:p w14:paraId="3B15C22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剪毛</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：医护人员对宠物进行毛发修整，该过程会产生动物毛发，包含修剪废物。</w:t>
            </w:r>
          </w:p>
          <w:p w14:paraId="0ADDF1D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离开</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：宠物美容完成后离开医院。</w:t>
            </w:r>
          </w:p>
          <w:p w14:paraId="26A400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其他产污环节：项目需要定期对工服进行清洗，会产生工服清洗废水</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美容洗浴后的宠物毛毯需要进行清洗，会产生宠物毛毯清洗废水</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宠物偶发性噪声等。</w:t>
            </w:r>
          </w:p>
          <w:p w14:paraId="2E785B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C8"/>
                <w:sz w:val="24"/>
                <w:szCs w:val="24"/>
                <w:highlight w:val="none"/>
                <w:lang w:val="en-US" w:eastAsia="zh-CN"/>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医院消毒方式</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医院地面采用84消毒</w:t>
            </w:r>
            <w:r>
              <w:rPr>
                <w:rFonts w:hint="eastAsia"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手术治疗过程中使用酒精对宠物进行喷雾治疗。医疗器械、玻璃器皿采用</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蒸汽灭菌器</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进行高温消毒，高温灭菌保持在120℃以上并维持30分钟即可有效灭菌。医疗废水使用</w:t>
            </w:r>
            <w:r>
              <w:rPr>
                <w:rFonts w:hint="eastAsia" w:cs="Times New Roman"/>
                <w:b w:val="0"/>
                <w:bCs/>
                <w:color w:val="000000" w:themeColor="text1"/>
                <w:sz w:val="24"/>
                <w:szCs w:val="24"/>
                <w:highlight w:val="none"/>
                <w:lang w:val="en-US" w:eastAsia="zh-CN"/>
                <w14:textFill>
                  <w14:solidFill>
                    <w14:schemeClr w14:val="tx1"/>
                  </w14:solidFill>
                </w14:textFill>
              </w:rPr>
              <w:t>二氧化氯</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消毒片</w:t>
            </w:r>
            <w:r>
              <w:rPr>
                <w:rFonts w:hint="eastAsia"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进行消毒使用浓度为40-60mg</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/L</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，静置消毒60-70分钟即可。动物排泄物经</w:t>
            </w:r>
            <w:r>
              <w:rPr>
                <w:rFonts w:hint="eastAsia" w:cs="Times New Roman"/>
                <w:b w:val="0"/>
                <w:bCs/>
                <w:color w:val="000000" w:themeColor="text1"/>
                <w:sz w:val="24"/>
                <w:szCs w:val="24"/>
                <w:highlight w:val="none"/>
                <w:lang w:val="en-US" w:eastAsia="zh-CN"/>
                <w14:textFill>
                  <w14:solidFill>
                    <w14:schemeClr w14:val="tx1"/>
                  </w14:solidFill>
                </w14:textFill>
              </w:rPr>
              <w:t>84消毒剂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消毒后交市政环卫部门处置。</w:t>
            </w:r>
          </w:p>
          <w:p w14:paraId="066E3D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2.10 项目产排污环节分析</w:t>
            </w:r>
          </w:p>
          <w:p w14:paraId="4B4CC8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项目产排污节点详见表2.10-1。</w:t>
            </w:r>
          </w:p>
          <w:p w14:paraId="4DD55F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表2.10-1项目产排污节点分析一览表</w:t>
            </w:r>
          </w:p>
          <w:tbl>
            <w:tblPr>
              <w:tblStyle w:val="21"/>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70"/>
              <w:gridCol w:w="1553"/>
              <w:gridCol w:w="600"/>
              <w:gridCol w:w="2280"/>
              <w:gridCol w:w="2471"/>
            </w:tblGrid>
            <w:tr w14:paraId="6C8F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gridSpan w:val="2"/>
                  <w:tcBorders>
                    <w:tl2br w:val="nil"/>
                    <w:tr2bl w:val="nil"/>
                  </w:tcBorders>
                  <w:vAlign w:val="center"/>
                </w:tcPr>
                <w:p w14:paraId="2866A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类型</w:t>
                  </w:r>
                </w:p>
              </w:tc>
              <w:tc>
                <w:tcPr>
                  <w:tcW w:w="940" w:type="pct"/>
                  <w:tcBorders>
                    <w:tl2br w:val="nil"/>
                    <w:tr2bl w:val="nil"/>
                  </w:tcBorders>
                  <w:vAlign w:val="center"/>
                </w:tcPr>
                <w:p w14:paraId="5AA26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产污工序</w:t>
                  </w:r>
                </w:p>
              </w:tc>
              <w:tc>
                <w:tcPr>
                  <w:tcW w:w="1744" w:type="pct"/>
                  <w:gridSpan w:val="2"/>
                  <w:tcBorders>
                    <w:tl2br w:val="nil"/>
                    <w:tr2bl w:val="nil"/>
                  </w:tcBorders>
                  <w:vAlign w:val="center"/>
                </w:tcPr>
                <w:p w14:paraId="3396C8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主要污染物</w:t>
                  </w:r>
                </w:p>
              </w:tc>
              <w:tc>
                <w:tcPr>
                  <w:tcW w:w="1497" w:type="pct"/>
                  <w:tcBorders>
                    <w:tl2br w:val="nil"/>
                    <w:tr2bl w:val="nil"/>
                  </w:tcBorders>
                  <w:vAlign w:val="center"/>
                </w:tcPr>
                <w:p w14:paraId="38352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措施与去向</w:t>
                  </w:r>
                </w:p>
              </w:tc>
            </w:tr>
            <w:tr w14:paraId="5C1F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tcBorders>
                    <w:tl2br w:val="nil"/>
                    <w:tr2bl w:val="nil"/>
                  </w:tcBorders>
                  <w:vAlign w:val="center"/>
                </w:tcPr>
                <w:p w14:paraId="2DECF9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废气</w:t>
                  </w:r>
                </w:p>
              </w:tc>
              <w:tc>
                <w:tcPr>
                  <w:tcW w:w="527" w:type="pct"/>
                  <w:tcBorders>
                    <w:tl2br w:val="nil"/>
                    <w:tr2bl w:val="nil"/>
                  </w:tcBorders>
                  <w:vAlign w:val="center"/>
                </w:tcPr>
                <w:p w14:paraId="28E5F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宠物异味、</w:t>
                  </w:r>
                  <w:r>
                    <w:rPr>
                      <w:rFonts w:hint="eastAsia" w:cs="Times New Roman"/>
                      <w:b w:val="0"/>
                      <w:bCs/>
                      <w:color w:val="000000" w:themeColor="text1"/>
                      <w:sz w:val="21"/>
                      <w:szCs w:val="21"/>
                      <w:highlight w:val="none"/>
                      <w:vertAlign w:val="baseline"/>
                      <w:lang w:eastAsia="zh-CN"/>
                      <w14:textFill>
                        <w14:solidFill>
                          <w14:schemeClr w14:val="tx1"/>
                        </w14:solidFill>
                      </w14:textFill>
                    </w:rPr>
                    <w:t>消毒设施</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异味等</w:t>
                  </w:r>
                </w:p>
              </w:tc>
              <w:tc>
                <w:tcPr>
                  <w:tcW w:w="940" w:type="pct"/>
                  <w:tcBorders>
                    <w:tl2br w:val="nil"/>
                    <w:tr2bl w:val="nil"/>
                  </w:tcBorders>
                  <w:vAlign w:val="center"/>
                </w:tcPr>
                <w:p w14:paraId="267211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诊疗、住院、</w:t>
                  </w:r>
                  <w:r>
                    <w:rPr>
                      <w:rFonts w:hint="eastAsia" w:cs="Times New Roman"/>
                      <w:b w:val="0"/>
                      <w:bCs/>
                      <w:color w:val="000000" w:themeColor="text1"/>
                      <w:sz w:val="21"/>
                      <w:szCs w:val="21"/>
                      <w:highlight w:val="none"/>
                      <w:vertAlign w:val="baseline"/>
                      <w:lang w:eastAsia="zh-CN"/>
                      <w14:textFill>
                        <w14:solidFill>
                          <w14:schemeClr w14:val="tx1"/>
                        </w14:solidFill>
                      </w14:textFill>
                    </w:rPr>
                    <w:t>消毒设施</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等</w:t>
                  </w:r>
                </w:p>
              </w:tc>
              <w:tc>
                <w:tcPr>
                  <w:tcW w:w="1744" w:type="pct"/>
                  <w:gridSpan w:val="2"/>
                  <w:tcBorders>
                    <w:tl2br w:val="nil"/>
                    <w:tr2bl w:val="nil"/>
                  </w:tcBorders>
                  <w:vAlign w:val="center"/>
                </w:tcPr>
                <w:p w14:paraId="17614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臭气</w:t>
                  </w:r>
                </w:p>
              </w:tc>
              <w:tc>
                <w:tcPr>
                  <w:tcW w:w="1497" w:type="pct"/>
                  <w:vMerge w:val="restart"/>
                  <w:tcBorders>
                    <w:tl2br w:val="nil"/>
                    <w:tr2bl w:val="nil"/>
                  </w:tcBorders>
                  <w:vAlign w:val="center"/>
                </w:tcPr>
                <w:p w14:paraId="1A906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通过空调系统通风换气，定期使用84消毒液等对医院进行消毒，加强通风</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换风</w:t>
                  </w:r>
                </w:p>
              </w:tc>
            </w:tr>
            <w:tr w14:paraId="4ABB8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35235D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75821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酒精消毒</w:t>
                  </w:r>
                </w:p>
              </w:tc>
              <w:tc>
                <w:tcPr>
                  <w:tcW w:w="940" w:type="pct"/>
                  <w:tcBorders>
                    <w:tl2br w:val="nil"/>
                    <w:tr2bl w:val="nil"/>
                  </w:tcBorders>
                  <w:vAlign w:val="center"/>
                </w:tcPr>
                <w:p w14:paraId="6BDD9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诊疗</w:t>
                  </w:r>
                </w:p>
              </w:tc>
              <w:tc>
                <w:tcPr>
                  <w:tcW w:w="1744" w:type="pct"/>
                  <w:gridSpan w:val="2"/>
                  <w:tcBorders>
                    <w:tl2br w:val="nil"/>
                    <w:tr2bl w:val="nil"/>
                  </w:tcBorders>
                  <w:vAlign w:val="center"/>
                </w:tcPr>
                <w:p w14:paraId="367A2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非甲烷总烃</w:t>
                  </w:r>
                </w:p>
              </w:tc>
              <w:tc>
                <w:tcPr>
                  <w:tcW w:w="1497" w:type="pct"/>
                  <w:vMerge w:val="continue"/>
                  <w:tcBorders>
                    <w:tl2br w:val="nil"/>
                    <w:tr2bl w:val="nil"/>
                  </w:tcBorders>
                  <w:vAlign w:val="center"/>
                </w:tcPr>
                <w:p w14:paraId="120B5F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r>
            <w:tr w14:paraId="5DEC9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90" w:type="pct"/>
                  <w:vMerge w:val="restart"/>
                  <w:tcBorders>
                    <w:tl2br w:val="nil"/>
                    <w:tr2bl w:val="nil"/>
                  </w:tcBorders>
                  <w:vAlign w:val="center"/>
                </w:tcPr>
                <w:p w14:paraId="7B134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废水</w:t>
                  </w:r>
                </w:p>
              </w:tc>
              <w:tc>
                <w:tcPr>
                  <w:tcW w:w="527" w:type="pct"/>
                  <w:tcBorders>
                    <w:tl2br w:val="nil"/>
                    <w:tr2bl w:val="nil"/>
                  </w:tcBorders>
                  <w:vAlign w:val="center"/>
                </w:tcPr>
                <w:p w14:paraId="57784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生活污水</w:t>
                  </w:r>
                </w:p>
              </w:tc>
              <w:tc>
                <w:tcPr>
                  <w:tcW w:w="940" w:type="pct"/>
                  <w:tcBorders>
                    <w:tl2br w:val="nil"/>
                    <w:tr2bl w:val="nil"/>
                  </w:tcBorders>
                  <w:vAlign w:val="center"/>
                </w:tcPr>
                <w:p w14:paraId="47F2A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员工</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生活办公</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顾客</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等</w:t>
                  </w:r>
                </w:p>
              </w:tc>
              <w:tc>
                <w:tcPr>
                  <w:tcW w:w="1744" w:type="pct"/>
                  <w:gridSpan w:val="2"/>
                  <w:tcBorders>
                    <w:tl2br w:val="nil"/>
                    <w:tr2bl w:val="nil"/>
                  </w:tcBorders>
                  <w:vAlign w:val="center"/>
                </w:tcPr>
                <w:p w14:paraId="4D627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、SS、氨氮、总磷</w:t>
                  </w:r>
                </w:p>
              </w:tc>
              <w:tc>
                <w:tcPr>
                  <w:tcW w:w="1497" w:type="pct"/>
                  <w:vMerge w:val="restart"/>
                  <w:tcBorders>
                    <w:tl2br w:val="nil"/>
                    <w:tr2bl w:val="nil"/>
                  </w:tcBorders>
                  <w:vAlign w:val="center"/>
                </w:tcPr>
                <w:p w14:paraId="324D6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医疗废水经</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消毒设施消毒</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，美容洗浴废水经滤网过滤后再与生活污水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及</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其它废水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一并进入</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弘悦101已建</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生化池</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处理达《污水综合排放标准》（GB8978-1996）三级标准后排入市政污水管网，经市政污水管</w:t>
                  </w:r>
                  <w:r>
                    <w:rPr>
                      <w:rFonts w:hint="default" w:ascii="Times New Roman" w:hAnsi="Times New Roman" w:cs="Times New Roman"/>
                      <w:b w:val="0"/>
                      <w:bCs/>
                      <w:color w:val="auto"/>
                      <w:sz w:val="21"/>
                      <w:szCs w:val="21"/>
                      <w:highlight w:val="none"/>
                      <w:vertAlign w:val="baseline"/>
                      <w:lang w:val="en-US" w:eastAsia="zh-CN"/>
                    </w:rPr>
                    <w:t>网进入</w:t>
                  </w:r>
                  <w:r>
                    <w:rPr>
                      <w:rFonts w:hint="eastAsia" w:cs="Times New Roman"/>
                      <w:b w:val="0"/>
                      <w:bCs/>
                      <w:color w:val="auto"/>
                      <w:sz w:val="21"/>
                      <w:szCs w:val="21"/>
                      <w:highlight w:val="none"/>
                      <w:vertAlign w:val="baseline"/>
                      <w:lang w:val="en-US" w:eastAsia="zh-CN"/>
                    </w:rPr>
                    <w:t>彩云湖污水处理厂</w:t>
                  </w:r>
                  <w:r>
                    <w:rPr>
                      <w:rFonts w:hint="default" w:ascii="Times New Roman" w:hAnsi="Times New Roman" w:cs="Times New Roman"/>
                      <w:b w:val="0"/>
                      <w:bCs/>
                      <w:color w:val="auto"/>
                      <w:sz w:val="21"/>
                      <w:szCs w:val="21"/>
                      <w:highlight w:val="none"/>
                      <w:vertAlign w:val="baseline"/>
                      <w:lang w:val="en-US" w:eastAsia="zh-CN"/>
                    </w:rPr>
                    <w:t>深度处理达</w:t>
                  </w:r>
                  <w:r>
                    <w:rPr>
                      <w:rFonts w:hint="eastAsia" w:cs="Times New Roman"/>
                      <w:b w:val="0"/>
                      <w:bCs/>
                      <w:color w:val="auto"/>
                      <w:sz w:val="21"/>
                      <w:szCs w:val="21"/>
                      <w:highlight w:val="none"/>
                      <w:vertAlign w:val="baseline"/>
                      <w:lang w:val="en-US" w:eastAsia="zh-CN"/>
                    </w:rPr>
                    <w:t>彩云湖污水处理厂出水水质标准后</w:t>
                  </w:r>
                  <w:r>
                    <w:rPr>
                      <w:rFonts w:hint="default" w:ascii="Times New Roman" w:hAnsi="Times New Roman" w:eastAsia="宋体" w:cs="Times New Roman"/>
                      <w:b w:val="0"/>
                      <w:bCs/>
                      <w:color w:val="auto"/>
                      <w:sz w:val="21"/>
                      <w:szCs w:val="21"/>
                      <w:highlight w:val="none"/>
                      <w:vertAlign w:val="baseline"/>
                      <w:lang w:val="en-US" w:eastAsia="zh-CN"/>
                    </w:rPr>
                    <w:t>作为彩云湖湿地公园和桃花溪景观补水</w:t>
                  </w:r>
                  <w:r>
                    <w:rPr>
                      <w:rFonts w:hint="eastAsia" w:cs="Times New Roman"/>
                      <w:b w:val="0"/>
                      <w:bCs/>
                      <w:color w:val="auto"/>
                      <w:sz w:val="21"/>
                      <w:szCs w:val="21"/>
                      <w:highlight w:val="none"/>
                      <w:vertAlign w:val="baseline"/>
                      <w:lang w:val="en-US" w:eastAsia="zh-CN"/>
                    </w:rPr>
                    <w:t>，最终</w:t>
                  </w:r>
                  <w:r>
                    <w:rPr>
                      <w:rFonts w:hint="default" w:ascii="Times New Roman" w:hAnsi="Times New Roman" w:cs="Times New Roman"/>
                      <w:b w:val="0"/>
                      <w:bCs/>
                      <w:color w:val="auto"/>
                      <w:sz w:val="21"/>
                      <w:szCs w:val="21"/>
                      <w:highlight w:val="none"/>
                      <w:vertAlign w:val="baseline"/>
                      <w:lang w:val="en-US" w:eastAsia="zh-CN"/>
                    </w:rPr>
                    <w:t>排入</w:t>
                  </w:r>
                  <w:r>
                    <w:rPr>
                      <w:rFonts w:hint="eastAsia" w:cs="Times New Roman"/>
                      <w:b w:val="0"/>
                      <w:bCs/>
                      <w:color w:val="auto"/>
                      <w:sz w:val="21"/>
                      <w:szCs w:val="21"/>
                      <w:highlight w:val="none"/>
                      <w:vertAlign w:val="baseline"/>
                      <w:lang w:val="en-US" w:eastAsia="zh-CN"/>
                    </w:rPr>
                    <w:t>长江</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r>
            <w:tr w14:paraId="60BEF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78D67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28599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医疗废水</w:t>
                  </w:r>
                </w:p>
              </w:tc>
              <w:tc>
                <w:tcPr>
                  <w:tcW w:w="940" w:type="pct"/>
                  <w:tcBorders>
                    <w:tl2br w:val="nil"/>
                    <w:tr2bl w:val="nil"/>
                  </w:tcBorders>
                  <w:vAlign w:val="center"/>
                </w:tcPr>
                <w:p w14:paraId="12E7E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化验</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、宠物笼清洗、器械清洗</w:t>
                  </w:r>
                </w:p>
              </w:tc>
              <w:tc>
                <w:tcPr>
                  <w:tcW w:w="1744" w:type="pct"/>
                  <w:gridSpan w:val="2"/>
                  <w:tcBorders>
                    <w:tl2br w:val="nil"/>
                    <w:tr2bl w:val="nil"/>
                  </w:tcBorders>
                  <w:vAlign w:val="center"/>
                </w:tcPr>
                <w:p w14:paraId="49202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粪大肠菌群</w:t>
                  </w:r>
                </w:p>
              </w:tc>
              <w:tc>
                <w:tcPr>
                  <w:tcW w:w="1497" w:type="pct"/>
                  <w:vMerge w:val="continue"/>
                  <w:tcBorders>
                    <w:tl2br w:val="nil"/>
                    <w:tr2bl w:val="nil"/>
                  </w:tcBorders>
                  <w:vAlign w:val="center"/>
                </w:tcPr>
                <w:p w14:paraId="4711F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5F40B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CA4C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09C85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美容洗护</w:t>
                  </w:r>
                </w:p>
              </w:tc>
              <w:tc>
                <w:tcPr>
                  <w:tcW w:w="940" w:type="pct"/>
                  <w:tcBorders>
                    <w:tl2br w:val="nil"/>
                    <w:tr2bl w:val="nil"/>
                  </w:tcBorders>
                  <w:vAlign w:val="center"/>
                </w:tcPr>
                <w:p w14:paraId="7E3E5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动物洗浴</w:t>
                  </w:r>
                </w:p>
              </w:tc>
              <w:tc>
                <w:tcPr>
                  <w:tcW w:w="1744" w:type="pct"/>
                  <w:gridSpan w:val="2"/>
                  <w:tcBorders>
                    <w:tl2br w:val="nil"/>
                    <w:tr2bl w:val="nil"/>
                  </w:tcBorders>
                  <w:vAlign w:val="center"/>
                </w:tcPr>
                <w:p w14:paraId="144A2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pH、COD、BOD</w:t>
                  </w:r>
                  <w:r>
                    <w:rPr>
                      <w:rFonts w:hint="default" w:ascii="Times New Roman" w:hAnsi="Times New Roman" w:cs="Times New Roman"/>
                      <w:b w:val="0"/>
                      <w:bCs/>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、SS、氨氮、</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LAS、</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总磷</w:t>
                  </w:r>
                </w:p>
              </w:tc>
              <w:tc>
                <w:tcPr>
                  <w:tcW w:w="1497" w:type="pct"/>
                  <w:vMerge w:val="continue"/>
                  <w:tcBorders>
                    <w:tl2br w:val="nil"/>
                    <w:tr2bl w:val="nil"/>
                  </w:tcBorders>
                  <w:vAlign w:val="center"/>
                </w:tcPr>
                <w:p w14:paraId="64025C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0E732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1BFB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527" w:type="pct"/>
                  <w:tcBorders>
                    <w:tl2br w:val="nil"/>
                    <w:tr2bl w:val="nil"/>
                  </w:tcBorders>
                  <w:vAlign w:val="center"/>
                </w:tcPr>
                <w:p w14:paraId="6981B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其他清洗废水</w:t>
                  </w:r>
                </w:p>
              </w:tc>
              <w:tc>
                <w:tcPr>
                  <w:tcW w:w="940" w:type="pct"/>
                  <w:tcBorders>
                    <w:tl2br w:val="nil"/>
                    <w:tr2bl w:val="nil"/>
                  </w:tcBorders>
                  <w:vAlign w:val="center"/>
                </w:tcPr>
                <w:p w14:paraId="39624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工服清洗</w:t>
                  </w: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、宠物毛毯清洗</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、地面清洁废水</w:t>
                  </w:r>
                </w:p>
              </w:tc>
              <w:tc>
                <w:tcPr>
                  <w:tcW w:w="1744" w:type="pct"/>
                  <w:gridSpan w:val="2"/>
                  <w:tcBorders>
                    <w:tl2br w:val="nil"/>
                    <w:tr2bl w:val="nil"/>
                  </w:tcBorders>
                  <w:vAlign w:val="center"/>
                </w:tcPr>
                <w:p w14:paraId="4DF9F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pH、COD、SS、总磷、LAS</w:t>
                  </w:r>
                </w:p>
              </w:tc>
              <w:tc>
                <w:tcPr>
                  <w:tcW w:w="1497" w:type="pct"/>
                  <w:vMerge w:val="continue"/>
                  <w:tcBorders>
                    <w:tl2br w:val="nil"/>
                    <w:tr2bl w:val="nil"/>
                  </w:tcBorders>
                  <w:vAlign w:val="center"/>
                </w:tcPr>
                <w:p w14:paraId="417DD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sz w:val="21"/>
                      <w:szCs w:val="21"/>
                      <w:highlight w:val="none"/>
                      <w:vertAlign w:val="baseline"/>
                      <w:lang w:eastAsia="zh-CN"/>
                    </w:rPr>
                  </w:pPr>
                </w:p>
              </w:tc>
            </w:tr>
            <w:tr w14:paraId="3AC85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tcBorders>
                    <w:tl2br w:val="nil"/>
                    <w:tr2bl w:val="nil"/>
                  </w:tcBorders>
                  <w:vAlign w:val="center"/>
                </w:tcPr>
                <w:p w14:paraId="15295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527" w:type="pct"/>
                  <w:tcBorders>
                    <w:tl2br w:val="nil"/>
                    <w:tr2bl w:val="nil"/>
                  </w:tcBorders>
                  <w:vAlign w:val="center"/>
                </w:tcPr>
                <w:p w14:paraId="3AAD73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940" w:type="pct"/>
                  <w:tcBorders>
                    <w:tl2br w:val="nil"/>
                    <w:tr2bl w:val="nil"/>
                  </w:tcBorders>
                  <w:vAlign w:val="center"/>
                </w:tcPr>
                <w:p w14:paraId="149471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动物叫声</w:t>
                  </w:r>
                </w:p>
              </w:tc>
              <w:tc>
                <w:tcPr>
                  <w:tcW w:w="1744" w:type="pct"/>
                  <w:gridSpan w:val="2"/>
                  <w:tcBorders>
                    <w:tl2br w:val="nil"/>
                    <w:tr2bl w:val="nil"/>
                  </w:tcBorders>
                  <w:vAlign w:val="center"/>
                </w:tcPr>
                <w:p w14:paraId="63329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噪声</w:t>
                  </w:r>
                </w:p>
              </w:tc>
              <w:tc>
                <w:tcPr>
                  <w:tcW w:w="1497" w:type="pct"/>
                  <w:tcBorders>
                    <w:tl2br w:val="nil"/>
                    <w:tr2bl w:val="nil"/>
                  </w:tcBorders>
                  <w:vAlign w:val="center"/>
                </w:tcPr>
                <w:p w14:paraId="421498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利用建筑隔声。医院室内各科室皆相互独立。加强管理，门窗常闭状态，同时按时投喂避免宠物处于饥饿状态</w:t>
                  </w:r>
                </w:p>
              </w:tc>
            </w:tr>
            <w:tr w14:paraId="0A269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 w:type="pct"/>
                  <w:vMerge w:val="restart"/>
                  <w:tcBorders>
                    <w:tl2br w:val="nil"/>
                    <w:tr2bl w:val="nil"/>
                  </w:tcBorders>
                  <w:vAlign w:val="center"/>
                </w:tcPr>
                <w:p w14:paraId="2BB8F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固废</w:t>
                  </w:r>
                </w:p>
              </w:tc>
              <w:tc>
                <w:tcPr>
                  <w:tcW w:w="527" w:type="pct"/>
                  <w:vMerge w:val="restart"/>
                  <w:tcBorders>
                    <w:tl2br w:val="nil"/>
                    <w:tr2bl w:val="nil"/>
                  </w:tcBorders>
                  <w:vAlign w:val="center"/>
                </w:tcPr>
                <w:p w14:paraId="43D00E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医疗废物</w:t>
                  </w:r>
                </w:p>
              </w:tc>
              <w:tc>
                <w:tcPr>
                  <w:tcW w:w="940" w:type="pct"/>
                  <w:vMerge w:val="restart"/>
                  <w:tcBorders>
                    <w:tl2br w:val="nil"/>
                    <w:tr2bl w:val="nil"/>
                  </w:tcBorders>
                  <w:vAlign w:val="center"/>
                </w:tcPr>
                <w:p w14:paraId="4291F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动物住院、诊疗、手术</w:t>
                  </w:r>
                </w:p>
              </w:tc>
              <w:tc>
                <w:tcPr>
                  <w:tcW w:w="363" w:type="pct"/>
                  <w:tcBorders>
                    <w:tl2br w:val="nil"/>
                    <w:tr2bl w:val="nil"/>
                  </w:tcBorders>
                  <w:vAlign w:val="center"/>
                </w:tcPr>
                <w:p w14:paraId="7D357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感染性废物</w:t>
                  </w:r>
                </w:p>
              </w:tc>
              <w:tc>
                <w:tcPr>
                  <w:tcW w:w="1381" w:type="pct"/>
                  <w:tcBorders>
                    <w:tl2br w:val="nil"/>
                    <w:tr2bl w:val="nil"/>
                  </w:tcBorders>
                  <w:vAlign w:val="center"/>
                </w:tcPr>
                <w:p w14:paraId="590DD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①被患病宠物血液、体液、排泄物等污染的除锐器以外的废物</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②使用后废弃的一次性注射器、输液器等</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③化验室产生的废弃血液、血清、分泌物等标本和容器</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④隔离的传染病宠物或疑似传染病宠物产生的废弃物。</w:t>
                  </w:r>
                </w:p>
              </w:tc>
              <w:tc>
                <w:tcPr>
                  <w:tcW w:w="1497" w:type="pct"/>
                  <w:tcBorders>
                    <w:tl2br w:val="nil"/>
                    <w:tr2bl w:val="nil"/>
                  </w:tcBorders>
                  <w:vAlign w:val="center"/>
                </w:tcPr>
                <w:p w14:paraId="144C0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54231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4D0B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072C6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48433B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172843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损伤性废物</w:t>
                  </w:r>
                </w:p>
              </w:tc>
              <w:tc>
                <w:tcPr>
                  <w:tcW w:w="1381" w:type="pct"/>
                  <w:tcBorders>
                    <w:tl2br w:val="nil"/>
                    <w:tr2bl w:val="nil"/>
                  </w:tcBorders>
                  <w:vAlign w:val="center"/>
                </w:tcPr>
                <w:p w14:paraId="4C599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①废弃的针头、缝合针、探针、穿刺针、解剖刀、手术刀等废弃的金属类锐器</w:t>
                  </w:r>
                  <w:r>
                    <w:rPr>
                      <w:rFonts w:hint="eastAsia" w:cs="Times New Roman"/>
                      <w:b w:val="0"/>
                      <w:bCs/>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②废弃的载玻片等玻璃类锐器。</w:t>
                  </w:r>
                </w:p>
              </w:tc>
              <w:tc>
                <w:tcPr>
                  <w:tcW w:w="1497" w:type="pct"/>
                  <w:tcBorders>
                    <w:tl2br w:val="nil"/>
                    <w:tr2bl w:val="nil"/>
                  </w:tcBorders>
                  <w:vAlign w:val="center"/>
                </w:tcPr>
                <w:p w14:paraId="16188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7C852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2D3C4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61DA6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418CD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52408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病理性废物</w:t>
                  </w:r>
                </w:p>
              </w:tc>
              <w:tc>
                <w:tcPr>
                  <w:tcW w:w="1381" w:type="pct"/>
                  <w:tcBorders>
                    <w:tl2br w:val="nil"/>
                    <w:tr2bl w:val="nil"/>
                  </w:tcBorders>
                  <w:vAlign w:val="center"/>
                </w:tcPr>
                <w:p w14:paraId="6A910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手术过程中产生的废弃动物组织、器官</w:t>
                  </w:r>
                </w:p>
              </w:tc>
              <w:tc>
                <w:tcPr>
                  <w:tcW w:w="1497" w:type="pct"/>
                  <w:tcBorders>
                    <w:tl2br w:val="nil"/>
                    <w:tr2bl w:val="nil"/>
                  </w:tcBorders>
                  <w:vAlign w:val="center"/>
                </w:tcPr>
                <w:p w14:paraId="5B184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03800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5604B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00F40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28735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28E42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药物性废物</w:t>
                  </w:r>
                </w:p>
              </w:tc>
              <w:tc>
                <w:tcPr>
                  <w:tcW w:w="1381" w:type="pct"/>
                  <w:tcBorders>
                    <w:tl2br w:val="nil"/>
                    <w:tr2bl w:val="nil"/>
                  </w:tcBorders>
                  <w:vAlign w:val="center"/>
                </w:tcPr>
                <w:p w14:paraId="08E81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过期、淘汰、变质或者被污染的废弃的药物。</w:t>
                  </w:r>
                </w:p>
              </w:tc>
              <w:tc>
                <w:tcPr>
                  <w:tcW w:w="1497" w:type="pct"/>
                  <w:tcBorders>
                    <w:tl2br w:val="nil"/>
                    <w:tr2bl w:val="nil"/>
                  </w:tcBorders>
                  <w:vAlign w:val="center"/>
                </w:tcPr>
                <w:p w14:paraId="7407C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2509B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CF59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tcBorders>
                    <w:tl2br w:val="nil"/>
                    <w:tr2bl w:val="nil"/>
                  </w:tcBorders>
                  <w:vAlign w:val="center"/>
                </w:tcPr>
                <w:p w14:paraId="6649E2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940" w:type="pct"/>
                  <w:vMerge w:val="continue"/>
                  <w:tcBorders>
                    <w:tl2br w:val="nil"/>
                    <w:tr2bl w:val="nil"/>
                  </w:tcBorders>
                  <w:vAlign w:val="center"/>
                </w:tcPr>
                <w:p w14:paraId="3E0781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p>
              </w:tc>
              <w:tc>
                <w:tcPr>
                  <w:tcW w:w="363" w:type="pct"/>
                  <w:tcBorders>
                    <w:tl2br w:val="nil"/>
                    <w:tr2bl w:val="nil"/>
                  </w:tcBorders>
                  <w:vAlign w:val="center"/>
                </w:tcPr>
                <w:p w14:paraId="6B3FB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化学性药物</w:t>
                  </w:r>
                </w:p>
              </w:tc>
              <w:tc>
                <w:tcPr>
                  <w:tcW w:w="1381" w:type="pct"/>
                  <w:tcBorders>
                    <w:tl2br w:val="nil"/>
                    <w:tr2bl w:val="nil"/>
                  </w:tcBorders>
                  <w:vAlign w:val="center"/>
                </w:tcPr>
                <w:p w14:paraId="42F484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含汞血压计、含汞体温计等列入《国家危险废物名录》中的废弃危险化学品。</w:t>
                  </w:r>
                </w:p>
              </w:tc>
              <w:tc>
                <w:tcPr>
                  <w:tcW w:w="1497" w:type="pct"/>
                  <w:tcBorders>
                    <w:tl2br w:val="nil"/>
                    <w:tr2bl w:val="nil"/>
                  </w:tcBorders>
                  <w:vAlign w:val="center"/>
                </w:tcPr>
                <w:p w14:paraId="673B3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6DCC5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1E45E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64FE21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c>
                <w:tcPr>
                  <w:tcW w:w="940" w:type="pct"/>
                  <w:tcBorders>
                    <w:tl2br w:val="nil"/>
                    <w:tr2bl w:val="nil"/>
                  </w:tcBorders>
                  <w:vAlign w:val="center"/>
                </w:tcPr>
                <w:p w14:paraId="68BA2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w:t>
                  </w:r>
                </w:p>
              </w:tc>
              <w:tc>
                <w:tcPr>
                  <w:tcW w:w="1744" w:type="pct"/>
                  <w:gridSpan w:val="2"/>
                  <w:tcBorders>
                    <w:tl2br w:val="nil"/>
                    <w:tr2bl w:val="nil"/>
                  </w:tcBorders>
                  <w:vAlign w:val="center"/>
                </w:tcPr>
                <w:p w14:paraId="5757F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动物尸体</w:t>
                  </w:r>
                </w:p>
              </w:tc>
              <w:tc>
                <w:tcPr>
                  <w:tcW w:w="1497" w:type="pct"/>
                  <w:tcBorders>
                    <w:tl2br w:val="nil"/>
                    <w:tr2bl w:val="nil"/>
                  </w:tcBorders>
                  <w:vAlign w:val="center"/>
                </w:tcPr>
                <w:p w14:paraId="2C906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资质单位无害化处置</w:t>
                  </w:r>
                </w:p>
              </w:tc>
            </w:tr>
            <w:tr w14:paraId="0A1B6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256E6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2A03D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危险废物</w:t>
                  </w:r>
                </w:p>
              </w:tc>
              <w:tc>
                <w:tcPr>
                  <w:tcW w:w="940" w:type="pct"/>
                  <w:tcBorders>
                    <w:tl2br w:val="nil"/>
                    <w:tr2bl w:val="nil"/>
                  </w:tcBorders>
                  <w:vAlign w:val="center"/>
                </w:tcPr>
                <w:p w14:paraId="600DC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废紫外灯管</w:t>
                  </w:r>
                </w:p>
              </w:tc>
              <w:tc>
                <w:tcPr>
                  <w:tcW w:w="1744" w:type="pct"/>
                  <w:gridSpan w:val="2"/>
                  <w:tcBorders>
                    <w:tl2br w:val="nil"/>
                    <w:tr2bl w:val="nil"/>
                  </w:tcBorders>
                  <w:vAlign w:val="center"/>
                </w:tcPr>
                <w:p w14:paraId="52889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废紫外灯管</w:t>
                  </w:r>
                </w:p>
              </w:tc>
              <w:tc>
                <w:tcPr>
                  <w:tcW w:w="1497" w:type="pct"/>
                  <w:tcBorders>
                    <w:tl2br w:val="nil"/>
                    <w:tr2bl w:val="nil"/>
                  </w:tcBorders>
                  <w:vAlign w:val="center"/>
                </w:tcPr>
                <w:p w14:paraId="32D82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资质单位进行处置</w:t>
                  </w:r>
                </w:p>
              </w:tc>
            </w:tr>
            <w:tr w14:paraId="3FAF1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052B6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2F44B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一般固废</w:t>
                  </w:r>
                </w:p>
              </w:tc>
              <w:tc>
                <w:tcPr>
                  <w:tcW w:w="940" w:type="pct"/>
                  <w:tcBorders>
                    <w:tl2br w:val="nil"/>
                    <w:tr2bl w:val="nil"/>
                  </w:tcBorders>
                  <w:vAlign w:val="center"/>
                </w:tcPr>
                <w:p w14:paraId="02421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动物住院、诊疗</w:t>
                  </w:r>
                </w:p>
              </w:tc>
              <w:tc>
                <w:tcPr>
                  <w:tcW w:w="1744" w:type="pct"/>
                  <w:gridSpan w:val="2"/>
                  <w:tcBorders>
                    <w:tl2br w:val="nil"/>
                    <w:tr2bl w:val="nil"/>
                  </w:tcBorders>
                  <w:vAlign w:val="center"/>
                </w:tcPr>
                <w:p w14:paraId="4944E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动物粪污</w:t>
                  </w:r>
                </w:p>
              </w:tc>
              <w:tc>
                <w:tcPr>
                  <w:tcW w:w="1497" w:type="pct"/>
                  <w:tcBorders>
                    <w:tl2br w:val="nil"/>
                    <w:tr2bl w:val="nil"/>
                  </w:tcBorders>
                  <w:vAlign w:val="center"/>
                </w:tcPr>
                <w:p w14:paraId="4C68E3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消毒后交环卫部门处置</w:t>
                  </w:r>
                </w:p>
              </w:tc>
            </w:tr>
            <w:tr w14:paraId="61635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42557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3772A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一般固废</w:t>
                  </w:r>
                </w:p>
              </w:tc>
              <w:tc>
                <w:tcPr>
                  <w:tcW w:w="940" w:type="pct"/>
                  <w:tcBorders>
                    <w:tl2br w:val="nil"/>
                    <w:tr2bl w:val="nil"/>
                  </w:tcBorders>
                  <w:vAlign w:val="center"/>
                </w:tcPr>
                <w:p w14:paraId="1619D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美容洗护</w:t>
                  </w:r>
                </w:p>
              </w:tc>
              <w:tc>
                <w:tcPr>
                  <w:tcW w:w="1744" w:type="pct"/>
                  <w:gridSpan w:val="2"/>
                  <w:tcBorders>
                    <w:tl2br w:val="nil"/>
                    <w:tr2bl w:val="nil"/>
                  </w:tcBorders>
                  <w:vAlign w:val="center"/>
                </w:tcPr>
                <w:p w14:paraId="583CC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动物毛发</w:t>
                  </w:r>
                </w:p>
              </w:tc>
              <w:tc>
                <w:tcPr>
                  <w:tcW w:w="1497" w:type="pct"/>
                  <w:tcBorders>
                    <w:tl2br w:val="nil"/>
                    <w:tr2bl w:val="nil"/>
                  </w:tcBorders>
                  <w:vAlign w:val="center"/>
                </w:tcPr>
                <w:p w14:paraId="554FE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交市政环卫部门处置</w:t>
                  </w:r>
                </w:p>
              </w:tc>
            </w:tr>
            <w:tr w14:paraId="4A020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tcBorders>
                    <w:tl2br w:val="nil"/>
                    <w:tr2bl w:val="nil"/>
                  </w:tcBorders>
                  <w:vAlign w:val="center"/>
                </w:tcPr>
                <w:p w14:paraId="61625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tcBorders>
                    <w:tl2br w:val="nil"/>
                    <w:tr2bl w:val="nil"/>
                  </w:tcBorders>
                  <w:vAlign w:val="center"/>
                </w:tcPr>
                <w:p w14:paraId="39263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生活垃圾</w:t>
                  </w:r>
                </w:p>
              </w:tc>
              <w:tc>
                <w:tcPr>
                  <w:tcW w:w="940" w:type="pct"/>
                  <w:tcBorders>
                    <w:tl2br w:val="nil"/>
                    <w:tr2bl w:val="nil"/>
                  </w:tcBorders>
                  <w:vAlign w:val="center"/>
                </w:tcPr>
                <w:p w14:paraId="3D572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员工办公、顾客</w:t>
                  </w:r>
                </w:p>
              </w:tc>
              <w:tc>
                <w:tcPr>
                  <w:tcW w:w="1744" w:type="pct"/>
                  <w:gridSpan w:val="2"/>
                  <w:tcBorders>
                    <w:tl2br w:val="nil"/>
                    <w:tr2bl w:val="nil"/>
                  </w:tcBorders>
                  <w:vAlign w:val="center"/>
                </w:tcPr>
                <w:p w14:paraId="7F0F2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生活垃圾</w:t>
                  </w:r>
                </w:p>
              </w:tc>
              <w:tc>
                <w:tcPr>
                  <w:tcW w:w="1497" w:type="pct"/>
                  <w:tcBorders>
                    <w:tl2br w:val="nil"/>
                    <w:tr2bl w:val="nil"/>
                  </w:tcBorders>
                  <w:vAlign w:val="center"/>
                </w:tcPr>
                <w:p w14:paraId="2B0C71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t>交市政环卫部门处置</w:t>
                  </w:r>
                </w:p>
              </w:tc>
            </w:tr>
          </w:tbl>
          <w:p w14:paraId="384C3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FF0000"/>
                <w:sz w:val="24"/>
                <w:szCs w:val="24"/>
                <w:highlight w:val="none"/>
                <w:lang w:eastAsia="zh-CN"/>
              </w:rPr>
            </w:pPr>
          </w:p>
        </w:tc>
      </w:tr>
      <w:tr w14:paraId="52F72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85" w:type="dxa"/>
            <w:noWrap w:val="0"/>
            <w:vAlign w:val="center"/>
          </w:tcPr>
          <w:p w14:paraId="256605E3">
            <w:pPr>
              <w:pStyle w:val="16"/>
              <w:adjustRightInd w:val="0"/>
              <w:snapToGrid w:val="0"/>
              <w:spacing w:before="0" w:beforeAutospacing="0" w:after="0" w:afterAutospacing="0"/>
              <w:jc w:val="center"/>
              <w:rPr>
                <w:rFonts w:hint="default" w:ascii="Times New Roman" w:hAnsi="Times New Roman" w:cs="Times New Roman"/>
                <w:color w:val="FF0000"/>
                <w:sz w:val="21"/>
                <w:szCs w:val="21"/>
                <w:highlight w:val="none"/>
              </w:rPr>
            </w:pPr>
            <w:r>
              <w:rPr>
                <w:rFonts w:hint="default" w:ascii="Times New Roman" w:hAnsi="Times New Roman" w:cs="Times New Roman"/>
                <w:bCs/>
                <w:color w:val="000000" w:themeColor="text1"/>
                <w:kern w:val="2"/>
                <w:sz w:val="21"/>
                <w:szCs w:val="21"/>
                <w:highlight w:val="none"/>
                <w14:textFill>
                  <w14:solidFill>
                    <w14:schemeClr w14:val="tx1"/>
                  </w14:solidFill>
                </w14:textFill>
              </w:rPr>
              <w:t>与项目有关的原有环境污染问题</w:t>
            </w:r>
          </w:p>
        </w:tc>
        <w:tc>
          <w:tcPr>
            <w:tcW w:w="8499" w:type="dxa"/>
            <w:noWrap w:val="0"/>
            <w:vAlign w:val="top"/>
          </w:tcPr>
          <w:p w14:paraId="438EFE2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2.11与项目有关的原有环境污染问题</w:t>
            </w:r>
          </w:p>
          <w:p w14:paraId="3D61E3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default" w:ascii="Times New Roman" w:hAnsi="Times New Roman" w:cs="Times New Roman"/>
                <w:bCs/>
                <w:color w:val="000000" w:themeColor="text1"/>
                <w:sz w:val="24"/>
                <w:szCs w:val="24"/>
                <w:highlight w:val="none"/>
                <w14:textFill>
                  <w14:solidFill>
                    <w14:schemeClr w14:val="tx1"/>
                  </w14:solidFill>
                </w14:textFill>
              </w:rPr>
              <w:t>建设于202</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年</w:t>
            </w:r>
            <w:r>
              <w:rPr>
                <w:rFonts w:hint="eastAsia"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月，于202</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年</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z w:val="24"/>
                <w:szCs w:val="24"/>
                <w:highlight w:val="none"/>
                <w14:textFill>
                  <w14:solidFill>
                    <w14:schemeClr w14:val="tx1"/>
                  </w14:solidFill>
                </w14:textFill>
              </w:rPr>
              <w:t>月开门营业</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经营范围为</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动物诊疗、饲料及宠物用品销售</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，无动物颅腔、胸腔和腹腔手术功能。根据《建设项目环境影响评价分类管理名录》</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2021年版</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，该医院不设动物颅腔、胸腔或腹腔手术等，不纳入建设项目环境影响评价管理。因此，现有医院无需办理环评手续。</w:t>
            </w:r>
          </w:p>
          <w:p w14:paraId="3013AC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根据《固定污染源排污许可分类管理名录</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2019年版</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》，项目不属于该名录规定的排污单位，无需纳入排污许可管理。</w:t>
            </w:r>
          </w:p>
          <w:p w14:paraId="1EDD59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已设置有</w:t>
            </w:r>
            <w:r>
              <w:rPr>
                <w:rFonts w:hint="eastAsia" w:cs="Times New Roman"/>
                <w:b w:val="0"/>
                <w:bCs/>
                <w:color w:val="000000" w:themeColor="text1"/>
                <w:sz w:val="24"/>
                <w:szCs w:val="24"/>
                <w:highlight w:val="none"/>
                <w:lang w:val="en-US" w:eastAsia="zh-CN"/>
                <w14:textFill>
                  <w14:solidFill>
                    <w14:schemeClr w14:val="tx1"/>
                  </w14:solidFill>
                </w14:textFill>
              </w:rPr>
              <w:t>诊室、免疫室、寄养室、犬住院室、美容室、化验室、药房、猫住院室、DR室、手术室、隔离室</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本次扩建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是在宠物医院现有手术基础上增设动物颅腔、胸腔、腹腔手术服务，仅新增部分设备</w:t>
            </w:r>
            <w:r>
              <w:rPr>
                <w:rFonts w:hint="eastAsia" w:cs="Times New Roman"/>
                <w:b w:val="0"/>
                <w:bCs/>
                <w:color w:val="000000" w:themeColor="text1"/>
                <w:sz w:val="24"/>
                <w:szCs w:val="24"/>
                <w:highlight w:val="none"/>
                <w:lang w:val="en-US" w:eastAsia="zh-CN"/>
                <w14:textFill>
                  <w14:solidFill>
                    <w14:schemeClr w14:val="tx1"/>
                  </w14:solidFill>
                </w14:textFill>
              </w:rPr>
              <w:t>。</w:t>
            </w:r>
          </w:p>
          <w:p w14:paraId="4889925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2.12 现有工程排污情况分析</w:t>
            </w:r>
          </w:p>
          <w:p w14:paraId="1C3631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①废水</w:t>
            </w:r>
          </w:p>
          <w:p w14:paraId="569EC8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经调查，现有项目产生的废水主要为宠物诊断治疗过程中产生的医疗废水、生活污水</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美容洗护废水</w:t>
            </w:r>
            <w:r>
              <w:rPr>
                <w:rFonts w:hint="default" w:ascii="Times New Roman" w:hAnsi="Times New Roman" w:cs="Times New Roman"/>
                <w:bCs/>
                <w:color w:val="000000" w:themeColor="text1"/>
                <w:sz w:val="24"/>
                <w:szCs w:val="24"/>
                <w:highlight w:val="none"/>
                <w14:textFill>
                  <w14:solidFill>
                    <w14:schemeClr w14:val="tx1"/>
                  </w14:solidFill>
                </w14:textFill>
              </w:rPr>
              <w:t>以及</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其他废水（工服清洗废水、宠物毛毯清洗废水）</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医疗废水经消毒后，</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美容洗浴废水经滤网过滤后再与</w:t>
            </w:r>
            <w:r>
              <w:rPr>
                <w:rFonts w:hint="eastAsia" w:cs="Times New Roman"/>
                <w:bCs/>
                <w:color w:val="000000" w:themeColor="text1"/>
                <w:sz w:val="24"/>
                <w:szCs w:val="24"/>
                <w:highlight w:val="none"/>
                <w:lang w:val="en-US" w:eastAsia="zh-CN"/>
                <w14:textFill>
                  <w14:solidFill>
                    <w14:schemeClr w14:val="tx1"/>
                  </w14:solidFill>
                </w14:textFill>
              </w:rPr>
              <w:t>医疗废水、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生活污水及</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其它废水</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一并进入</w:t>
            </w:r>
            <w:r>
              <w:rPr>
                <w:rFonts w:hint="eastAsia" w:cs="Times New Roman"/>
                <w:bCs/>
                <w:color w:val="000000" w:themeColor="text1"/>
                <w:sz w:val="24"/>
                <w:szCs w:val="24"/>
                <w:highlight w:val="no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生化池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处理</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达《污水综合排放标准》（GB8978-1996）三级标准后排入市政污水管网，经市政污水管</w:t>
            </w:r>
            <w:r>
              <w:rPr>
                <w:rFonts w:hint="default" w:ascii="Times New Roman" w:hAnsi="Times New Roman" w:cs="Times New Roman"/>
                <w:bCs/>
                <w:color w:val="auto"/>
                <w:sz w:val="24"/>
                <w:szCs w:val="24"/>
                <w:highlight w:val="none"/>
                <w:lang w:val="en-US" w:eastAsia="zh-CN"/>
              </w:rPr>
              <w:t>网进入</w:t>
            </w:r>
            <w:r>
              <w:rPr>
                <w:rFonts w:hint="eastAsia" w:cs="Times New Roman"/>
                <w:bCs/>
                <w:color w:val="auto"/>
                <w:sz w:val="24"/>
                <w:szCs w:val="24"/>
                <w:highlight w:val="none"/>
                <w:lang w:val="en-US" w:eastAsia="zh-CN"/>
              </w:rPr>
              <w:t>彩云湖污水处理厂</w:t>
            </w:r>
            <w:r>
              <w:rPr>
                <w:rFonts w:hint="default" w:ascii="Times New Roman" w:hAnsi="Times New Roman" w:cs="Times New Roman"/>
                <w:bCs/>
                <w:color w:val="auto"/>
                <w:sz w:val="24"/>
                <w:szCs w:val="24"/>
                <w:highlight w:val="none"/>
                <w:lang w:val="en-US" w:eastAsia="zh-CN"/>
              </w:rPr>
              <w:t>深度处理达彩云湖污水处理厂出水水质标准后作为彩云湖湿地公园和桃花溪景观补水，最终排入长江</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p>
          <w:p w14:paraId="3C9BF6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②异味</w:t>
            </w:r>
          </w:p>
          <w:p w14:paraId="0B5CAF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项目采用自然通风和空调系统结合的形式进行通风</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病房设有紫外线灯管消毒杀菌</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每天使用84消毒液对医院进行消毒，</w:t>
            </w:r>
            <w:r>
              <w:rPr>
                <w:rFonts w:hint="eastAsia" w:cs="Times New Roman"/>
                <w:bCs/>
                <w:color w:val="000000" w:themeColor="text1"/>
                <w:sz w:val="24"/>
                <w:szCs w:val="24"/>
                <w:highlight w:val="none"/>
                <w:lang w:val="en-US" w:eastAsia="zh-CN"/>
                <w14:textFill>
                  <w14:solidFill>
                    <w14:schemeClr w14:val="tx1"/>
                  </w14:solidFill>
                </w14:textFill>
              </w:rPr>
              <w:t>消毒设施</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密闭处理。经调查医院运行至今未发生环境污染和环保投诉问题。</w:t>
            </w:r>
          </w:p>
          <w:p w14:paraId="505D55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③噪声</w:t>
            </w:r>
          </w:p>
          <w:p w14:paraId="12CF2E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现有项目无高噪声设备，主要为动物日常偶发噪</w:t>
            </w:r>
            <w:r>
              <w:rPr>
                <w:rFonts w:hint="default" w:ascii="Times New Roman" w:hAnsi="Times New Roman" w:cs="Times New Roman"/>
                <w:bCs/>
                <w:color w:val="auto"/>
                <w:sz w:val="24"/>
                <w:szCs w:val="24"/>
                <w:highlight w:val="none"/>
                <w:lang w:val="en-US" w:eastAsia="zh-CN"/>
              </w:rPr>
              <w:t>声。根据</w:t>
            </w:r>
            <w:r>
              <w:rPr>
                <w:rFonts w:hint="eastAsia" w:cs="Times New Roman"/>
                <w:bCs/>
                <w:color w:val="auto"/>
                <w:sz w:val="24"/>
                <w:szCs w:val="24"/>
                <w:highlight w:val="none"/>
                <w:lang w:val="en-US" w:eastAsia="zh-CN"/>
              </w:rPr>
              <w:t>重庆国环环境监测有限公司</w:t>
            </w:r>
            <w:r>
              <w:rPr>
                <w:rFonts w:hint="default" w:ascii="Times New Roman" w:hAnsi="Times New Roman" w:cs="Times New Roman"/>
                <w:bCs/>
                <w:color w:val="auto"/>
                <w:sz w:val="24"/>
                <w:szCs w:val="24"/>
                <w:highlight w:val="none"/>
                <w:lang w:val="en-US" w:eastAsia="zh-CN"/>
              </w:rPr>
              <w:t>202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en-US" w:eastAsia="zh-CN"/>
              </w:rPr>
              <w:t>月</w:t>
            </w:r>
            <w:r>
              <w:rPr>
                <w:rFonts w:hint="eastAsia"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lang w:val="en-US" w:eastAsia="zh-CN"/>
              </w:rPr>
              <w:t>日的噪声监测结果，</w:t>
            </w:r>
            <w:r>
              <w:rPr>
                <w:rFonts w:hint="eastAsia" w:cs="Times New Roman"/>
                <w:b w:val="0"/>
                <w:bCs/>
                <w:color w:val="auto"/>
                <w:sz w:val="24"/>
                <w:szCs w:val="24"/>
                <w:highlight w:val="none"/>
                <w:lang w:val="en-US" w:eastAsia="zh-CN"/>
              </w:rPr>
              <w:t>项目南侧居民楼</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类标准要求</w:t>
            </w:r>
            <w:r>
              <w:rPr>
                <w:rFonts w:hint="eastAsia" w:cs="Times New Roman"/>
                <w:bCs/>
                <w:color w:val="auto"/>
                <w:sz w:val="24"/>
                <w:szCs w:val="24"/>
                <w:highlight w:val="none"/>
                <w:lang w:val="en-US" w:eastAsia="zh-CN"/>
              </w:rPr>
              <w:t>，项目西南侧学校</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类标准要求。</w:t>
            </w:r>
          </w:p>
          <w:p w14:paraId="0122AA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④固体废物</w:t>
            </w:r>
          </w:p>
          <w:p w14:paraId="1A9E55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现有项目产生的固体废物主要包括动物粪污（猫砂和其他动物粪污）、生活垃圾、医疗废物、废紫外线灯管。</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宠物毛发及</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生活垃圾交环卫部门进行处置</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猫砂及其他动物粪污（住院、门诊）经</w:t>
            </w:r>
            <w:r>
              <w:rPr>
                <w:rFonts w:hint="eastAsia" w:cs="Times New Roman"/>
                <w:bCs/>
                <w:color w:val="000000" w:themeColor="text1"/>
                <w:sz w:val="24"/>
                <w:szCs w:val="24"/>
                <w:highlight w:val="none"/>
                <w:lang w:val="en-US" w:eastAsia="zh-CN"/>
                <w14:textFill>
                  <w14:solidFill>
                    <w14:schemeClr w14:val="tx1"/>
                  </w14:solidFill>
                </w14:textFill>
              </w:rPr>
              <w:t>84消毒剂</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消毒处理后交市政环卫部门处置</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医疗废物</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重庆</w:t>
            </w:r>
            <w:r>
              <w:rPr>
                <w:rFonts w:hint="eastAsia" w:cs="Times New Roman"/>
                <w:bCs/>
                <w:color w:val="000000" w:themeColor="text1"/>
                <w:sz w:val="24"/>
                <w:szCs w:val="24"/>
                <w:highlight w:val="none"/>
                <w:lang w:val="en-US" w:eastAsia="zh-CN"/>
                <w14:textFill>
                  <w14:solidFill>
                    <w14:schemeClr w14:val="tx1"/>
                  </w14:solidFill>
                </w14:textFill>
              </w:rPr>
              <w:t>可厚德环保技术有限公司</w:t>
            </w:r>
            <w:r>
              <w:rPr>
                <w:rFonts w:hint="default" w:cs="Times New Roman"/>
                <w:bCs/>
                <w:color w:val="000000" w:themeColor="text1"/>
                <w:sz w:val="24"/>
                <w:szCs w:val="24"/>
                <w:highlight w:val="none"/>
                <w:lang w:val="en-US" w:eastAsia="zh-CN"/>
                <w14:textFill>
                  <w14:solidFill>
                    <w14:schemeClr w14:val="tx1"/>
                  </w14:solidFill>
                </w14:textFill>
              </w:rPr>
              <w:t>处置。动物尸体</w:t>
            </w:r>
            <w:r>
              <w:rPr>
                <w:rFonts w:hint="eastAsia" w:cs="Times New Roman"/>
                <w:bCs/>
                <w:color w:val="000000" w:themeColor="text1"/>
                <w:sz w:val="24"/>
                <w:szCs w:val="24"/>
                <w:highlight w:val="none"/>
                <w:lang w:val="en-US" w:eastAsia="zh-CN"/>
                <w14:textFill>
                  <w14:solidFill>
                    <w14:schemeClr w14:val="tx1"/>
                  </w14:solidFill>
                </w14:textFill>
              </w:rPr>
              <w:t>交重庆市永川区永春生物技术有限公司进行无害化处置</w:t>
            </w:r>
            <w:r>
              <w:rPr>
                <w:rFonts w:hint="default" w:cs="Times New Roman"/>
                <w:bCs/>
                <w:color w:val="000000" w:themeColor="text1"/>
                <w:sz w:val="24"/>
                <w:szCs w:val="24"/>
                <w:highlight w:val="none"/>
                <w:lang w:val="en-US" w:eastAsia="zh-CN"/>
                <w14:textFill>
                  <w14:solidFill>
                    <w14:schemeClr w14:val="tx1"/>
                  </w14:solidFill>
                </w14:textFill>
              </w:rPr>
              <w:t>。经调查医院运行至今未发生环境污染和环保投诉问题。</w:t>
            </w:r>
          </w:p>
          <w:p w14:paraId="16F65F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2.13 现</w:t>
            </w:r>
            <w:r>
              <w:rPr>
                <w:rFonts w:hint="default" w:ascii="Times New Roman" w:hAnsi="Times New Roman" w:cs="Times New Roman"/>
                <w:b/>
                <w:bCs w:val="0"/>
                <w:color w:val="auto"/>
                <w:sz w:val="24"/>
                <w:szCs w:val="24"/>
                <w:highlight w:val="none"/>
                <w:lang w:val="en-US" w:eastAsia="zh-CN"/>
              </w:rPr>
              <w:t>有环保投诉及主要环保问题</w:t>
            </w:r>
          </w:p>
          <w:p w14:paraId="22F73A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（1）环保投诉情况</w:t>
            </w:r>
          </w:p>
          <w:p w14:paraId="3AECA8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项目位于</w:t>
            </w:r>
            <w:r>
              <w:rPr>
                <w:rFonts w:hint="eastAsia" w:ascii="Times New Roman" w:hAnsi="Times New Roman" w:eastAsia="宋体" w:cs="Times New Roman"/>
                <w:b w:val="0"/>
                <w:bCs w:val="0"/>
                <w:color w:val="auto"/>
                <w:sz w:val="24"/>
                <w:szCs w:val="24"/>
                <w:highlight w:val="none"/>
                <w:vertAlign w:val="baseline"/>
                <w:lang w:val="en-US" w:eastAsia="zh-CN"/>
              </w:rPr>
              <w:t>重庆市九龙坡区二郎街道火炬大道100号附24号及附23-2号商铺1F</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经调查，企业运行至今未发生环境污染和环保投诉问题。</w:t>
            </w:r>
          </w:p>
          <w:p w14:paraId="0FF39766">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与项目有关的主要环境问题</w:t>
            </w:r>
          </w:p>
          <w:p w14:paraId="1FEB7B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根据现场调查，医院严格按照环境保护管理“三同时”制度要求，对废水、废气、噪声进行了有效地治理，污染防治措施切实有效</w:t>
            </w:r>
            <w:r>
              <w:rPr>
                <w:rFonts w:hint="eastAsia" w:cs="Times New Roman"/>
                <w:b w:val="0"/>
                <w:bCs/>
                <w:color w:val="auto"/>
                <w:sz w:val="24"/>
                <w:szCs w:val="24"/>
                <w:highlight w:val="none"/>
                <w:lang w:val="en-US" w:eastAsia="zh-CN"/>
              </w:rPr>
              <w:t>。</w:t>
            </w:r>
          </w:p>
          <w:p w14:paraId="2195B8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BDD95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0693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4DB33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797DE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41B00C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58F7F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B6EF8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209A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74A58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C577D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29013C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60F6F0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5088B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0D77A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A1205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2F5D6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6D999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696108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12478C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5466D3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D2DED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FBB6B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2F380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7DC069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349B91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highlight w:val="none"/>
                <w:lang w:val="en-US" w:eastAsia="zh-CN"/>
              </w:rPr>
            </w:pPr>
          </w:p>
          <w:p w14:paraId="03B9CB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FF0000"/>
                <w:sz w:val="24"/>
                <w:szCs w:val="24"/>
                <w:highlight w:val="none"/>
                <w:lang w:val="en-US" w:eastAsia="zh-CN"/>
              </w:rPr>
            </w:pPr>
          </w:p>
        </w:tc>
      </w:tr>
    </w:tbl>
    <w:p w14:paraId="0A21D8C2">
      <w:pPr>
        <w:pStyle w:val="16"/>
        <w:jc w:val="center"/>
        <w:rPr>
          <w:rFonts w:hint="default" w:ascii="Times New Roman" w:hAnsi="Times New Roman" w:eastAsia="黑体" w:cs="Times New Roman"/>
          <w:snapToGrid w:val="0"/>
          <w:color w:val="FF0000"/>
          <w:sz w:val="36"/>
          <w:szCs w:val="36"/>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D09AD1">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00"/>
      </w:tblGrid>
      <w:tr w14:paraId="3624D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26" w:type="dxa"/>
            <w:noWrap w:val="0"/>
            <w:vAlign w:val="center"/>
          </w:tcPr>
          <w:p w14:paraId="6F001D25">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w:t>
            </w:r>
          </w:p>
          <w:p w14:paraId="2EE6B3B7">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4433F6F3">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质量</w:t>
            </w:r>
          </w:p>
          <w:p w14:paraId="0525C968">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现状</w:t>
            </w:r>
          </w:p>
        </w:tc>
        <w:tc>
          <w:tcPr>
            <w:tcW w:w="8600" w:type="dxa"/>
            <w:noWrap w:val="0"/>
            <w:vAlign w:val="center"/>
          </w:tcPr>
          <w:p w14:paraId="42A0564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3.1 区域环境质量现状</w:t>
            </w:r>
          </w:p>
          <w:p w14:paraId="23E902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3.1.1 大气环境质量现状</w:t>
            </w:r>
          </w:p>
          <w:p w14:paraId="07D23C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根据《重庆市环境空气质量功能区划分规定》</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渝府发</w:t>
            </w:r>
            <w:r>
              <w:rPr>
                <w:rFonts w:hint="eastAsia" w:cs="Times New Roman"/>
                <w:b w:val="0"/>
                <w:bCs w:val="0"/>
                <w:color w:val="000000" w:themeColor="text1"/>
                <w:kern w:val="0"/>
                <w:sz w:val="24"/>
                <w:szCs w:val="24"/>
                <w:highlight w:val="none"/>
                <w:lang w:eastAsia="zh-CN"/>
                <w14:textFill>
                  <w14:solidFill>
                    <w14:schemeClr w14:val="tx1"/>
                  </w14:solidFill>
                </w14:textFill>
              </w:rPr>
              <w:t>〔2016〕19号</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等相关文件规定，拟建项目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位</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于</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重庆市</w:t>
            </w:r>
            <w:r>
              <w:rPr>
                <w:rFonts w:hint="eastAsia" w:cs="Times New Roman"/>
                <w:b w:val="0"/>
                <w:bCs w:val="0"/>
                <w:color w:val="000000" w:themeColor="text1"/>
                <w:kern w:val="0"/>
                <w:sz w:val="24"/>
                <w:szCs w:val="24"/>
                <w:highlight w:val="no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所在区域环境空气功能区划为二类区，环境空气质量常规因子</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执行《环境空气质量标准》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GB3095-2012</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二级标准。</w:t>
            </w:r>
          </w:p>
          <w:p w14:paraId="788E04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本次评价引用《202</w:t>
            </w:r>
            <w:r>
              <w:rPr>
                <w:rFonts w:hint="eastAsia"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年重庆市生态环境状况公报》中</w:t>
            </w:r>
            <w:r>
              <w:rPr>
                <w:rFonts w:hint="eastAsia" w:cs="Times New Roman"/>
                <w:b w:val="0"/>
                <w:bCs w:val="0"/>
                <w:color w:val="000000" w:themeColor="text1"/>
                <w:kern w:val="0"/>
                <w:sz w:val="24"/>
                <w:szCs w:val="24"/>
                <w:highlight w:val="none"/>
                <w:lang w:val="en-US" w:eastAsia="zh-CN"/>
                <w14:textFill>
                  <w14:solidFill>
                    <w14:schemeClr w14:val="tx1"/>
                  </w14:solidFill>
                </w14:textFill>
              </w:rPr>
              <w:t>九龙坡区</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大气基本污染物</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的数据作为达标区判定的主要依据</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见表 3.1-1。</w:t>
            </w:r>
          </w:p>
          <w:p w14:paraId="3FCA4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表3.1-1</w:t>
            </w:r>
            <w:r>
              <w:rPr>
                <w:rFonts w:hint="eastAsia" w:cs="Times New Roman"/>
                <w:b/>
                <w:bCs/>
                <w:color w:val="000000" w:themeColor="text1"/>
                <w:kern w:val="0"/>
                <w:sz w:val="24"/>
                <w:szCs w:val="24"/>
                <w:highlight w:val="none"/>
                <w:lang w:val="en-US" w:eastAsia="zh-CN"/>
                <w14:textFill>
                  <w14:solidFill>
                    <w14:schemeClr w14:val="tx1"/>
                  </w14:solidFill>
                </w14:textFill>
              </w:rPr>
              <w:t>九龙坡</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区</w:t>
            </w:r>
            <w:r>
              <w:rPr>
                <w:rFonts w:hint="default" w:ascii="Times New Roman" w:hAnsi="Times New Roman" w:cs="Times New Roman"/>
                <w:b/>
                <w:bCs/>
                <w:color w:val="000000" w:themeColor="text1"/>
                <w:kern w:val="0"/>
                <w:sz w:val="24"/>
                <w:szCs w:val="24"/>
                <w:highlight w:val="none"/>
                <w14:textFill>
                  <w14:solidFill>
                    <w14:schemeClr w14:val="tx1"/>
                  </w14:solidFill>
                </w14:textFill>
              </w:rPr>
              <w:t>2023年环境质量状况</w:t>
            </w:r>
          </w:p>
          <w:tbl>
            <w:tblPr>
              <w:tblStyle w:val="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5"/>
              <w:gridCol w:w="2928"/>
              <w:gridCol w:w="1382"/>
              <w:gridCol w:w="1257"/>
              <w:gridCol w:w="993"/>
              <w:gridCol w:w="996"/>
            </w:tblGrid>
            <w:tr w14:paraId="5D7EC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2DC5AF4F">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污染</w:t>
                  </w:r>
                  <w:r>
                    <w:rPr>
                      <w:rFonts w:hint="default" w:ascii="Times New Roman" w:hAnsi="Times New Roman" w:eastAsia="宋体" w:cs="Times New Roman"/>
                      <w:color w:val="000000" w:themeColor="text1"/>
                      <w:sz w:val="21"/>
                      <w:szCs w:val="21"/>
                      <w:highlight w:val="none"/>
                      <w14:textFill>
                        <w14:solidFill>
                          <w14:schemeClr w14:val="tx1"/>
                        </w14:solidFill>
                      </w14:textFill>
                    </w:rPr>
                    <w:t>物</w:t>
                  </w:r>
                </w:p>
              </w:tc>
              <w:tc>
                <w:tcPr>
                  <w:tcW w:w="1752" w:type="pct"/>
                  <w:tcBorders>
                    <w:tl2br w:val="nil"/>
                    <w:tr2bl w:val="nil"/>
                  </w:tcBorders>
                  <w:noWrap w:val="0"/>
                  <w:vAlign w:val="center"/>
                </w:tcPr>
                <w:p w14:paraId="0BE7C486">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年评价指标</w:t>
                  </w:r>
                </w:p>
              </w:tc>
              <w:tc>
                <w:tcPr>
                  <w:tcW w:w="827" w:type="pct"/>
                  <w:tcBorders>
                    <w:tl2br w:val="nil"/>
                    <w:tr2bl w:val="nil"/>
                  </w:tcBorders>
                  <w:noWrap w:val="0"/>
                  <w:vAlign w:val="center"/>
                </w:tcPr>
                <w:p w14:paraId="2FA1180B">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现状浓度</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 μg/m</w:t>
                  </w:r>
                  <w:r>
                    <w:rPr>
                      <w:rFonts w:hint="default" w:ascii="Times New Roman" w:hAnsi="Times New Roman" w:eastAsia="宋体" w:cs="Times New Roman"/>
                      <w:color w:val="000000" w:themeColor="text1"/>
                      <w:spacing w:val="-1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w:t>
                  </w:r>
                </w:p>
              </w:tc>
              <w:tc>
                <w:tcPr>
                  <w:tcW w:w="752" w:type="pct"/>
                  <w:tcBorders>
                    <w:tl2br w:val="nil"/>
                    <w:tr2bl w:val="nil"/>
                  </w:tcBorders>
                  <w:noWrap w:val="0"/>
                  <w:vAlign w:val="center"/>
                </w:tcPr>
                <w:p w14:paraId="5619B8DA">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标准值</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μg/m</w:t>
                  </w:r>
                  <w:r>
                    <w:rPr>
                      <w:rFonts w:hint="default" w:ascii="Times New Roman" w:hAnsi="Times New Roman" w:cs="Times New Roman"/>
                      <w:color w:val="000000" w:themeColor="text1"/>
                      <w:spacing w:val="-14"/>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c>
                <w:tcPr>
                  <w:tcW w:w="594" w:type="pct"/>
                  <w:tcBorders>
                    <w:tl2br w:val="nil"/>
                    <w:tr2bl w:val="nil"/>
                  </w:tcBorders>
                  <w:noWrap w:val="0"/>
                  <w:vAlign w:val="center"/>
                </w:tcPr>
                <w:p w14:paraId="3B518593">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占标率</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p>
              </w:tc>
              <w:tc>
                <w:tcPr>
                  <w:tcW w:w="596" w:type="pct"/>
                  <w:tcBorders>
                    <w:tl2br w:val="nil"/>
                    <w:tr2bl w:val="nil"/>
                  </w:tcBorders>
                  <w:noWrap w:val="0"/>
                  <w:vAlign w:val="center"/>
                </w:tcPr>
                <w:p w14:paraId="09C23EB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情况</w:t>
                  </w:r>
                </w:p>
              </w:tc>
            </w:tr>
            <w:tr w14:paraId="06EF8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2CBB14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SO</w:t>
                  </w:r>
                  <w:r>
                    <w:rPr>
                      <w:rFonts w:hint="default" w:ascii="Times New Roman" w:hAnsi="Times New Roman" w:cs="Times New Roman"/>
                      <w:b w:val="0"/>
                      <w:bCs w:val="0"/>
                      <w:color w:val="000000" w:themeColor="text1"/>
                      <w:kern w:val="0"/>
                      <w:sz w:val="21"/>
                      <w:szCs w:val="21"/>
                      <w:highlight w:val="none"/>
                      <w:vertAlign w:val="subscript"/>
                      <w14:textFill>
                        <w14:solidFill>
                          <w14:schemeClr w14:val="tx1"/>
                        </w14:solidFill>
                      </w14:textFill>
                    </w:rPr>
                    <w:t>2</w:t>
                  </w:r>
                </w:p>
              </w:tc>
              <w:tc>
                <w:tcPr>
                  <w:tcW w:w="1752" w:type="pct"/>
                  <w:vMerge w:val="restart"/>
                  <w:tcBorders>
                    <w:tl2br w:val="nil"/>
                    <w:tr2bl w:val="nil"/>
                  </w:tcBorders>
                  <w:noWrap w:val="0"/>
                  <w:vAlign w:val="center"/>
                </w:tcPr>
                <w:p w14:paraId="6BF6182C">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年评价质量浓度</w:t>
                  </w:r>
                </w:p>
              </w:tc>
              <w:tc>
                <w:tcPr>
                  <w:tcW w:w="827" w:type="pct"/>
                  <w:tcBorders>
                    <w:tl2br w:val="nil"/>
                    <w:tr2bl w:val="nil"/>
                  </w:tcBorders>
                  <w:noWrap w:val="0"/>
                  <w:vAlign w:val="center"/>
                </w:tcPr>
                <w:p w14:paraId="3730F0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752" w:type="pct"/>
                  <w:tcBorders>
                    <w:tl2br w:val="nil"/>
                    <w:tr2bl w:val="nil"/>
                  </w:tcBorders>
                  <w:noWrap w:val="0"/>
                  <w:vAlign w:val="center"/>
                </w:tcPr>
                <w:p w14:paraId="5DF869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93" w:type="dxa"/>
                  <w:tcBorders>
                    <w:tl2br w:val="nil"/>
                    <w:tr2bl w:val="nil"/>
                  </w:tcBorders>
                  <w:noWrap w:val="0"/>
                  <w:vAlign w:val="center"/>
                </w:tcPr>
                <w:p w14:paraId="48FD3D58">
                  <w:pPr>
                    <w:bidi w:val="0"/>
                    <w:jc w:val="center"/>
                    <w:rPr>
                      <w:rFonts w:hint="default"/>
                      <w:lang w:val="en-US" w:eastAsia="zh-CN"/>
                    </w:rPr>
                  </w:pPr>
                  <w:r>
                    <w:rPr>
                      <w:rFonts w:hint="eastAsia"/>
                      <w:lang w:val="en-US" w:eastAsia="zh-CN"/>
                    </w:rPr>
                    <w:t>13.3</w:t>
                  </w:r>
                </w:p>
              </w:tc>
              <w:tc>
                <w:tcPr>
                  <w:tcW w:w="596" w:type="pct"/>
                  <w:tcBorders>
                    <w:tl2br w:val="nil"/>
                    <w:tr2bl w:val="nil"/>
                  </w:tcBorders>
                  <w:noWrap w:val="0"/>
                  <w:vAlign w:val="center"/>
                </w:tcPr>
                <w:p w14:paraId="7964F4B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73A4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09492F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NO</w:t>
                  </w:r>
                  <w:r>
                    <w:rPr>
                      <w:rFonts w:hint="default" w:ascii="Times New Roman" w:hAnsi="Times New Roman" w:cs="Times New Roman"/>
                      <w:b w:val="0"/>
                      <w:bCs w:val="0"/>
                      <w:color w:val="000000" w:themeColor="text1"/>
                      <w:kern w:val="0"/>
                      <w:sz w:val="21"/>
                      <w:szCs w:val="21"/>
                      <w:highlight w:val="none"/>
                      <w:vertAlign w:val="subscript"/>
                      <w14:textFill>
                        <w14:solidFill>
                          <w14:schemeClr w14:val="tx1"/>
                        </w14:solidFill>
                      </w14:textFill>
                    </w:rPr>
                    <w:t>2</w:t>
                  </w:r>
                </w:p>
              </w:tc>
              <w:tc>
                <w:tcPr>
                  <w:tcW w:w="1752" w:type="pct"/>
                  <w:vMerge w:val="continue"/>
                  <w:tcBorders>
                    <w:tl2br w:val="nil"/>
                    <w:tr2bl w:val="nil"/>
                  </w:tcBorders>
                  <w:noWrap w:val="0"/>
                  <w:vAlign w:val="center"/>
                </w:tcPr>
                <w:p w14:paraId="66908B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4B063CF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w:t>
                  </w:r>
                </w:p>
              </w:tc>
              <w:tc>
                <w:tcPr>
                  <w:tcW w:w="752" w:type="pct"/>
                  <w:tcBorders>
                    <w:tl2br w:val="nil"/>
                    <w:tr2bl w:val="nil"/>
                  </w:tcBorders>
                  <w:noWrap w:val="0"/>
                  <w:vAlign w:val="center"/>
                </w:tcPr>
                <w:p w14:paraId="2E4D0A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40</w:t>
                  </w:r>
                </w:p>
              </w:tc>
              <w:tc>
                <w:tcPr>
                  <w:tcW w:w="993" w:type="dxa"/>
                  <w:tcBorders>
                    <w:tl2br w:val="nil"/>
                    <w:tr2bl w:val="nil"/>
                  </w:tcBorders>
                  <w:noWrap w:val="0"/>
                  <w:vAlign w:val="center"/>
                </w:tcPr>
                <w:p w14:paraId="69F284EA">
                  <w:pPr>
                    <w:bidi w:val="0"/>
                    <w:jc w:val="center"/>
                    <w:rPr>
                      <w:rFonts w:hint="default"/>
                      <w:lang w:val="en-US" w:eastAsia="zh-CN"/>
                    </w:rPr>
                  </w:pPr>
                  <w:r>
                    <w:rPr>
                      <w:rFonts w:hint="eastAsia"/>
                      <w:lang w:val="en-US" w:eastAsia="zh-CN"/>
                    </w:rPr>
                    <w:t>85.0</w:t>
                  </w:r>
                </w:p>
              </w:tc>
              <w:tc>
                <w:tcPr>
                  <w:tcW w:w="596" w:type="pct"/>
                  <w:tcBorders>
                    <w:tl2br w:val="nil"/>
                    <w:tr2bl w:val="nil"/>
                  </w:tcBorders>
                  <w:noWrap w:val="0"/>
                  <w:vAlign w:val="center"/>
                </w:tcPr>
                <w:p w14:paraId="23F5AA4E">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99C2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012160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PM</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10</w:t>
                  </w:r>
                </w:p>
              </w:tc>
              <w:tc>
                <w:tcPr>
                  <w:tcW w:w="1752" w:type="pct"/>
                  <w:vMerge w:val="continue"/>
                  <w:tcBorders>
                    <w:tl2br w:val="nil"/>
                    <w:tr2bl w:val="nil"/>
                  </w:tcBorders>
                  <w:noWrap w:val="0"/>
                  <w:vAlign w:val="center"/>
                </w:tcPr>
                <w:p w14:paraId="33736F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2D463F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w:t>
                  </w:r>
                </w:p>
              </w:tc>
              <w:tc>
                <w:tcPr>
                  <w:tcW w:w="752" w:type="pct"/>
                  <w:tcBorders>
                    <w:tl2br w:val="nil"/>
                    <w:tr2bl w:val="nil"/>
                  </w:tcBorders>
                  <w:noWrap w:val="0"/>
                  <w:vAlign w:val="center"/>
                </w:tcPr>
                <w:p w14:paraId="2D65D3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70</w:t>
                  </w:r>
                </w:p>
              </w:tc>
              <w:tc>
                <w:tcPr>
                  <w:tcW w:w="993" w:type="dxa"/>
                  <w:tcBorders>
                    <w:tl2br w:val="nil"/>
                    <w:tr2bl w:val="nil"/>
                  </w:tcBorders>
                  <w:noWrap w:val="0"/>
                  <w:vAlign w:val="center"/>
                </w:tcPr>
                <w:p w14:paraId="3AD0497C">
                  <w:pPr>
                    <w:bidi w:val="0"/>
                    <w:jc w:val="center"/>
                    <w:rPr>
                      <w:rFonts w:hint="default"/>
                      <w:lang w:val="en-US" w:eastAsia="zh-CN"/>
                    </w:rPr>
                  </w:pPr>
                  <w:r>
                    <w:rPr>
                      <w:rFonts w:hint="eastAsia"/>
                      <w:lang w:val="en-US" w:eastAsia="zh-CN"/>
                    </w:rPr>
                    <w:t>72.9</w:t>
                  </w:r>
                </w:p>
              </w:tc>
              <w:tc>
                <w:tcPr>
                  <w:tcW w:w="596" w:type="pct"/>
                  <w:tcBorders>
                    <w:tl2br w:val="nil"/>
                    <w:tr2bl w:val="nil"/>
                  </w:tcBorders>
                  <w:noWrap w:val="0"/>
                  <w:vAlign w:val="center"/>
                </w:tcPr>
                <w:p w14:paraId="1E6C8E03">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397B5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1E3BDD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PM</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2.5</w:t>
                  </w:r>
                </w:p>
              </w:tc>
              <w:tc>
                <w:tcPr>
                  <w:tcW w:w="1752" w:type="pct"/>
                  <w:vMerge w:val="continue"/>
                  <w:tcBorders>
                    <w:tl2br w:val="nil"/>
                    <w:tr2bl w:val="nil"/>
                  </w:tcBorders>
                  <w:noWrap w:val="0"/>
                  <w:vAlign w:val="center"/>
                </w:tcPr>
                <w:p w14:paraId="2625AC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27" w:type="pct"/>
                  <w:tcBorders>
                    <w:tl2br w:val="nil"/>
                    <w:tr2bl w:val="nil"/>
                  </w:tcBorders>
                  <w:noWrap w:val="0"/>
                  <w:vAlign w:val="center"/>
                </w:tcPr>
                <w:p w14:paraId="19AFC5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32.3</w:t>
                  </w:r>
                </w:p>
              </w:tc>
              <w:tc>
                <w:tcPr>
                  <w:tcW w:w="752" w:type="pct"/>
                  <w:tcBorders>
                    <w:tl2br w:val="nil"/>
                    <w:tr2bl w:val="nil"/>
                  </w:tcBorders>
                  <w:noWrap w:val="0"/>
                  <w:vAlign w:val="center"/>
                </w:tcPr>
                <w:p w14:paraId="39DD5B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93" w:type="dxa"/>
                  <w:tcBorders>
                    <w:tl2br w:val="nil"/>
                    <w:tr2bl w:val="nil"/>
                  </w:tcBorders>
                  <w:noWrap w:val="0"/>
                  <w:vAlign w:val="center"/>
                </w:tcPr>
                <w:p w14:paraId="0202F812">
                  <w:pPr>
                    <w:bidi w:val="0"/>
                    <w:jc w:val="center"/>
                    <w:rPr>
                      <w:rFonts w:hint="default"/>
                      <w:lang w:val="en-US" w:eastAsia="zh-CN"/>
                    </w:rPr>
                  </w:pPr>
                  <w:r>
                    <w:rPr>
                      <w:rFonts w:hint="eastAsia"/>
                      <w:lang w:val="en-US" w:eastAsia="zh-CN"/>
                    </w:rPr>
                    <w:t>92.3</w:t>
                  </w:r>
                </w:p>
              </w:tc>
              <w:tc>
                <w:tcPr>
                  <w:tcW w:w="596" w:type="pct"/>
                  <w:tcBorders>
                    <w:tl2br w:val="nil"/>
                    <w:tr2bl w:val="nil"/>
                  </w:tcBorders>
                  <w:noWrap w:val="0"/>
                  <w:vAlign w:val="center"/>
                </w:tcPr>
                <w:p w14:paraId="3E09249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23F37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60EB56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14:textFill>
                        <w14:solidFill>
                          <w14:schemeClr w14:val="tx1"/>
                        </w14:solidFill>
                      </w14:textFill>
                    </w:rPr>
                    <w:t>CO</w:t>
                  </w:r>
                </w:p>
              </w:tc>
              <w:tc>
                <w:tcPr>
                  <w:tcW w:w="1752" w:type="pct"/>
                  <w:tcBorders>
                    <w:tl2br w:val="nil"/>
                    <w:tr2bl w:val="nil"/>
                  </w:tcBorders>
                  <w:noWrap w:val="0"/>
                  <w:vAlign w:val="center"/>
                </w:tcPr>
                <w:p w14:paraId="418EACC8">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日均浓度的第95百分位数</w:t>
                  </w:r>
                </w:p>
              </w:tc>
              <w:tc>
                <w:tcPr>
                  <w:tcW w:w="827" w:type="pct"/>
                  <w:tcBorders>
                    <w:tl2br w:val="nil"/>
                    <w:tr2bl w:val="nil"/>
                  </w:tcBorders>
                  <w:noWrap w:val="0"/>
                  <w:vAlign w:val="center"/>
                </w:tcPr>
                <w:p w14:paraId="51B91C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752" w:type="pct"/>
                  <w:tcBorders>
                    <w:tl2br w:val="nil"/>
                    <w:tr2bl w:val="nil"/>
                  </w:tcBorders>
                  <w:noWrap w:val="0"/>
                  <w:vAlign w:val="center"/>
                </w:tcPr>
                <w:p w14:paraId="224988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993" w:type="dxa"/>
                  <w:tcBorders>
                    <w:tl2br w:val="nil"/>
                    <w:tr2bl w:val="nil"/>
                  </w:tcBorders>
                  <w:noWrap w:val="0"/>
                  <w:vAlign w:val="center"/>
                </w:tcPr>
                <w:p w14:paraId="3102AAD5">
                  <w:pPr>
                    <w:bidi w:val="0"/>
                    <w:jc w:val="center"/>
                    <w:rPr>
                      <w:rFonts w:hint="default"/>
                      <w:lang w:val="en-US" w:eastAsia="zh-CN"/>
                    </w:rPr>
                  </w:pPr>
                  <w:r>
                    <w:rPr>
                      <w:rFonts w:hint="eastAsia"/>
                      <w:lang w:val="en-US" w:eastAsia="zh-CN"/>
                    </w:rPr>
                    <w:t>30.0</w:t>
                  </w:r>
                </w:p>
              </w:tc>
              <w:tc>
                <w:tcPr>
                  <w:tcW w:w="596" w:type="pct"/>
                  <w:tcBorders>
                    <w:tl2br w:val="nil"/>
                    <w:tr2bl w:val="nil"/>
                  </w:tcBorders>
                  <w:noWrap w:val="0"/>
                  <w:vAlign w:val="center"/>
                </w:tcPr>
                <w:p w14:paraId="44FB500B">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r w14:paraId="7420B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6" w:type="pct"/>
                  <w:tcBorders>
                    <w:tl2br w:val="nil"/>
                    <w:tr2bl w:val="nil"/>
                  </w:tcBorders>
                  <w:noWrap w:val="0"/>
                  <w:vAlign w:val="center"/>
                </w:tcPr>
                <w:p w14:paraId="6DD166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O</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3</w:t>
                  </w:r>
                </w:p>
              </w:tc>
              <w:tc>
                <w:tcPr>
                  <w:tcW w:w="1752" w:type="pct"/>
                  <w:tcBorders>
                    <w:tl2br w:val="nil"/>
                    <w:tr2bl w:val="nil"/>
                  </w:tcBorders>
                  <w:noWrap w:val="0"/>
                  <w:vAlign w:val="center"/>
                </w:tcPr>
                <w:p w14:paraId="62ACA1FA">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日最大</w:t>
                  </w:r>
                  <w:r>
                    <w:rPr>
                      <w:rFonts w:hint="default" w:ascii="Times New Roman" w:hAnsi="Times New Roman" w:eastAsia="宋体" w:cs="Times New Roman"/>
                      <w:color w:val="000000" w:themeColor="text1"/>
                      <w:spacing w:val="-33"/>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8小时平均浓度的第</w:t>
                  </w:r>
                  <w:r>
                    <w:rPr>
                      <w:rFonts w:hint="default" w:ascii="Times New Roman" w:hAnsi="Times New Roman" w:eastAsia="宋体" w:cs="Times New Roman"/>
                      <w:color w:val="000000" w:themeColor="text1"/>
                      <w:spacing w:val="-4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90</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百分位数</w:t>
                  </w:r>
                </w:p>
              </w:tc>
              <w:tc>
                <w:tcPr>
                  <w:tcW w:w="827" w:type="pct"/>
                  <w:tcBorders>
                    <w:tl2br w:val="nil"/>
                    <w:tr2bl w:val="nil"/>
                  </w:tcBorders>
                  <w:noWrap w:val="0"/>
                  <w:vAlign w:val="center"/>
                </w:tcPr>
                <w:p w14:paraId="7FB5B2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140</w:t>
                  </w:r>
                </w:p>
              </w:tc>
              <w:tc>
                <w:tcPr>
                  <w:tcW w:w="752" w:type="pct"/>
                  <w:tcBorders>
                    <w:tl2br w:val="nil"/>
                    <w:tr2bl w:val="nil"/>
                  </w:tcBorders>
                  <w:noWrap w:val="0"/>
                  <w:vAlign w:val="center"/>
                </w:tcPr>
                <w:p w14:paraId="54A939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160</w:t>
                  </w:r>
                </w:p>
              </w:tc>
              <w:tc>
                <w:tcPr>
                  <w:tcW w:w="993" w:type="dxa"/>
                  <w:tcBorders>
                    <w:tl2br w:val="nil"/>
                    <w:tr2bl w:val="nil"/>
                  </w:tcBorders>
                  <w:noWrap w:val="0"/>
                  <w:vAlign w:val="center"/>
                </w:tcPr>
                <w:p w14:paraId="1DC4474A">
                  <w:pPr>
                    <w:bidi w:val="0"/>
                    <w:jc w:val="center"/>
                    <w:rPr>
                      <w:rFonts w:hint="default"/>
                      <w:lang w:val="en-US" w:eastAsia="zh-CN"/>
                    </w:rPr>
                  </w:pPr>
                  <w:r>
                    <w:rPr>
                      <w:rFonts w:hint="eastAsia"/>
                      <w:lang w:val="en-US" w:eastAsia="zh-CN"/>
                    </w:rPr>
                    <w:t>87.5</w:t>
                  </w:r>
                </w:p>
              </w:tc>
              <w:tc>
                <w:tcPr>
                  <w:tcW w:w="596" w:type="pct"/>
                  <w:tcBorders>
                    <w:tl2br w:val="nil"/>
                    <w:tr2bl w:val="nil"/>
                  </w:tcBorders>
                  <w:noWrap w:val="0"/>
                  <w:vAlign w:val="center"/>
                </w:tcPr>
                <w:p w14:paraId="7745DFA9">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达标</w:t>
                  </w:r>
                </w:p>
              </w:tc>
            </w:tr>
          </w:tbl>
          <w:p w14:paraId="1F4E12E5">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000000" w:themeColor="text1"/>
                <w:spacing w:val="-1"/>
                <w:sz w:val="24"/>
                <w:szCs w:val="24"/>
                <w:highlight w:val="none"/>
                <w14:textFill>
                  <w14:solidFill>
                    <w14:schemeClr w14:val="tx1"/>
                  </w14:solidFill>
                </w14:textFill>
              </w:rPr>
            </w:pPr>
            <w:r>
              <w:rPr>
                <w:rFonts w:hint="default" w:ascii="Times New Roman" w:hAnsi="Times New Roman" w:cs="Times New Roman"/>
                <w:color w:val="000000" w:themeColor="text1"/>
                <w:spacing w:val="-2"/>
                <w:sz w:val="24"/>
                <w:szCs w:val="24"/>
                <w:highlight w:val="none"/>
                <w14:textFill>
                  <w14:solidFill>
                    <w14:schemeClr w14:val="tx1"/>
                  </w14:solidFill>
                </w14:textFill>
              </w:rPr>
              <w:t>由表</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3.1</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2"/>
                <w:sz w:val="24"/>
                <w:szCs w:val="24"/>
                <w:highlight w:val="none"/>
                <w14:textFill>
                  <w14:solidFill>
                    <w14:schemeClr w14:val="tx1"/>
                  </w14:solidFill>
                </w14:textFill>
              </w:rPr>
              <w:t>可知：</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项目所在区域</w:t>
            </w:r>
            <w:r>
              <w:rPr>
                <w:rFonts w:hint="default" w:ascii="Times New Roman" w:hAnsi="Times New Roman" w:cs="Times New Roman"/>
                <w:color w:val="000000" w:themeColor="text1"/>
                <w:spacing w:val="-2"/>
                <w:sz w:val="24"/>
                <w:szCs w:val="24"/>
                <w:highlight w:val="none"/>
                <w14:textFill>
                  <w14:solidFill>
                    <w14:schemeClr w14:val="tx1"/>
                  </w14:solidFill>
                </w14:textFill>
              </w:rPr>
              <w:t>基本污染物</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、CO、</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kern w:val="0"/>
                <w:sz w:val="24"/>
                <w:szCs w:val="24"/>
                <w:highlight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kern w:val="0"/>
                <w:sz w:val="24"/>
                <w:szCs w:val="24"/>
                <w:highlight w:val="none"/>
                <w:vertAlign w:val="baseline"/>
                <w:lang w:val="en-US" w:eastAsia="zh-CN"/>
                <w14:textFill>
                  <w14:solidFill>
                    <w14:schemeClr w14:val="tx1"/>
                  </w14:solidFill>
                </w14:textFill>
              </w:rPr>
              <w:t>均能够</w:t>
            </w:r>
            <w:r>
              <w:rPr>
                <w:rFonts w:hint="default" w:ascii="Times New Roman" w:hAnsi="Times New Roman" w:cs="Times New Roman"/>
                <w:color w:val="000000" w:themeColor="text1"/>
                <w:sz w:val="24"/>
                <w:szCs w:val="24"/>
                <w:highlight w:val="none"/>
                <w14:textFill>
                  <w14:solidFill>
                    <w14:schemeClr w14:val="tx1"/>
                  </w14:solidFill>
                </w14:textFill>
              </w:rPr>
              <w:t>满足《环境空气质量标准》</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GB3095-2012</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二级标准要求，因此</w:t>
            </w:r>
            <w:r>
              <w:rPr>
                <w:rFonts w:hint="default" w:ascii="Times New Roman" w:hAnsi="Times New Roman" w:cs="Times New Roman"/>
                <w:color w:val="000000" w:themeColor="text1"/>
                <w:spacing w:val="-1"/>
                <w:sz w:val="24"/>
                <w:szCs w:val="24"/>
                <w:highlight w:val="none"/>
                <w14:textFill>
                  <w14:solidFill>
                    <w14:schemeClr w14:val="tx1"/>
                  </w14:solidFill>
                </w14:textFill>
              </w:rPr>
              <w:t>，本项目所在区域为环境空气质量达标区。</w:t>
            </w:r>
          </w:p>
          <w:p w14:paraId="7FB2767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3.1.2地表水环境质量现状</w:t>
            </w:r>
          </w:p>
          <w:p w14:paraId="70380C37">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项目污废水经</w:t>
            </w:r>
            <w:r>
              <w:rPr>
                <w:rFonts w:hint="eastAsia" w:cs="Times New Roman"/>
                <w:color w:val="000000" w:themeColor="text1"/>
                <w:kern w:val="2"/>
                <w:sz w:val="24"/>
                <w:szCs w:val="24"/>
                <w:lang w:val="en-US" w:eastAsia="zh-CN" w:bidi="ar-SA"/>
                <w14:textFill>
                  <w14:solidFill>
                    <w14:schemeClr w14:val="tx1"/>
                  </w14:solidFill>
                </w14:textFill>
              </w:rPr>
              <w:t>彩云湖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污水处理厂处理达标后作为彩云湖湿地公园和桃花溪景观补水</w:t>
            </w:r>
            <w:r>
              <w:rPr>
                <w:rFonts w:hint="eastAsia" w:cs="Times New Roman"/>
                <w:color w:val="000000" w:themeColor="text1"/>
                <w:kern w:val="2"/>
                <w:sz w:val="24"/>
                <w:szCs w:val="24"/>
                <w:lang w:val="en-US" w:eastAsia="zh-CN" w:bidi="ar-SA"/>
                <w14:textFill>
                  <w14:solidFill>
                    <w14:schemeClr w14:val="tx1"/>
                  </w14:solidFill>
                </w14:textFill>
              </w:rPr>
              <w:t>，最终</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排入</w:t>
            </w:r>
            <w:r>
              <w:rPr>
                <w:rFonts w:hint="eastAsia" w:cs="Times New Roman"/>
                <w:color w:val="000000" w:themeColor="text1"/>
                <w:kern w:val="2"/>
                <w:sz w:val="24"/>
                <w:szCs w:val="24"/>
                <w:lang w:val="en-US" w:eastAsia="zh-CN" w:bidi="ar-SA"/>
                <w14:textFill>
                  <w14:solidFill>
                    <w14:schemeClr w14:val="tx1"/>
                  </w14:solidFill>
                </w14:textFill>
              </w:rPr>
              <w:t>长江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。根据《重庆市人民政府关于批转重庆市地表水环境功能类别调整方案的通知》（渝府〔</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2012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号），</w:t>
            </w:r>
            <w:r>
              <w:rPr>
                <w:rFonts w:hint="eastAsia" w:cs="Times New Roman"/>
                <w:color w:val="000000" w:themeColor="text1"/>
                <w:kern w:val="2"/>
                <w:sz w:val="24"/>
                <w:szCs w:val="24"/>
                <w:lang w:val="en-US" w:eastAsia="zh-CN" w:bidi="ar-SA"/>
                <w14:textFill>
                  <w14:solidFill>
                    <w14:schemeClr w14:val="tx1"/>
                  </w14:solidFill>
                </w14:textFill>
              </w:rPr>
              <w:t>主城段长江属于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Ⅲ类</w:t>
            </w:r>
            <w:r>
              <w:rPr>
                <w:rFonts w:hint="eastAsia" w:cs="Times New Roman"/>
                <w:color w:val="000000" w:themeColor="text1"/>
                <w:kern w:val="2"/>
                <w:sz w:val="24"/>
                <w:szCs w:val="24"/>
                <w:lang w:val="en-US" w:eastAsia="zh-CN" w:bidi="ar-SA"/>
                <w14:textFill>
                  <w14:solidFill>
                    <w14:schemeClr w14:val="tx1"/>
                  </w14:solidFill>
                </w14:textFill>
              </w:rPr>
              <w:t>水域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，执行《地表水环境质量标准》（</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GB3838-2002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）Ⅲ类水域标准。</w:t>
            </w:r>
          </w:p>
          <w:p w14:paraId="5DDC928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根据《建设项目环境影响报告表编制技术指南（污染影响类）（试行）》中水环境质量现状调查要求，可采用生态环境保护主管部门发布的地表水达标情况的结论。</w:t>
            </w:r>
          </w:p>
          <w:p w14:paraId="28B6FF1A">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项目所在区域地表水体达标情况判定，优先采用国务院生态环境保护主管部门统一发布的水环境状况信息。根据重庆市生态环境局公布的《202</w:t>
            </w:r>
            <w:r>
              <w:rPr>
                <w:rFonts w:hint="eastAsia"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重庆市生态环境状况公报》，“长江干流重庆段水质为优，20 个监测断面水质均为 II 类。”地表水环境质量总体较好，项目所在的地表水水质达标率为100%</w:t>
            </w:r>
            <w:r>
              <w:rPr>
                <w:rFonts w:hint="eastAsia" w:cs="Times New Roman"/>
                <w:color w:val="000000" w:themeColor="text1"/>
                <w:kern w:val="2"/>
                <w:sz w:val="24"/>
                <w:szCs w:val="24"/>
                <w:lang w:val="en-US" w:eastAsia="zh-CN" w:bidi="ar-SA"/>
                <w14:textFill>
                  <w14:solidFill>
                    <w14:schemeClr w14:val="tx1"/>
                  </w14:solidFill>
                </w14:textFill>
              </w:rPr>
              <w:t>。</w:t>
            </w:r>
          </w:p>
          <w:p w14:paraId="7E696D7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3.1.3 声环境质量现状</w:t>
            </w:r>
          </w:p>
          <w:p w14:paraId="43A0B508">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项目位于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重庆市九龙坡区二郎街道火炬大道100号附24号及附23-2号商铺1F，</w:t>
            </w:r>
            <w:r>
              <w:rPr>
                <w:rFonts w:hint="default" w:ascii="Times New Roman" w:hAnsi="Times New Roman" w:eastAsia="宋体" w:cs="Times New Roman"/>
                <w:color w:val="000000" w:themeColor="text1"/>
                <w:sz w:val="24"/>
                <w:highlight w:val="none"/>
                <w14:textFill>
                  <w14:solidFill>
                    <w14:schemeClr w14:val="tx1"/>
                  </w14:solidFill>
                </w14:textFill>
              </w:rPr>
              <w:t>根据《重庆市中心城区声环境功能区划分方案</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2023年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》可知，</w:t>
            </w:r>
            <w:r>
              <w:rPr>
                <w:rFonts w:hint="eastAsia" w:cs="Times New Roman"/>
                <w:color w:val="000000" w:themeColor="text1"/>
                <w:sz w:val="24"/>
                <w:highlight w:val="none"/>
                <w:lang w:val="en-US" w:eastAsia="zh-CN"/>
                <w14:textFill>
                  <w14:solidFill>
                    <w14:schemeClr w14:val="tx1"/>
                  </w14:solidFill>
                </w14:textFill>
              </w:rPr>
              <w:t>本项目所属区域</w:t>
            </w:r>
            <w:r>
              <w:rPr>
                <w:rFonts w:hint="default" w:ascii="Times New Roman" w:hAnsi="Times New Roman" w:eastAsia="宋体" w:cs="Times New Roman"/>
                <w:color w:val="000000" w:themeColor="text1"/>
                <w:sz w:val="24"/>
                <w:highlight w:val="none"/>
                <w14:textFill>
                  <w14:solidFill>
                    <w14:schemeClr w14:val="tx1"/>
                  </w14:solidFill>
                </w14:textFill>
              </w:rPr>
              <w:t>属于</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类声功能区</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旁边学校属于1</w:t>
            </w:r>
            <w:r>
              <w:rPr>
                <w:rFonts w:hint="default" w:ascii="Times New Roman" w:hAnsi="Times New Roman" w:eastAsia="宋体" w:cs="Times New Roman"/>
                <w:color w:val="000000" w:themeColor="text1"/>
                <w:sz w:val="24"/>
                <w:highlight w:val="none"/>
                <w14:textFill>
                  <w14:solidFill>
                    <w14:schemeClr w14:val="tx1"/>
                  </w14:solidFill>
                </w14:textFill>
              </w:rPr>
              <w:t>类声功能区。</w:t>
            </w:r>
          </w:p>
          <w:p w14:paraId="6AA4A038">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监测方案</w:t>
            </w:r>
          </w:p>
          <w:p w14:paraId="47A9EB3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监测点位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共</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个监测点，</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rPr>
              <w:t>1点位于</w:t>
            </w:r>
            <w:r>
              <w:rPr>
                <w:rFonts w:hint="eastAsia" w:ascii="Times New Roman" w:hAnsi="Times New Roman" w:eastAsia="宋体" w:cs="Times New Roman"/>
                <w:color w:val="auto"/>
                <w:sz w:val="24"/>
                <w:highlight w:val="none"/>
                <w:lang w:val="en-US" w:eastAsia="zh-CN"/>
              </w:rPr>
              <w:t>项目外南侧居民楼</w:t>
            </w:r>
            <w:r>
              <w:rPr>
                <w:rFonts w:hint="eastAsia" w:cs="Times New Roman"/>
                <w:color w:val="auto"/>
                <w:sz w:val="24"/>
                <w:highlight w:val="none"/>
                <w:lang w:val="en-US" w:eastAsia="zh-CN"/>
              </w:rPr>
              <w:t>、N2</w:t>
            </w:r>
            <w:r>
              <w:rPr>
                <w:rFonts w:hint="default" w:ascii="Times New Roman" w:hAnsi="Times New Roman" w:eastAsia="宋体" w:cs="Times New Roman"/>
                <w:color w:val="auto"/>
                <w:sz w:val="24"/>
                <w:highlight w:val="none"/>
              </w:rPr>
              <w:t>点位于</w:t>
            </w:r>
            <w:r>
              <w:rPr>
                <w:rFonts w:hint="eastAsia" w:ascii="Times New Roman" w:hAnsi="Times New Roman" w:eastAsia="宋体" w:cs="Times New Roman"/>
                <w:color w:val="auto"/>
                <w:sz w:val="24"/>
                <w:highlight w:val="none"/>
                <w:lang w:val="en-US" w:eastAsia="zh-CN"/>
              </w:rPr>
              <w:t>项目外西侧学校</w:t>
            </w:r>
            <w:r>
              <w:rPr>
                <w:rFonts w:hint="default" w:ascii="Times New Roman" w:hAnsi="Times New Roman" w:eastAsia="宋体" w:cs="Times New Roman"/>
                <w:color w:val="auto"/>
                <w:sz w:val="24"/>
                <w:highlight w:val="none"/>
              </w:rPr>
              <w:t>。</w:t>
            </w:r>
          </w:p>
          <w:p w14:paraId="52DE01C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监测内容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等效A声级。</w:t>
            </w:r>
          </w:p>
          <w:p w14:paraId="77B4E1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监测时间与频率</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监测时间为202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rPr>
              <w:t>日，监测一天，每天昼夜各监测一次。</w:t>
            </w:r>
          </w:p>
          <w:p w14:paraId="71D67D25">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评价方法与标准</w:t>
            </w:r>
          </w:p>
          <w:p w14:paraId="631B678F">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环境噪声执行《声环境质量标准》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2类</w:t>
            </w:r>
            <w:r>
              <w:rPr>
                <w:rFonts w:hint="default" w:ascii="Times New Roman" w:hAnsi="Times New Roman" w:eastAsia="宋体" w:cs="Times New Roman"/>
                <w:color w:val="auto"/>
                <w:sz w:val="24"/>
                <w:highlight w:val="none"/>
              </w:rPr>
              <w:t>标准</w:t>
            </w:r>
            <w:r>
              <w:rPr>
                <w:rFonts w:hint="eastAsia" w:cs="Times New Roman"/>
                <w:color w:val="auto"/>
                <w:sz w:val="24"/>
                <w:highlight w:val="none"/>
                <w:lang w:eastAsia="zh-CN"/>
              </w:rPr>
              <w:t>，</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环境噪声执行《声环境质量标准》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1类</w:t>
            </w:r>
            <w:r>
              <w:rPr>
                <w:rFonts w:hint="default" w:ascii="Times New Roman" w:hAnsi="Times New Roman" w:eastAsia="宋体" w:cs="Times New Roman"/>
                <w:color w:val="auto"/>
                <w:sz w:val="24"/>
                <w:highlight w:val="none"/>
              </w:rPr>
              <w:t>标准。</w:t>
            </w:r>
          </w:p>
          <w:p w14:paraId="53056E7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监测评价结果</w:t>
            </w:r>
          </w:p>
          <w:p w14:paraId="250BAF7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监测数据及评价结果见表3.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04985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4"/>
                <w:szCs w:val="24"/>
                <w:highlight w:val="none"/>
                <w:vertAlign w:val="baseline"/>
                <w:lang w:val="en-US"/>
              </w:rPr>
            </w:pPr>
            <w:r>
              <w:rPr>
                <w:rFonts w:hint="default" w:ascii="Times New Roman" w:hAnsi="Times New Roman" w:cs="Times New Roman"/>
                <w:b/>
                <w:bCs/>
                <w:color w:val="auto"/>
                <w:kern w:val="0"/>
                <w:sz w:val="24"/>
                <w:szCs w:val="24"/>
                <w:highlight w:val="none"/>
              </w:rPr>
              <w:t>表3.</w:t>
            </w:r>
            <w:r>
              <w:rPr>
                <w:rFonts w:hint="eastAsia" w:cs="Times New Roman"/>
                <w:b/>
                <w:bCs/>
                <w:color w:val="auto"/>
                <w:kern w:val="0"/>
                <w:sz w:val="24"/>
                <w:szCs w:val="24"/>
                <w:highlight w:val="none"/>
                <w:lang w:val="en-US" w:eastAsia="zh-CN"/>
              </w:rPr>
              <w:t>1</w:t>
            </w:r>
            <w:r>
              <w:rPr>
                <w:rFonts w:hint="default" w:ascii="Times New Roman" w:hAnsi="Times New Roman" w:cs="Times New Roman"/>
                <w:b/>
                <w:bCs/>
                <w:color w:val="auto"/>
                <w:kern w:val="0"/>
                <w:sz w:val="24"/>
                <w:szCs w:val="24"/>
                <w:highlight w:val="none"/>
              </w:rPr>
              <w:t>-</w:t>
            </w:r>
            <w:r>
              <w:rPr>
                <w:rFonts w:hint="eastAsia" w:cs="Times New Roman"/>
                <w:b/>
                <w:bCs/>
                <w:color w:val="auto"/>
                <w:kern w:val="0"/>
                <w:sz w:val="24"/>
                <w:szCs w:val="24"/>
                <w:highlight w:val="none"/>
                <w:lang w:val="en-US" w:eastAsia="zh-CN"/>
              </w:rPr>
              <w:t>2</w:t>
            </w:r>
            <w:r>
              <w:rPr>
                <w:rFonts w:hint="default" w:ascii="Times New Roman" w:hAnsi="Times New Roman" w:cs="Times New Roman"/>
                <w:b/>
                <w:bCs/>
                <w:color w:val="auto"/>
                <w:kern w:val="0"/>
                <w:sz w:val="24"/>
                <w:szCs w:val="24"/>
                <w:highlight w:val="none"/>
              </w:rPr>
              <w:t>声环境监测统计结果</w:t>
            </w:r>
            <w:r>
              <w:rPr>
                <w:rFonts w:hint="default" w:ascii="Times New Roman" w:hAnsi="Times New Roman" w:cs="Times New Roman"/>
                <w:b/>
                <w:bCs/>
                <w:color w:val="auto"/>
                <w:kern w:val="0"/>
                <w:sz w:val="24"/>
                <w:szCs w:val="24"/>
                <w:highlight w:val="none"/>
                <w:lang w:val="en-US" w:eastAsia="zh-CN"/>
              </w:rPr>
              <w:t xml:space="preserve"> </w:t>
            </w:r>
            <w:r>
              <w:rPr>
                <w:rFonts w:hint="default" w:ascii="Times New Roman" w:hAnsi="Times New Roman" w:cs="Times New Roman"/>
                <w:b/>
                <w:bCs/>
                <w:color w:val="auto"/>
                <w:kern w:val="0"/>
                <w:sz w:val="24"/>
                <w:szCs w:val="24"/>
                <w:highlight w:val="none"/>
              </w:rPr>
              <w:t>单位</w:t>
            </w:r>
            <w:r>
              <w:rPr>
                <w:rFonts w:hint="default" w:ascii="Times New Roman" w:hAnsi="Times New Roman" w:cs="Times New Roman"/>
                <w:b/>
                <w:bCs/>
                <w:color w:val="auto"/>
                <w:kern w:val="0"/>
                <w:sz w:val="24"/>
                <w:szCs w:val="24"/>
                <w:highlight w:val="none"/>
                <w:lang w:eastAsia="zh-CN"/>
              </w:rPr>
              <w:t>：</w:t>
            </w:r>
            <w:r>
              <w:rPr>
                <w:rFonts w:hint="default" w:ascii="Times New Roman" w:hAnsi="Times New Roman" w:cs="Times New Roman"/>
                <w:b/>
                <w:bCs/>
                <w:color w:val="auto"/>
                <w:kern w:val="0"/>
                <w:sz w:val="24"/>
                <w:szCs w:val="24"/>
                <w:highlight w:val="none"/>
              </w:rPr>
              <w:t>dB</w:t>
            </w:r>
            <w:r>
              <w:rPr>
                <w:rFonts w:hint="default" w:ascii="Times New Roman" w:hAnsi="Times New Roman" w:cs="Times New Roman"/>
                <w:b/>
                <w:bCs/>
                <w:color w:val="auto"/>
                <w:kern w:val="0"/>
                <w:sz w:val="24"/>
                <w:szCs w:val="24"/>
                <w:highlight w:val="none"/>
                <w:lang w:eastAsia="zh-CN"/>
              </w:rPr>
              <w:t>（</w:t>
            </w:r>
            <w:r>
              <w:rPr>
                <w:rFonts w:hint="default" w:ascii="Times New Roman" w:hAnsi="Times New Roman" w:cs="Times New Roman"/>
                <w:b/>
                <w:bCs/>
                <w:color w:val="auto"/>
                <w:kern w:val="0"/>
                <w:sz w:val="24"/>
                <w:szCs w:val="24"/>
                <w:highlight w:val="none"/>
                <w:lang w:val="en-US" w:eastAsia="zh-CN"/>
              </w:rPr>
              <w:t>A）</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44"/>
              <w:gridCol w:w="1009"/>
              <w:gridCol w:w="977"/>
              <w:gridCol w:w="1044"/>
              <w:gridCol w:w="1044"/>
              <w:gridCol w:w="1045"/>
              <w:gridCol w:w="1047"/>
            </w:tblGrid>
            <w:tr w14:paraId="57885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Merge w:val="restart"/>
                  <w:tcBorders>
                    <w:tl2br w:val="nil"/>
                    <w:tr2bl w:val="nil"/>
                  </w:tcBorders>
                  <w:vAlign w:val="center"/>
                </w:tcPr>
                <w:p w14:paraId="0AD1E1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监测点位</w:t>
                  </w:r>
                </w:p>
              </w:tc>
              <w:tc>
                <w:tcPr>
                  <w:tcW w:w="685" w:type="pct"/>
                  <w:vMerge w:val="restart"/>
                  <w:tcBorders>
                    <w:tl2br w:val="nil"/>
                    <w:tr2bl w:val="nil"/>
                  </w:tcBorders>
                  <w:vAlign w:val="center"/>
                </w:tcPr>
                <w:p w14:paraId="138842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监测日期</w:t>
                  </w:r>
                </w:p>
              </w:tc>
              <w:tc>
                <w:tcPr>
                  <w:tcW w:w="1189" w:type="pct"/>
                  <w:gridSpan w:val="2"/>
                  <w:tcBorders>
                    <w:tl2br w:val="nil"/>
                    <w:tr2bl w:val="nil"/>
                  </w:tcBorders>
                  <w:vAlign w:val="center"/>
                </w:tcPr>
                <w:p w14:paraId="1E3E3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r>
                    <w:rPr>
                      <w:rFonts w:hint="default" w:ascii="Times New Roman" w:hAnsi="Times New Roman" w:cs="Times New Roman"/>
                      <w:b w:val="0"/>
                      <w:bCs w:val="0"/>
                      <w:color w:val="auto"/>
                      <w:kern w:val="0"/>
                      <w:sz w:val="21"/>
                      <w:szCs w:val="21"/>
                      <w:highlight w:val="none"/>
                      <w:vertAlign w:val="baseline"/>
                      <w:lang w:val="en-US" w:eastAsia="zh-CN"/>
                    </w:rPr>
                    <w:t>监测结果</w:t>
                  </w:r>
                  <w:r>
                    <w:rPr>
                      <w:rFonts w:hint="default" w:ascii="Times New Roman" w:hAnsi="Times New Roman" w:cs="Times New Roman"/>
                      <w:b w:val="0"/>
                      <w:bCs w:val="0"/>
                      <w:color w:val="auto"/>
                      <w:kern w:val="0"/>
                      <w:sz w:val="21"/>
                      <w:szCs w:val="21"/>
                      <w:highlight w:val="none"/>
                    </w:rPr>
                    <w:t>dB</w:t>
                  </w: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val="en-US" w:eastAsia="zh-CN"/>
                    </w:rPr>
                    <w:t>A）</w:t>
                  </w:r>
                </w:p>
              </w:tc>
              <w:tc>
                <w:tcPr>
                  <w:tcW w:w="1250" w:type="pct"/>
                  <w:gridSpan w:val="2"/>
                  <w:tcBorders>
                    <w:tl2br w:val="nil"/>
                    <w:tr2bl w:val="nil"/>
                  </w:tcBorders>
                  <w:vAlign w:val="center"/>
                </w:tcPr>
                <w:p w14:paraId="3CF88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标准限值</w:t>
                  </w:r>
                </w:p>
              </w:tc>
              <w:tc>
                <w:tcPr>
                  <w:tcW w:w="1251" w:type="pct"/>
                  <w:gridSpan w:val="2"/>
                  <w:tcBorders>
                    <w:tl2br w:val="nil"/>
                    <w:tr2bl w:val="nil"/>
                  </w:tcBorders>
                  <w:vAlign w:val="center"/>
                </w:tcPr>
                <w:p w14:paraId="6BEAA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达标分析</w:t>
                  </w:r>
                </w:p>
              </w:tc>
            </w:tr>
            <w:tr w14:paraId="66705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vMerge w:val="continue"/>
                  <w:tcBorders>
                    <w:tl2br w:val="nil"/>
                    <w:tr2bl w:val="nil"/>
                  </w:tcBorders>
                  <w:vAlign w:val="center"/>
                </w:tcPr>
                <w:p w14:paraId="7D057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p>
              </w:tc>
              <w:tc>
                <w:tcPr>
                  <w:tcW w:w="685" w:type="pct"/>
                  <w:vMerge w:val="continue"/>
                  <w:tcBorders>
                    <w:tl2br w:val="nil"/>
                    <w:tr2bl w:val="nil"/>
                  </w:tcBorders>
                  <w:vAlign w:val="center"/>
                </w:tcPr>
                <w:p w14:paraId="69CAE3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rPr>
                  </w:pPr>
                </w:p>
              </w:tc>
              <w:tc>
                <w:tcPr>
                  <w:tcW w:w="604" w:type="pct"/>
                  <w:tcBorders>
                    <w:tl2br w:val="nil"/>
                    <w:tr2bl w:val="nil"/>
                  </w:tcBorders>
                  <w:vAlign w:val="center"/>
                </w:tcPr>
                <w:p w14:paraId="785343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585" w:type="pct"/>
                  <w:tcBorders>
                    <w:tl2br w:val="nil"/>
                    <w:tr2bl w:val="nil"/>
                  </w:tcBorders>
                  <w:vAlign w:val="center"/>
                </w:tcPr>
                <w:p w14:paraId="132ED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625" w:type="pct"/>
                  <w:tcBorders>
                    <w:tl2br w:val="nil"/>
                    <w:tr2bl w:val="nil"/>
                  </w:tcBorders>
                  <w:shd w:val="clear" w:color="auto" w:fill="auto"/>
                  <w:vAlign w:val="center"/>
                </w:tcPr>
                <w:p w14:paraId="30885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625" w:type="pct"/>
                  <w:tcBorders>
                    <w:tl2br w:val="nil"/>
                    <w:tr2bl w:val="nil"/>
                  </w:tcBorders>
                  <w:shd w:val="clear" w:color="auto" w:fill="auto"/>
                  <w:vAlign w:val="center"/>
                </w:tcPr>
                <w:p w14:paraId="21693B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c>
                <w:tcPr>
                  <w:tcW w:w="625" w:type="pct"/>
                  <w:tcBorders>
                    <w:tl2br w:val="nil"/>
                    <w:tr2bl w:val="nil"/>
                  </w:tcBorders>
                  <w:shd w:val="clear" w:color="auto" w:fill="auto"/>
                  <w:vAlign w:val="center"/>
                </w:tcPr>
                <w:p w14:paraId="2C63F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昼间</w:t>
                  </w:r>
                </w:p>
              </w:tc>
              <w:tc>
                <w:tcPr>
                  <w:tcW w:w="626" w:type="pct"/>
                  <w:tcBorders>
                    <w:tl2br w:val="nil"/>
                    <w:tr2bl w:val="nil"/>
                  </w:tcBorders>
                  <w:shd w:val="clear" w:color="auto" w:fill="auto"/>
                  <w:vAlign w:val="center"/>
                </w:tcPr>
                <w:p w14:paraId="15EF1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rPr>
                    <w:t>夜间</w:t>
                  </w:r>
                </w:p>
              </w:tc>
            </w:tr>
            <w:tr w14:paraId="07E00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48A3D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项目外南侧居民楼</w:t>
                  </w:r>
                </w:p>
              </w:tc>
              <w:tc>
                <w:tcPr>
                  <w:tcW w:w="685" w:type="pct"/>
                  <w:tcBorders>
                    <w:tl2br w:val="nil"/>
                    <w:tr2bl w:val="nil"/>
                  </w:tcBorders>
                  <w:vAlign w:val="center"/>
                </w:tcPr>
                <w:p w14:paraId="6E3E0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2025.</w:t>
                  </w:r>
                  <w:r>
                    <w:rPr>
                      <w:rFonts w:hint="eastAsia" w:cs="Times New Roman"/>
                      <w:b w:val="0"/>
                      <w:bCs w:val="0"/>
                      <w:color w:val="auto"/>
                      <w:kern w:val="0"/>
                      <w:sz w:val="21"/>
                      <w:szCs w:val="21"/>
                      <w:highlight w:val="none"/>
                      <w:vertAlign w:val="baseline"/>
                      <w:lang w:val="en-US" w:eastAsia="zh-CN"/>
                    </w:rPr>
                    <w:t>7</w:t>
                  </w:r>
                  <w:r>
                    <w:rPr>
                      <w:rFonts w:hint="eastAsia" w:ascii="Times New Roman" w:hAnsi="Times New Roman" w:eastAsia="宋体" w:cs="Times New Roman"/>
                      <w:b w:val="0"/>
                      <w:bCs w:val="0"/>
                      <w:color w:val="auto"/>
                      <w:kern w:val="0"/>
                      <w:sz w:val="21"/>
                      <w:szCs w:val="21"/>
                      <w:highlight w:val="none"/>
                      <w:vertAlign w:val="baseline"/>
                      <w:lang w:val="en-US" w:eastAsia="zh-CN"/>
                    </w:rPr>
                    <w:t>.1</w:t>
                  </w:r>
                  <w:r>
                    <w:rPr>
                      <w:rFonts w:hint="eastAsia" w:cs="Times New Roman"/>
                      <w:b w:val="0"/>
                      <w:bCs w:val="0"/>
                      <w:color w:val="auto"/>
                      <w:kern w:val="0"/>
                      <w:sz w:val="21"/>
                      <w:szCs w:val="21"/>
                      <w:highlight w:val="none"/>
                      <w:vertAlign w:val="baseline"/>
                      <w:lang w:val="en-US" w:eastAsia="zh-CN"/>
                    </w:rPr>
                    <w:t>6</w:t>
                  </w:r>
                </w:p>
              </w:tc>
              <w:tc>
                <w:tcPr>
                  <w:tcW w:w="604" w:type="pct"/>
                  <w:tcBorders>
                    <w:tl2br w:val="nil"/>
                    <w:tr2bl w:val="nil"/>
                  </w:tcBorders>
                  <w:vAlign w:val="center"/>
                </w:tcPr>
                <w:p w14:paraId="7ACE52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54</w:t>
                  </w:r>
                </w:p>
              </w:tc>
              <w:tc>
                <w:tcPr>
                  <w:tcW w:w="585" w:type="pct"/>
                  <w:tcBorders>
                    <w:tl2br w:val="nil"/>
                    <w:tr2bl w:val="nil"/>
                  </w:tcBorders>
                  <w:vAlign w:val="center"/>
                </w:tcPr>
                <w:p w14:paraId="133CF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47</w:t>
                  </w:r>
                </w:p>
              </w:tc>
              <w:tc>
                <w:tcPr>
                  <w:tcW w:w="625" w:type="pct"/>
                  <w:tcBorders>
                    <w:tl2br w:val="nil"/>
                    <w:tr2bl w:val="nil"/>
                  </w:tcBorders>
                  <w:vAlign w:val="center"/>
                </w:tcPr>
                <w:p w14:paraId="3167D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60</w:t>
                  </w:r>
                </w:p>
              </w:tc>
              <w:tc>
                <w:tcPr>
                  <w:tcW w:w="625" w:type="pct"/>
                  <w:tcBorders>
                    <w:tl2br w:val="nil"/>
                    <w:tr2bl w:val="nil"/>
                  </w:tcBorders>
                  <w:vAlign w:val="center"/>
                </w:tcPr>
                <w:p w14:paraId="4B303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50</w:t>
                  </w:r>
                </w:p>
              </w:tc>
              <w:tc>
                <w:tcPr>
                  <w:tcW w:w="625" w:type="pct"/>
                  <w:tcBorders>
                    <w:tl2br w:val="nil"/>
                    <w:tr2bl w:val="nil"/>
                  </w:tcBorders>
                  <w:vAlign w:val="center"/>
                </w:tcPr>
                <w:p w14:paraId="5B685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c>
                <w:tcPr>
                  <w:tcW w:w="626" w:type="pct"/>
                  <w:tcBorders>
                    <w:tl2br w:val="nil"/>
                    <w:tr2bl w:val="nil"/>
                  </w:tcBorders>
                  <w:vAlign w:val="center"/>
                </w:tcPr>
                <w:p w14:paraId="1A368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r>
            <w:tr w14:paraId="6EE96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83CB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项目外西侧学校</w:t>
                  </w:r>
                </w:p>
              </w:tc>
              <w:tc>
                <w:tcPr>
                  <w:tcW w:w="685" w:type="pct"/>
                  <w:tcBorders>
                    <w:tl2br w:val="nil"/>
                    <w:tr2bl w:val="nil"/>
                  </w:tcBorders>
                  <w:vAlign w:val="center"/>
                </w:tcPr>
                <w:p w14:paraId="653D2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2025.</w:t>
                  </w:r>
                  <w:r>
                    <w:rPr>
                      <w:rFonts w:hint="eastAsia" w:cs="Times New Roman"/>
                      <w:b w:val="0"/>
                      <w:bCs w:val="0"/>
                      <w:color w:val="auto"/>
                      <w:kern w:val="0"/>
                      <w:sz w:val="21"/>
                      <w:szCs w:val="21"/>
                      <w:highlight w:val="none"/>
                      <w:vertAlign w:val="baseline"/>
                      <w:lang w:val="en-US" w:eastAsia="zh-CN"/>
                    </w:rPr>
                    <w:t>7</w:t>
                  </w:r>
                  <w:r>
                    <w:rPr>
                      <w:rFonts w:hint="eastAsia" w:ascii="Times New Roman" w:hAnsi="Times New Roman" w:eastAsia="宋体" w:cs="Times New Roman"/>
                      <w:b w:val="0"/>
                      <w:bCs w:val="0"/>
                      <w:color w:val="auto"/>
                      <w:kern w:val="0"/>
                      <w:sz w:val="21"/>
                      <w:szCs w:val="21"/>
                      <w:highlight w:val="none"/>
                      <w:vertAlign w:val="baseline"/>
                      <w:lang w:val="en-US" w:eastAsia="zh-CN"/>
                    </w:rPr>
                    <w:t>.1</w:t>
                  </w:r>
                  <w:r>
                    <w:rPr>
                      <w:rFonts w:hint="eastAsia" w:cs="Times New Roman"/>
                      <w:b w:val="0"/>
                      <w:bCs w:val="0"/>
                      <w:color w:val="auto"/>
                      <w:kern w:val="0"/>
                      <w:sz w:val="21"/>
                      <w:szCs w:val="21"/>
                      <w:highlight w:val="none"/>
                      <w:vertAlign w:val="baseline"/>
                      <w:lang w:val="en-US" w:eastAsia="zh-CN"/>
                    </w:rPr>
                    <w:t>6</w:t>
                  </w:r>
                </w:p>
              </w:tc>
              <w:tc>
                <w:tcPr>
                  <w:tcW w:w="604" w:type="pct"/>
                  <w:tcBorders>
                    <w:tl2br w:val="nil"/>
                    <w:tr2bl w:val="nil"/>
                  </w:tcBorders>
                  <w:vAlign w:val="center"/>
                </w:tcPr>
                <w:p w14:paraId="53FA3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50</w:t>
                  </w:r>
                </w:p>
              </w:tc>
              <w:tc>
                <w:tcPr>
                  <w:tcW w:w="585" w:type="pct"/>
                  <w:tcBorders>
                    <w:tl2br w:val="nil"/>
                    <w:tr2bl w:val="nil"/>
                  </w:tcBorders>
                  <w:vAlign w:val="center"/>
                </w:tcPr>
                <w:p w14:paraId="6EA6C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42</w:t>
                  </w:r>
                </w:p>
              </w:tc>
              <w:tc>
                <w:tcPr>
                  <w:tcW w:w="1044" w:type="dxa"/>
                  <w:tcBorders>
                    <w:tl2br w:val="nil"/>
                    <w:tr2bl w:val="nil"/>
                  </w:tcBorders>
                  <w:vAlign w:val="center"/>
                </w:tcPr>
                <w:p w14:paraId="18F952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55</w:t>
                  </w:r>
                </w:p>
              </w:tc>
              <w:tc>
                <w:tcPr>
                  <w:tcW w:w="1044" w:type="dxa"/>
                  <w:tcBorders>
                    <w:tl2br w:val="nil"/>
                    <w:tr2bl w:val="nil"/>
                  </w:tcBorders>
                  <w:vAlign w:val="center"/>
                </w:tcPr>
                <w:p w14:paraId="52BBB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45</w:t>
                  </w:r>
                </w:p>
              </w:tc>
              <w:tc>
                <w:tcPr>
                  <w:tcW w:w="1045" w:type="dxa"/>
                  <w:tcBorders>
                    <w:tl2br w:val="nil"/>
                    <w:tr2bl w:val="nil"/>
                  </w:tcBorders>
                  <w:vAlign w:val="center"/>
                </w:tcPr>
                <w:p w14:paraId="7B9F5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c>
                <w:tcPr>
                  <w:tcW w:w="1047" w:type="dxa"/>
                  <w:tcBorders>
                    <w:tl2br w:val="nil"/>
                    <w:tr2bl w:val="nil"/>
                  </w:tcBorders>
                  <w:vAlign w:val="center"/>
                </w:tcPr>
                <w:p w14:paraId="67335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达标</w:t>
                  </w:r>
                </w:p>
              </w:tc>
            </w:tr>
          </w:tbl>
          <w:p w14:paraId="0BD45D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rPr>
              <w:t>监测结果表明，</w:t>
            </w:r>
            <w:r>
              <w:rPr>
                <w:rFonts w:hint="eastAsia" w:cs="Times New Roman"/>
                <w:b w:val="0"/>
                <w:bCs w:val="0"/>
                <w:color w:val="auto"/>
                <w:kern w:val="0"/>
                <w:sz w:val="24"/>
                <w:szCs w:val="24"/>
                <w:highlight w:val="none"/>
                <w:lang w:val="en-US" w:eastAsia="zh-CN"/>
              </w:rPr>
              <w:t>N</w:t>
            </w:r>
            <w:r>
              <w:rPr>
                <w:rFonts w:hint="default" w:ascii="Times New Roman" w:hAnsi="Times New Roman"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rPr>
              <w:t>昼间</w:t>
            </w:r>
            <w:r>
              <w:rPr>
                <w:rFonts w:hint="eastAsia" w:cs="Times New Roman"/>
                <w:b w:val="0"/>
                <w:bCs w:val="0"/>
                <w:color w:val="auto"/>
                <w:kern w:val="0"/>
                <w:sz w:val="24"/>
                <w:szCs w:val="24"/>
                <w:highlight w:val="none"/>
                <w:lang w:val="en-US" w:eastAsia="zh-CN"/>
              </w:rPr>
              <w:t>、夜间</w:t>
            </w:r>
            <w:r>
              <w:rPr>
                <w:rFonts w:hint="default" w:ascii="Times New Roman" w:hAnsi="Times New Roman" w:cs="Times New Roman"/>
                <w:b w:val="0"/>
                <w:bCs w:val="0"/>
                <w:color w:val="auto"/>
                <w:kern w:val="0"/>
                <w:sz w:val="24"/>
                <w:szCs w:val="24"/>
                <w:highlight w:val="none"/>
                <w:lang w:val="en-US"/>
              </w:rPr>
              <w:t>噪声</w:t>
            </w:r>
            <w:r>
              <w:rPr>
                <w:rFonts w:hint="eastAsia"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lang w:val="en-US"/>
              </w:rPr>
              <w:t>满足《声环境质量标准》</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GB3096-2008</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中</w:t>
            </w:r>
            <w:r>
              <w:rPr>
                <w:rFonts w:hint="eastAsia" w:cs="Times New Roman"/>
                <w:b w:val="0"/>
                <w:bCs w:val="0"/>
                <w:color w:val="auto"/>
                <w:kern w:val="0"/>
                <w:sz w:val="24"/>
                <w:szCs w:val="24"/>
                <w:highlight w:val="none"/>
                <w:lang w:val="en-US" w:eastAsia="zh-CN"/>
              </w:rPr>
              <w:t>2</w:t>
            </w:r>
            <w:r>
              <w:rPr>
                <w:rFonts w:hint="default" w:ascii="Times New Roman" w:hAnsi="Times New Roman" w:cs="Times New Roman"/>
                <w:b w:val="0"/>
                <w:bCs w:val="0"/>
                <w:color w:val="auto"/>
                <w:kern w:val="0"/>
                <w:sz w:val="24"/>
                <w:szCs w:val="24"/>
                <w:highlight w:val="none"/>
                <w:lang w:val="en-US"/>
              </w:rPr>
              <w:t>类标准</w:t>
            </w:r>
            <w:r>
              <w:rPr>
                <w:rFonts w:hint="eastAsia" w:cs="Times New Roman"/>
                <w:b w:val="0"/>
                <w:bCs w:val="0"/>
                <w:color w:val="auto"/>
                <w:kern w:val="0"/>
                <w:sz w:val="24"/>
                <w:szCs w:val="24"/>
                <w:highlight w:val="none"/>
                <w:lang w:val="en-US" w:eastAsia="zh-CN"/>
              </w:rPr>
              <w:t>，N2</w:t>
            </w:r>
            <w:r>
              <w:rPr>
                <w:rFonts w:hint="default" w:ascii="Times New Roman" w:hAnsi="Times New Roman" w:cs="Times New Roman"/>
                <w:b w:val="0"/>
                <w:bCs w:val="0"/>
                <w:color w:val="auto"/>
                <w:kern w:val="0"/>
                <w:sz w:val="24"/>
                <w:szCs w:val="24"/>
                <w:highlight w:val="none"/>
                <w:lang w:val="en-US"/>
              </w:rPr>
              <w:t>昼间</w:t>
            </w:r>
            <w:r>
              <w:rPr>
                <w:rFonts w:hint="eastAsia" w:cs="Times New Roman"/>
                <w:b w:val="0"/>
                <w:bCs w:val="0"/>
                <w:color w:val="auto"/>
                <w:kern w:val="0"/>
                <w:sz w:val="24"/>
                <w:szCs w:val="24"/>
                <w:highlight w:val="none"/>
                <w:lang w:val="en-US" w:eastAsia="zh-CN"/>
              </w:rPr>
              <w:t>、夜间</w:t>
            </w:r>
            <w:r>
              <w:rPr>
                <w:rFonts w:hint="default" w:ascii="Times New Roman" w:hAnsi="Times New Roman" w:cs="Times New Roman"/>
                <w:b w:val="0"/>
                <w:bCs w:val="0"/>
                <w:color w:val="auto"/>
                <w:kern w:val="0"/>
                <w:sz w:val="24"/>
                <w:szCs w:val="24"/>
                <w:highlight w:val="none"/>
                <w:lang w:val="en-US"/>
              </w:rPr>
              <w:t>噪声</w:t>
            </w:r>
            <w:r>
              <w:rPr>
                <w:rFonts w:hint="eastAsia" w:cs="Times New Roman"/>
                <w:b w:val="0"/>
                <w:bCs w:val="0"/>
                <w:color w:val="auto"/>
                <w:kern w:val="0"/>
                <w:sz w:val="24"/>
                <w:szCs w:val="24"/>
                <w:highlight w:val="none"/>
                <w:lang w:val="en-US" w:eastAsia="zh-CN"/>
              </w:rPr>
              <w:t>均</w:t>
            </w:r>
            <w:r>
              <w:rPr>
                <w:rFonts w:hint="default" w:ascii="Times New Roman" w:hAnsi="Times New Roman" w:cs="Times New Roman"/>
                <w:b w:val="0"/>
                <w:bCs w:val="0"/>
                <w:color w:val="auto"/>
                <w:kern w:val="0"/>
                <w:sz w:val="24"/>
                <w:szCs w:val="24"/>
                <w:highlight w:val="none"/>
                <w:lang w:val="en-US"/>
              </w:rPr>
              <w:t>满足《声环境质量标准》</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GB3096-2008</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cs="Times New Roman"/>
                <w:b w:val="0"/>
                <w:bCs w:val="0"/>
                <w:color w:val="auto"/>
                <w:kern w:val="0"/>
                <w:sz w:val="24"/>
                <w:szCs w:val="24"/>
                <w:highlight w:val="none"/>
                <w:lang w:val="en-US"/>
              </w:rPr>
              <w:t>中</w:t>
            </w:r>
            <w:r>
              <w:rPr>
                <w:rFonts w:hint="eastAsia" w:cs="Times New Roman"/>
                <w:b w:val="0"/>
                <w:bCs w:val="0"/>
                <w:color w:val="auto"/>
                <w:kern w:val="0"/>
                <w:sz w:val="24"/>
                <w:szCs w:val="24"/>
                <w:highlight w:val="none"/>
                <w:lang w:val="en-US" w:eastAsia="zh-CN"/>
              </w:rPr>
              <w:t>1</w:t>
            </w:r>
            <w:r>
              <w:rPr>
                <w:rFonts w:hint="default" w:ascii="Times New Roman" w:hAnsi="Times New Roman" w:cs="Times New Roman"/>
                <w:b w:val="0"/>
                <w:bCs w:val="0"/>
                <w:color w:val="auto"/>
                <w:kern w:val="0"/>
                <w:sz w:val="24"/>
                <w:szCs w:val="24"/>
                <w:highlight w:val="none"/>
                <w:lang w:val="en-US"/>
              </w:rPr>
              <w:t>类标准。</w:t>
            </w:r>
            <w:r>
              <w:rPr>
                <w:rFonts w:hint="eastAsia" w:cs="Times New Roman"/>
                <w:b w:val="0"/>
                <w:bCs w:val="0"/>
                <w:color w:val="auto"/>
                <w:kern w:val="0"/>
                <w:sz w:val="24"/>
                <w:szCs w:val="24"/>
                <w:highlight w:val="none"/>
                <w:lang w:val="en-US" w:eastAsia="zh-CN"/>
              </w:rPr>
              <w:t>项目所在地声环境质量较好。</w:t>
            </w:r>
          </w:p>
          <w:p w14:paraId="5A170F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t>3.1.4 生态环境</w:t>
            </w:r>
          </w:p>
          <w:p w14:paraId="18D13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t>项目位于</w:t>
            </w:r>
            <w:r>
              <w:rPr>
                <w:rFonts w:hint="eastAsia" w:cs="Times New Roman"/>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cs="Times New Roman"/>
                <w:b w:val="0"/>
                <w:bCs w:val="0"/>
                <w:color w:val="000000" w:themeColor="text1"/>
                <w:kern w:val="0"/>
                <w:sz w:val="24"/>
                <w:szCs w:val="24"/>
                <w:highlight w:val="none"/>
                <w:lang w:val="en-US"/>
                <w14:textFill>
                  <w14:solidFill>
                    <w14:schemeClr w14:val="tx1"/>
                  </w14:solidFill>
                </w14:textFill>
              </w:rPr>
              <w:t>，租用商业用房开展经营活动，不新增占地。周边已建设住宅区、商业区和道路。周围无生态环境保护目标，不涉及生态红线范围，对生态环境的影响较小。所以无需对生态环境进行评价。</w:t>
            </w:r>
          </w:p>
          <w:p w14:paraId="1C8223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t>3.1.5 地下水、土壤环境质量</w:t>
            </w:r>
          </w:p>
          <w:p w14:paraId="3F9454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FF0000"/>
                <w:kern w:val="0"/>
                <w:sz w:val="24"/>
                <w:szCs w:val="24"/>
                <w:highlight w:val="none"/>
                <w:lang w:val="en-US"/>
              </w:rPr>
            </w:pP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依据《建设项目环境影响报告表编制技术指南</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污染影响类</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b w:val="0"/>
                <w:bCs w:val="0"/>
                <w:color w:val="000000" w:themeColor="text1"/>
                <w:kern w:val="0"/>
                <w:sz w:val="24"/>
                <w:szCs w:val="24"/>
                <w:highlight w:val="none"/>
                <w:lang w:val="en-US" w:eastAsia="zh-CN"/>
                <w14:textFill>
                  <w14:solidFill>
                    <w14:schemeClr w14:val="tx1"/>
                  </w14:solidFill>
                </w14:textFill>
              </w:rPr>
              <w:t>（试行）》</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原则上不开展环境质量现状调查。建设项目存在土壤、地下水环境污染途径的应结合污染源、保护目标分布情况开展现状调查以留作背景值。项目厂界外500米范围内无地下水集中式饮用水水源和热水、矿泉水、温泉等特殊地下水资源。医废间要求采取</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六防</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14:textFill>
                  <w14:solidFill>
                    <w14:schemeClr w14:val="tx1"/>
                  </w14:solidFill>
                </w14:textFill>
              </w:rPr>
              <w:t>措施。故无需开展地下水、土壤调查。</w:t>
            </w:r>
          </w:p>
        </w:tc>
      </w:tr>
      <w:tr w14:paraId="0B783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426" w:type="dxa"/>
            <w:noWrap w:val="0"/>
            <w:vAlign w:val="center"/>
          </w:tcPr>
          <w:p w14:paraId="5F91E5B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48E924B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保护</w:t>
            </w:r>
          </w:p>
          <w:p w14:paraId="35CDF1D3">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目标</w:t>
            </w:r>
          </w:p>
        </w:tc>
        <w:tc>
          <w:tcPr>
            <w:tcW w:w="8600" w:type="dxa"/>
            <w:noWrap w:val="0"/>
            <w:vAlign w:val="center"/>
          </w:tcPr>
          <w:p w14:paraId="74BE705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 环境保护目标</w:t>
            </w:r>
          </w:p>
          <w:p w14:paraId="4960A2D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3.2.1 周边环境关系</w:t>
            </w:r>
          </w:p>
          <w:p w14:paraId="41DAB6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rPr>
              <w:t>项目位于</w:t>
            </w:r>
            <w:r>
              <w:rPr>
                <w:rFonts w:hint="eastAsia" w:ascii="Times New Roman" w:hAnsi="Times New Roman" w:eastAsia="宋体" w:cs="Times New Roman"/>
                <w:color w:val="auto"/>
                <w:sz w:val="24"/>
                <w:highlight w:val="none"/>
                <w:lang w:val="en-US" w:eastAsia="zh-CN"/>
              </w:rPr>
              <w:t>重庆市九龙坡区二郎街道火炬大道100号附24号及附23-2号商铺1F</w:t>
            </w:r>
            <w:r>
              <w:rPr>
                <w:rFonts w:hint="default" w:ascii="Times New Roman" w:hAnsi="Times New Roman" w:cs="Times New Roman"/>
                <w:b w:val="0"/>
                <w:bCs w:val="0"/>
                <w:color w:val="auto"/>
                <w:kern w:val="0"/>
                <w:sz w:val="24"/>
                <w:szCs w:val="24"/>
                <w:highlight w:val="none"/>
              </w:rPr>
              <w:t>。项目外环境关系情况见表3.2-1。</w:t>
            </w:r>
          </w:p>
          <w:p w14:paraId="7E7AD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vertAlign w:val="baseline"/>
                <w:lang w:val="en-US" w:eastAsia="zh-CN"/>
              </w:rPr>
            </w:pPr>
            <w:r>
              <w:rPr>
                <w:rFonts w:hint="default" w:ascii="Times New Roman" w:hAnsi="Times New Roman" w:cs="Times New Roman"/>
                <w:b/>
                <w:bCs/>
                <w:color w:val="auto"/>
                <w:kern w:val="0"/>
                <w:sz w:val="24"/>
                <w:szCs w:val="24"/>
                <w:highlight w:val="none"/>
                <w:lang w:val="en-US" w:eastAsia="zh-CN"/>
              </w:rPr>
              <w:t>表3.2-1项目外环境关系一览表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506"/>
              <w:gridCol w:w="1622"/>
              <w:gridCol w:w="1699"/>
              <w:gridCol w:w="1672"/>
            </w:tblGrid>
            <w:tr w14:paraId="74698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tcBorders>
                    <w:tl2br w:val="nil"/>
                    <w:tr2bl w:val="nil"/>
                  </w:tcBorders>
                  <w:vAlign w:val="center"/>
                </w:tcPr>
                <w:p w14:paraId="11657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序号</w:t>
                  </w:r>
                </w:p>
              </w:tc>
              <w:tc>
                <w:tcPr>
                  <w:tcW w:w="1500" w:type="pct"/>
                  <w:tcBorders>
                    <w:tl2br w:val="nil"/>
                    <w:tr2bl w:val="nil"/>
                  </w:tcBorders>
                  <w:vAlign w:val="center"/>
                </w:tcPr>
                <w:p w14:paraId="4E830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default" w:cs="Times New Roman"/>
                      <w:b w:val="0"/>
                      <w:bCs w:val="0"/>
                      <w:color w:val="auto"/>
                      <w:kern w:val="0"/>
                      <w:sz w:val="21"/>
                      <w:szCs w:val="21"/>
                      <w:highlight w:val="none"/>
                      <w:vertAlign w:val="baseline"/>
                      <w:lang w:val="en-US" w:eastAsia="zh-CN"/>
                    </w:rPr>
                    <w:t>名称</w:t>
                  </w:r>
                </w:p>
              </w:tc>
              <w:tc>
                <w:tcPr>
                  <w:tcW w:w="971" w:type="pct"/>
                  <w:tcBorders>
                    <w:tl2br w:val="nil"/>
                    <w:tr2bl w:val="nil"/>
                  </w:tcBorders>
                  <w:vAlign w:val="center"/>
                </w:tcPr>
                <w:p w14:paraId="66A66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方位</w:t>
                  </w:r>
                </w:p>
              </w:tc>
              <w:tc>
                <w:tcPr>
                  <w:tcW w:w="1017" w:type="pct"/>
                  <w:tcBorders>
                    <w:tl2br w:val="nil"/>
                    <w:tr2bl w:val="nil"/>
                  </w:tcBorders>
                  <w:vAlign w:val="center"/>
                </w:tcPr>
                <w:p w14:paraId="0A62C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最近距离</w:t>
                  </w:r>
                </w:p>
              </w:tc>
              <w:tc>
                <w:tcPr>
                  <w:tcW w:w="1001" w:type="pct"/>
                  <w:tcBorders>
                    <w:tl2br w:val="nil"/>
                    <w:tr2bl w:val="nil"/>
                  </w:tcBorders>
                  <w:vAlign w:val="center"/>
                </w:tcPr>
                <w:p w14:paraId="2E1E9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备注</w:t>
                  </w:r>
                </w:p>
              </w:tc>
            </w:tr>
            <w:tr w14:paraId="68174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9026B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500" w:type="pct"/>
                  <w:tcBorders>
                    <w:tl2br w:val="nil"/>
                    <w:tr2bl w:val="nil"/>
                  </w:tcBorders>
                  <w:vAlign w:val="center"/>
                </w:tcPr>
                <w:p w14:paraId="3DC6A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弘悦101居民楼</w:t>
                  </w:r>
                </w:p>
              </w:tc>
              <w:tc>
                <w:tcPr>
                  <w:tcW w:w="971" w:type="pct"/>
                  <w:tcBorders>
                    <w:tl2br w:val="nil"/>
                    <w:tr2bl w:val="nil"/>
                  </w:tcBorders>
                  <w:vAlign w:val="center"/>
                </w:tcPr>
                <w:p w14:paraId="0B6438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东侧</w:t>
                  </w:r>
                </w:p>
              </w:tc>
              <w:tc>
                <w:tcPr>
                  <w:tcW w:w="1017" w:type="pct"/>
                  <w:tcBorders>
                    <w:tl2br w:val="nil"/>
                    <w:tr2bl w:val="nil"/>
                  </w:tcBorders>
                  <w:vAlign w:val="center"/>
                </w:tcPr>
                <w:p w14:paraId="1E05F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85m</w:t>
                  </w:r>
                </w:p>
              </w:tc>
              <w:tc>
                <w:tcPr>
                  <w:tcW w:w="1001" w:type="pct"/>
                  <w:tcBorders>
                    <w:tl2br w:val="nil"/>
                    <w:tr2bl w:val="nil"/>
                  </w:tcBorders>
                  <w:vAlign w:val="center"/>
                </w:tcPr>
                <w:p w14:paraId="4A49B7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居住区</w:t>
                  </w:r>
                </w:p>
              </w:tc>
            </w:tr>
            <w:tr w14:paraId="727F1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2087A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500" w:type="pct"/>
                  <w:tcBorders>
                    <w:tl2br w:val="nil"/>
                    <w:tr2bl w:val="nil"/>
                  </w:tcBorders>
                  <w:vAlign w:val="center"/>
                </w:tcPr>
                <w:p w14:paraId="7B115E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弘悦101居民楼</w:t>
                  </w:r>
                </w:p>
              </w:tc>
              <w:tc>
                <w:tcPr>
                  <w:tcW w:w="971" w:type="pct"/>
                  <w:tcBorders>
                    <w:tl2br w:val="nil"/>
                    <w:tr2bl w:val="nil"/>
                  </w:tcBorders>
                  <w:vAlign w:val="center"/>
                </w:tcPr>
                <w:p w14:paraId="54AF48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南侧</w:t>
                  </w:r>
                </w:p>
              </w:tc>
              <w:tc>
                <w:tcPr>
                  <w:tcW w:w="1017" w:type="pct"/>
                  <w:tcBorders>
                    <w:tl2br w:val="nil"/>
                    <w:tr2bl w:val="nil"/>
                  </w:tcBorders>
                  <w:vAlign w:val="center"/>
                </w:tcPr>
                <w:p w14:paraId="38504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25m</w:t>
                  </w:r>
                </w:p>
              </w:tc>
              <w:tc>
                <w:tcPr>
                  <w:tcW w:w="1001" w:type="pct"/>
                  <w:tcBorders>
                    <w:tl2br w:val="nil"/>
                    <w:tr2bl w:val="nil"/>
                  </w:tcBorders>
                  <w:vAlign w:val="center"/>
                </w:tcPr>
                <w:p w14:paraId="66A0C3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居住区</w:t>
                  </w:r>
                </w:p>
              </w:tc>
            </w:tr>
            <w:tr w14:paraId="241E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58DB3C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1500" w:type="pct"/>
                  <w:tcBorders>
                    <w:tl2br w:val="nil"/>
                    <w:tr2bl w:val="nil"/>
                  </w:tcBorders>
                  <w:vAlign w:val="center"/>
                </w:tcPr>
                <w:p w14:paraId="1309D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971" w:type="pct"/>
                  <w:tcBorders>
                    <w:tl2br w:val="nil"/>
                    <w:tr2bl w:val="nil"/>
                  </w:tcBorders>
                  <w:vAlign w:val="center"/>
                </w:tcPr>
                <w:p w14:paraId="19B87C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西侧</w:t>
                  </w:r>
                </w:p>
              </w:tc>
              <w:tc>
                <w:tcPr>
                  <w:tcW w:w="1017" w:type="pct"/>
                  <w:tcBorders>
                    <w:tl2br w:val="nil"/>
                    <w:tr2bl w:val="nil"/>
                  </w:tcBorders>
                  <w:vAlign w:val="center"/>
                </w:tcPr>
                <w:p w14:paraId="0142A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20m</w:t>
                  </w:r>
                </w:p>
              </w:tc>
              <w:tc>
                <w:tcPr>
                  <w:tcW w:w="1001" w:type="pct"/>
                  <w:tcBorders>
                    <w:tl2br w:val="nil"/>
                    <w:tr2bl w:val="nil"/>
                  </w:tcBorders>
                  <w:vAlign w:val="center"/>
                </w:tcPr>
                <w:p w14:paraId="49B2B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w:t>
                  </w:r>
                </w:p>
              </w:tc>
            </w:tr>
            <w:tr w14:paraId="78E2A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 w:type="pct"/>
                  <w:tcBorders>
                    <w:tl2br w:val="nil"/>
                    <w:tr2bl w:val="nil"/>
                  </w:tcBorders>
                  <w:vAlign w:val="center"/>
                </w:tcPr>
                <w:p w14:paraId="721764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w:t>
                  </w:r>
                </w:p>
              </w:tc>
              <w:tc>
                <w:tcPr>
                  <w:tcW w:w="1500" w:type="pct"/>
                  <w:tcBorders>
                    <w:tl2br w:val="nil"/>
                    <w:tr2bl w:val="nil"/>
                  </w:tcBorders>
                  <w:vAlign w:val="center"/>
                </w:tcPr>
                <w:p w14:paraId="33864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火炬大道</w:t>
                  </w:r>
                </w:p>
              </w:tc>
              <w:tc>
                <w:tcPr>
                  <w:tcW w:w="971" w:type="pct"/>
                  <w:tcBorders>
                    <w:tl2br w:val="nil"/>
                    <w:tr2bl w:val="nil"/>
                  </w:tcBorders>
                  <w:vAlign w:val="center"/>
                </w:tcPr>
                <w:p w14:paraId="7AAA4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北侧</w:t>
                  </w:r>
                </w:p>
              </w:tc>
              <w:tc>
                <w:tcPr>
                  <w:tcW w:w="1017" w:type="pct"/>
                  <w:tcBorders>
                    <w:tl2br w:val="nil"/>
                    <w:tr2bl w:val="nil"/>
                  </w:tcBorders>
                  <w:vAlign w:val="center"/>
                </w:tcPr>
                <w:p w14:paraId="27F31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25m</w:t>
                  </w:r>
                </w:p>
              </w:tc>
              <w:tc>
                <w:tcPr>
                  <w:tcW w:w="1001" w:type="pct"/>
                  <w:tcBorders>
                    <w:tl2br w:val="nil"/>
                    <w:tr2bl w:val="nil"/>
                  </w:tcBorders>
                  <w:vAlign w:val="center"/>
                </w:tcPr>
                <w:p w14:paraId="08BB8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道路</w:t>
                  </w:r>
                </w:p>
              </w:tc>
            </w:tr>
          </w:tbl>
          <w:p w14:paraId="55804E6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3.2.</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highlight w:val="none"/>
                <w14:textFill>
                  <w14:solidFill>
                    <w14:schemeClr w14:val="tx1"/>
                  </w14:solidFill>
                </w14:textFill>
              </w:rPr>
              <w:t xml:space="preserve"> </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环境保护目标</w:t>
            </w:r>
          </w:p>
          <w:p w14:paraId="7ED42F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大气环境保护目标</w:t>
            </w:r>
          </w:p>
          <w:p w14:paraId="094876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根据现场调查，项目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场界</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外500m范围内，无自然保护区、风景名胜区等大气保护目标。主要环境保护目标为居住区、学校、医院等。项目大气环境保护目标一</w:t>
            </w:r>
            <w:r>
              <w:rPr>
                <w:rFonts w:hint="default" w:ascii="Times New Roman" w:hAnsi="Times New Roman" w:eastAsia="宋体" w:cs="Times New Roman"/>
                <w:b w:val="0"/>
                <w:bCs w:val="0"/>
                <w:color w:val="auto"/>
                <w:kern w:val="0"/>
                <w:sz w:val="24"/>
                <w:szCs w:val="24"/>
                <w:highlight w:val="none"/>
                <w:lang w:val="en-US" w:eastAsia="zh-CN"/>
              </w:rPr>
              <w:t>览表详见表3.2-2。</w:t>
            </w:r>
          </w:p>
          <w:p w14:paraId="47201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vertAlign w:val="baseline"/>
                <w:lang w:val="en-US" w:eastAsia="zh-CN"/>
              </w:rPr>
            </w:pPr>
            <w:r>
              <w:rPr>
                <w:rFonts w:hint="default" w:ascii="Times New Roman" w:hAnsi="Times New Roman" w:eastAsia="宋体" w:cs="Times New Roman"/>
                <w:b/>
                <w:bCs/>
                <w:color w:val="auto"/>
                <w:kern w:val="0"/>
                <w:sz w:val="24"/>
                <w:szCs w:val="24"/>
                <w:highlight w:val="none"/>
                <w:lang w:val="en-US" w:eastAsia="zh-CN"/>
              </w:rPr>
              <w:t>表3.2-2 项目大气环境保护目标一览表</w:t>
            </w:r>
          </w:p>
          <w:tbl>
            <w:tblPr>
              <w:tblStyle w:val="21"/>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937"/>
              <w:gridCol w:w="627"/>
              <w:gridCol w:w="628"/>
              <w:gridCol w:w="844"/>
              <w:gridCol w:w="914"/>
              <w:gridCol w:w="899"/>
              <w:gridCol w:w="1932"/>
            </w:tblGrid>
            <w:tr w14:paraId="7BEF6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vAlign w:val="center"/>
                </w:tcPr>
                <w:p w14:paraId="76D83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序号</w:t>
                  </w:r>
                </w:p>
              </w:tc>
              <w:tc>
                <w:tcPr>
                  <w:tcW w:w="1159" w:type="pct"/>
                  <w:vMerge w:val="restart"/>
                  <w:tcBorders>
                    <w:tl2br w:val="nil"/>
                    <w:tr2bl w:val="nil"/>
                  </w:tcBorders>
                  <w:vAlign w:val="center"/>
                </w:tcPr>
                <w:p w14:paraId="72970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名称</w:t>
                  </w:r>
                </w:p>
              </w:tc>
              <w:tc>
                <w:tcPr>
                  <w:tcW w:w="751" w:type="pct"/>
                  <w:gridSpan w:val="2"/>
                  <w:tcBorders>
                    <w:tl2br w:val="nil"/>
                    <w:tr2bl w:val="nil"/>
                  </w:tcBorders>
                  <w:vAlign w:val="center"/>
                </w:tcPr>
                <w:p w14:paraId="4A663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坐标/m</w:t>
                  </w:r>
                </w:p>
              </w:tc>
              <w:tc>
                <w:tcPr>
                  <w:tcW w:w="505" w:type="pct"/>
                  <w:vMerge w:val="restart"/>
                  <w:tcBorders>
                    <w:tl2br w:val="nil"/>
                    <w:tr2bl w:val="nil"/>
                  </w:tcBorders>
                  <w:vAlign w:val="center"/>
                </w:tcPr>
                <w:p w14:paraId="22CB4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环境功能区</w:t>
                  </w:r>
                </w:p>
              </w:tc>
              <w:tc>
                <w:tcPr>
                  <w:tcW w:w="547" w:type="pct"/>
                  <w:vMerge w:val="restart"/>
                  <w:tcBorders>
                    <w:tl2br w:val="nil"/>
                    <w:tr2bl w:val="nil"/>
                  </w:tcBorders>
                  <w:vAlign w:val="center"/>
                </w:tcPr>
                <w:p w14:paraId="00310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相对厂址方位</w:t>
                  </w:r>
                </w:p>
              </w:tc>
              <w:tc>
                <w:tcPr>
                  <w:tcW w:w="538" w:type="pct"/>
                  <w:vMerge w:val="restart"/>
                  <w:tcBorders>
                    <w:tl2br w:val="nil"/>
                    <w:tr2bl w:val="nil"/>
                  </w:tcBorders>
                  <w:vAlign w:val="center"/>
                </w:tcPr>
                <w:p w14:paraId="0D7B4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相对厂界距离</w:t>
                  </w:r>
                </w:p>
              </w:tc>
              <w:tc>
                <w:tcPr>
                  <w:tcW w:w="1156" w:type="pct"/>
                  <w:vMerge w:val="restart"/>
                  <w:tcBorders>
                    <w:tl2br w:val="nil"/>
                    <w:tr2bl w:val="nil"/>
                  </w:tcBorders>
                  <w:vAlign w:val="center"/>
                </w:tcPr>
                <w:p w14:paraId="2D82E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保护内容</w:t>
                  </w:r>
                </w:p>
              </w:tc>
            </w:tr>
            <w:tr w14:paraId="50708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vAlign w:val="center"/>
                </w:tcPr>
                <w:p w14:paraId="0442B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59" w:type="pct"/>
                  <w:vMerge w:val="continue"/>
                  <w:tcBorders>
                    <w:tl2br w:val="nil"/>
                    <w:tr2bl w:val="nil"/>
                  </w:tcBorders>
                  <w:vAlign w:val="center"/>
                </w:tcPr>
                <w:p w14:paraId="31A77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p>
              </w:tc>
              <w:tc>
                <w:tcPr>
                  <w:tcW w:w="375" w:type="pct"/>
                  <w:tcBorders>
                    <w:tl2br w:val="nil"/>
                    <w:tr2bl w:val="nil"/>
                  </w:tcBorders>
                  <w:vAlign w:val="center"/>
                </w:tcPr>
                <w:p w14:paraId="60C13F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X</w:t>
                  </w:r>
                </w:p>
              </w:tc>
              <w:tc>
                <w:tcPr>
                  <w:tcW w:w="376" w:type="pct"/>
                  <w:tcBorders>
                    <w:tl2br w:val="nil"/>
                    <w:tr2bl w:val="nil"/>
                  </w:tcBorders>
                  <w:vAlign w:val="center"/>
                </w:tcPr>
                <w:p w14:paraId="2A974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Y</w:t>
                  </w:r>
                </w:p>
              </w:tc>
              <w:tc>
                <w:tcPr>
                  <w:tcW w:w="505" w:type="pct"/>
                  <w:vMerge w:val="continue"/>
                  <w:tcBorders>
                    <w:tl2br w:val="nil"/>
                    <w:tr2bl w:val="nil"/>
                  </w:tcBorders>
                  <w:vAlign w:val="center"/>
                </w:tcPr>
                <w:p w14:paraId="0CDF5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vMerge w:val="continue"/>
                  <w:tcBorders>
                    <w:tl2br w:val="nil"/>
                    <w:tr2bl w:val="nil"/>
                  </w:tcBorders>
                  <w:vAlign w:val="center"/>
                </w:tcPr>
                <w:p w14:paraId="28C94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38" w:type="pct"/>
                  <w:vMerge w:val="continue"/>
                  <w:tcBorders>
                    <w:tl2br w:val="nil"/>
                    <w:tr2bl w:val="nil"/>
                  </w:tcBorders>
                  <w:vAlign w:val="center"/>
                </w:tcPr>
                <w:p w14:paraId="08F1C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56" w:type="pct"/>
                  <w:vMerge w:val="continue"/>
                  <w:tcBorders>
                    <w:tl2br w:val="nil"/>
                    <w:tr2bl w:val="nil"/>
                  </w:tcBorders>
                  <w:vAlign w:val="center"/>
                </w:tcPr>
                <w:p w14:paraId="1830C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51D8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341" w:type="pct"/>
                  <w:tcBorders>
                    <w:tl2br w:val="nil"/>
                    <w:tr2bl w:val="nil"/>
                  </w:tcBorders>
                  <w:vAlign w:val="center"/>
                </w:tcPr>
                <w:p w14:paraId="7041E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159" w:type="pct"/>
                  <w:tcBorders>
                    <w:tl2br w:val="nil"/>
                    <w:tr2bl w:val="nil"/>
                  </w:tcBorders>
                  <w:vAlign w:val="center"/>
                </w:tcPr>
                <w:p w14:paraId="0AC21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375" w:type="pct"/>
                  <w:tcBorders>
                    <w:tl2br w:val="nil"/>
                    <w:tr2bl w:val="nil"/>
                  </w:tcBorders>
                  <w:vAlign w:val="center"/>
                </w:tcPr>
                <w:p w14:paraId="1A8920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rPr>
                    <w:t>-19</w:t>
                  </w:r>
                </w:p>
              </w:tc>
              <w:tc>
                <w:tcPr>
                  <w:tcW w:w="376" w:type="pct"/>
                  <w:tcBorders>
                    <w:tl2br w:val="nil"/>
                    <w:tr2bl w:val="nil"/>
                  </w:tcBorders>
                  <w:vAlign w:val="center"/>
                </w:tcPr>
                <w:p w14:paraId="7ABAD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rPr>
                    <w:t>-179</w:t>
                  </w:r>
                </w:p>
              </w:tc>
              <w:tc>
                <w:tcPr>
                  <w:tcW w:w="505" w:type="pct"/>
                  <w:vMerge w:val="restart"/>
                  <w:tcBorders>
                    <w:tl2br w:val="nil"/>
                    <w:tr2bl w:val="nil"/>
                  </w:tcBorders>
                  <w:vAlign w:val="center"/>
                </w:tcPr>
                <w:p w14:paraId="1ECB1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大气环境功能二类区</w:t>
                  </w:r>
                </w:p>
              </w:tc>
              <w:tc>
                <w:tcPr>
                  <w:tcW w:w="547" w:type="pct"/>
                  <w:tcBorders>
                    <w:tl2br w:val="nil"/>
                    <w:tr2bl w:val="nil"/>
                  </w:tcBorders>
                  <w:vAlign w:val="center"/>
                </w:tcPr>
                <w:p w14:paraId="5A3CD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西、南</w:t>
                  </w:r>
                </w:p>
              </w:tc>
              <w:tc>
                <w:tcPr>
                  <w:tcW w:w="538" w:type="pct"/>
                  <w:tcBorders>
                    <w:tl2br w:val="nil"/>
                    <w:tr2bl w:val="nil"/>
                  </w:tcBorders>
                  <w:vAlign w:val="center"/>
                </w:tcPr>
                <w:p w14:paraId="174B7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156" w:type="pct"/>
                  <w:tcBorders>
                    <w:tl2br w:val="nil"/>
                    <w:tr2bl w:val="nil"/>
                  </w:tcBorders>
                  <w:vAlign w:val="center"/>
                </w:tcPr>
                <w:p w14:paraId="56984A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学校，约3000人</w:t>
                  </w:r>
                </w:p>
              </w:tc>
            </w:tr>
            <w:tr w14:paraId="31433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AFE71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159" w:type="pct"/>
                  <w:tcBorders>
                    <w:tl2br w:val="nil"/>
                    <w:tr2bl w:val="nil"/>
                  </w:tcBorders>
                  <w:vAlign w:val="center"/>
                </w:tcPr>
                <w:p w14:paraId="4437B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弘悦101住宅区</w:t>
                  </w:r>
                </w:p>
              </w:tc>
              <w:tc>
                <w:tcPr>
                  <w:tcW w:w="375" w:type="pct"/>
                  <w:tcBorders>
                    <w:tl2br w:val="nil"/>
                    <w:tr2bl w:val="nil"/>
                  </w:tcBorders>
                  <w:vAlign w:val="center"/>
                </w:tcPr>
                <w:p w14:paraId="633706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69</w:t>
                  </w:r>
                </w:p>
              </w:tc>
              <w:tc>
                <w:tcPr>
                  <w:tcW w:w="376" w:type="pct"/>
                  <w:tcBorders>
                    <w:tl2br w:val="nil"/>
                    <w:tr2bl w:val="nil"/>
                  </w:tcBorders>
                  <w:vAlign w:val="center"/>
                </w:tcPr>
                <w:p w14:paraId="1642FA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-45</w:t>
                  </w:r>
                </w:p>
              </w:tc>
              <w:tc>
                <w:tcPr>
                  <w:tcW w:w="505" w:type="pct"/>
                  <w:vMerge w:val="continue"/>
                  <w:tcBorders>
                    <w:tl2br w:val="nil"/>
                    <w:tr2bl w:val="nil"/>
                  </w:tcBorders>
                  <w:vAlign w:val="center"/>
                </w:tcPr>
                <w:p w14:paraId="14B9B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59FE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南、东</w:t>
                  </w:r>
                </w:p>
              </w:tc>
              <w:tc>
                <w:tcPr>
                  <w:tcW w:w="538" w:type="pct"/>
                  <w:tcBorders>
                    <w:tl2br w:val="nil"/>
                    <w:tr2bl w:val="nil"/>
                  </w:tcBorders>
                  <w:vAlign w:val="center"/>
                </w:tcPr>
                <w:p w14:paraId="5BC3B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w:t>
                  </w:r>
                </w:p>
              </w:tc>
              <w:tc>
                <w:tcPr>
                  <w:tcW w:w="1156" w:type="pct"/>
                  <w:tcBorders>
                    <w:tl2br w:val="nil"/>
                    <w:tr2bl w:val="nil"/>
                  </w:tcBorders>
                  <w:vAlign w:val="center"/>
                </w:tcPr>
                <w:p w14:paraId="2DC5A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住宅区，约557户</w:t>
                  </w:r>
                </w:p>
              </w:tc>
            </w:tr>
            <w:tr w14:paraId="43FCF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7611B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w:t>
                  </w:r>
                </w:p>
              </w:tc>
              <w:tc>
                <w:tcPr>
                  <w:tcW w:w="1159" w:type="pct"/>
                  <w:tcBorders>
                    <w:tl2br w:val="nil"/>
                    <w:tr2bl w:val="nil"/>
                  </w:tcBorders>
                  <w:vAlign w:val="center"/>
                </w:tcPr>
                <w:p w14:paraId="009D1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朵力尚美国际</w:t>
                  </w:r>
                </w:p>
              </w:tc>
              <w:tc>
                <w:tcPr>
                  <w:tcW w:w="375" w:type="pct"/>
                  <w:tcBorders>
                    <w:tl2br w:val="nil"/>
                    <w:tr2bl w:val="nil"/>
                  </w:tcBorders>
                  <w:vAlign w:val="center"/>
                </w:tcPr>
                <w:p w14:paraId="3FEE5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-251</w:t>
                  </w:r>
                </w:p>
              </w:tc>
              <w:tc>
                <w:tcPr>
                  <w:tcW w:w="376" w:type="pct"/>
                  <w:tcBorders>
                    <w:tl2br w:val="nil"/>
                    <w:tr2bl w:val="nil"/>
                  </w:tcBorders>
                  <w:vAlign w:val="center"/>
                </w:tcPr>
                <w:p w14:paraId="226ED6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-144</w:t>
                  </w:r>
                </w:p>
              </w:tc>
              <w:tc>
                <w:tcPr>
                  <w:tcW w:w="505" w:type="pct"/>
                  <w:vMerge w:val="continue"/>
                  <w:tcBorders>
                    <w:tl2br w:val="nil"/>
                    <w:tr2bl w:val="nil"/>
                  </w:tcBorders>
                  <w:vAlign w:val="center"/>
                </w:tcPr>
                <w:p w14:paraId="722765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43CA9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5A7D0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70</w:t>
                  </w:r>
                </w:p>
              </w:tc>
              <w:tc>
                <w:tcPr>
                  <w:tcW w:w="1156" w:type="pct"/>
                  <w:tcBorders>
                    <w:tl2br w:val="nil"/>
                    <w:tr2bl w:val="nil"/>
                  </w:tcBorders>
                  <w:vAlign w:val="center"/>
                </w:tcPr>
                <w:p w14:paraId="26F372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住宅区，约3101户</w:t>
                  </w:r>
                </w:p>
              </w:tc>
            </w:tr>
            <w:tr w14:paraId="1A270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2435D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w:t>
                  </w:r>
                </w:p>
              </w:tc>
              <w:tc>
                <w:tcPr>
                  <w:tcW w:w="1159" w:type="pct"/>
                  <w:tcBorders>
                    <w:tl2br w:val="nil"/>
                    <w:tr2bl w:val="nil"/>
                  </w:tcBorders>
                  <w:vAlign w:val="center"/>
                </w:tcPr>
                <w:p w14:paraId="620EC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渝高城市日记</w:t>
                  </w:r>
                </w:p>
              </w:tc>
              <w:tc>
                <w:tcPr>
                  <w:tcW w:w="375" w:type="pct"/>
                  <w:tcBorders>
                    <w:tl2br w:val="nil"/>
                    <w:tr2bl w:val="nil"/>
                  </w:tcBorders>
                  <w:vAlign w:val="center"/>
                </w:tcPr>
                <w:p w14:paraId="0C469B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15</w:t>
                  </w:r>
                </w:p>
              </w:tc>
              <w:tc>
                <w:tcPr>
                  <w:tcW w:w="376" w:type="pct"/>
                  <w:tcBorders>
                    <w:tl2br w:val="nil"/>
                    <w:tr2bl w:val="nil"/>
                  </w:tcBorders>
                  <w:vAlign w:val="center"/>
                </w:tcPr>
                <w:p w14:paraId="5186BB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111</w:t>
                  </w:r>
                </w:p>
              </w:tc>
              <w:tc>
                <w:tcPr>
                  <w:tcW w:w="505" w:type="pct"/>
                  <w:vMerge w:val="continue"/>
                  <w:tcBorders>
                    <w:tl2br w:val="nil"/>
                    <w:tr2bl w:val="nil"/>
                  </w:tcBorders>
                  <w:vAlign w:val="center"/>
                </w:tcPr>
                <w:p w14:paraId="47F147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DB5A9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w:t>
                  </w:r>
                </w:p>
              </w:tc>
              <w:tc>
                <w:tcPr>
                  <w:tcW w:w="538" w:type="pct"/>
                  <w:tcBorders>
                    <w:tl2br w:val="nil"/>
                    <w:tr2bl w:val="nil"/>
                  </w:tcBorders>
                  <w:vAlign w:val="center"/>
                </w:tcPr>
                <w:p w14:paraId="4134F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65</w:t>
                  </w:r>
                </w:p>
              </w:tc>
              <w:tc>
                <w:tcPr>
                  <w:tcW w:w="1156" w:type="pct"/>
                  <w:tcBorders>
                    <w:tl2br w:val="nil"/>
                    <w:tr2bl w:val="nil"/>
                  </w:tcBorders>
                  <w:vAlign w:val="center"/>
                </w:tcPr>
                <w:p w14:paraId="10193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住宅区，约494户</w:t>
                  </w:r>
                </w:p>
              </w:tc>
            </w:tr>
            <w:tr w14:paraId="77A4F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6765D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w:t>
                  </w:r>
                </w:p>
              </w:tc>
              <w:tc>
                <w:tcPr>
                  <w:tcW w:w="1159" w:type="pct"/>
                  <w:tcBorders>
                    <w:tl2br w:val="nil"/>
                    <w:tr2bl w:val="nil"/>
                  </w:tcBorders>
                  <w:vAlign w:val="center"/>
                </w:tcPr>
                <w:p w14:paraId="50764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千叶中央街区</w:t>
                  </w:r>
                </w:p>
              </w:tc>
              <w:tc>
                <w:tcPr>
                  <w:tcW w:w="375" w:type="pct"/>
                  <w:tcBorders>
                    <w:tl2br w:val="nil"/>
                    <w:tr2bl w:val="nil"/>
                  </w:tcBorders>
                  <w:vAlign w:val="center"/>
                </w:tcPr>
                <w:p w14:paraId="38E31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-183</w:t>
                  </w:r>
                </w:p>
              </w:tc>
              <w:tc>
                <w:tcPr>
                  <w:tcW w:w="376" w:type="pct"/>
                  <w:tcBorders>
                    <w:tl2br w:val="nil"/>
                    <w:tr2bl w:val="nil"/>
                  </w:tcBorders>
                  <w:vAlign w:val="center"/>
                </w:tcPr>
                <w:p w14:paraId="627FE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166</w:t>
                  </w:r>
                </w:p>
              </w:tc>
              <w:tc>
                <w:tcPr>
                  <w:tcW w:w="505" w:type="pct"/>
                  <w:vMerge w:val="continue"/>
                  <w:tcBorders>
                    <w:tl2br w:val="nil"/>
                    <w:tr2bl w:val="nil"/>
                  </w:tcBorders>
                  <w:vAlign w:val="center"/>
                </w:tcPr>
                <w:p w14:paraId="595B5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0A581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59E0C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110</w:t>
                  </w:r>
                </w:p>
              </w:tc>
              <w:tc>
                <w:tcPr>
                  <w:tcW w:w="1156" w:type="pct"/>
                  <w:tcBorders>
                    <w:tl2br w:val="nil"/>
                    <w:tr2bl w:val="nil"/>
                  </w:tcBorders>
                  <w:vAlign w:val="center"/>
                </w:tcPr>
                <w:p w14:paraId="1C08E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住宅区，约1006户</w:t>
                  </w:r>
                </w:p>
              </w:tc>
            </w:tr>
            <w:tr w14:paraId="379D8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76CF2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w:t>
                  </w:r>
                </w:p>
              </w:tc>
              <w:tc>
                <w:tcPr>
                  <w:tcW w:w="1159" w:type="pct"/>
                  <w:tcBorders>
                    <w:tl2br w:val="nil"/>
                    <w:tr2bl w:val="nil"/>
                  </w:tcBorders>
                  <w:vAlign w:val="center"/>
                </w:tcPr>
                <w:p w14:paraId="35CD6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渝高香洲</w:t>
                  </w:r>
                </w:p>
              </w:tc>
              <w:tc>
                <w:tcPr>
                  <w:tcW w:w="375" w:type="pct"/>
                  <w:tcBorders>
                    <w:tl2br w:val="nil"/>
                    <w:tr2bl w:val="nil"/>
                  </w:tcBorders>
                  <w:vAlign w:val="center"/>
                </w:tcPr>
                <w:p w14:paraId="68941D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154</w:t>
                  </w:r>
                </w:p>
              </w:tc>
              <w:tc>
                <w:tcPr>
                  <w:tcW w:w="376" w:type="pct"/>
                  <w:tcBorders>
                    <w:tl2br w:val="nil"/>
                    <w:tr2bl w:val="nil"/>
                  </w:tcBorders>
                  <w:vAlign w:val="center"/>
                </w:tcPr>
                <w:p w14:paraId="2F5611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315</w:t>
                  </w:r>
                </w:p>
              </w:tc>
              <w:tc>
                <w:tcPr>
                  <w:tcW w:w="505" w:type="pct"/>
                  <w:vMerge w:val="continue"/>
                  <w:tcBorders>
                    <w:tl2br w:val="nil"/>
                    <w:tr2bl w:val="nil"/>
                  </w:tcBorders>
                  <w:vAlign w:val="center"/>
                </w:tcPr>
                <w:p w14:paraId="3B780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E42F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w:t>
                  </w:r>
                </w:p>
              </w:tc>
              <w:tc>
                <w:tcPr>
                  <w:tcW w:w="538" w:type="pct"/>
                  <w:tcBorders>
                    <w:tl2br w:val="nil"/>
                    <w:tr2bl w:val="nil"/>
                  </w:tcBorders>
                  <w:vAlign w:val="center"/>
                </w:tcPr>
                <w:p w14:paraId="79CA65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165</w:t>
                  </w:r>
                </w:p>
              </w:tc>
              <w:tc>
                <w:tcPr>
                  <w:tcW w:w="1156" w:type="pct"/>
                  <w:tcBorders>
                    <w:tl2br w:val="nil"/>
                    <w:tr2bl w:val="nil"/>
                  </w:tcBorders>
                  <w:vAlign w:val="center"/>
                </w:tcPr>
                <w:p w14:paraId="410491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住宅区，约1550户</w:t>
                  </w:r>
                </w:p>
              </w:tc>
            </w:tr>
            <w:tr w14:paraId="7E84D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C39C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w:t>
                  </w:r>
                </w:p>
              </w:tc>
              <w:tc>
                <w:tcPr>
                  <w:tcW w:w="1159" w:type="pct"/>
                  <w:tcBorders>
                    <w:tl2br w:val="nil"/>
                    <w:tr2bl w:val="nil"/>
                  </w:tcBorders>
                  <w:vAlign w:val="center"/>
                </w:tcPr>
                <w:p w14:paraId="16535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中海九龙天颂</w:t>
                  </w:r>
                </w:p>
              </w:tc>
              <w:tc>
                <w:tcPr>
                  <w:tcW w:w="375" w:type="pct"/>
                  <w:tcBorders>
                    <w:tl2br w:val="nil"/>
                    <w:tr2bl w:val="nil"/>
                  </w:tcBorders>
                  <w:vAlign w:val="center"/>
                </w:tcPr>
                <w:p w14:paraId="1141A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197</w:t>
                  </w:r>
                </w:p>
              </w:tc>
              <w:tc>
                <w:tcPr>
                  <w:tcW w:w="376" w:type="pct"/>
                  <w:tcBorders>
                    <w:tl2br w:val="nil"/>
                    <w:tr2bl w:val="nil"/>
                  </w:tcBorders>
                  <w:vAlign w:val="center"/>
                </w:tcPr>
                <w:p w14:paraId="43C73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-88</w:t>
                  </w:r>
                </w:p>
              </w:tc>
              <w:tc>
                <w:tcPr>
                  <w:tcW w:w="505" w:type="pct"/>
                  <w:vMerge w:val="continue"/>
                  <w:tcBorders>
                    <w:tl2br w:val="nil"/>
                    <w:tr2bl w:val="nil"/>
                  </w:tcBorders>
                  <w:vAlign w:val="center"/>
                </w:tcPr>
                <w:p w14:paraId="3260B5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84E0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东、东南</w:t>
                  </w:r>
                </w:p>
              </w:tc>
              <w:tc>
                <w:tcPr>
                  <w:tcW w:w="538" w:type="pct"/>
                  <w:tcBorders>
                    <w:tl2br w:val="nil"/>
                    <w:tr2bl w:val="nil"/>
                  </w:tcBorders>
                  <w:vAlign w:val="center"/>
                </w:tcPr>
                <w:p w14:paraId="0C9D0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120</w:t>
                  </w:r>
                </w:p>
              </w:tc>
              <w:tc>
                <w:tcPr>
                  <w:tcW w:w="1156" w:type="pct"/>
                  <w:tcBorders>
                    <w:tl2br w:val="nil"/>
                    <w:tr2bl w:val="nil"/>
                  </w:tcBorders>
                  <w:vAlign w:val="center"/>
                </w:tcPr>
                <w:p w14:paraId="48A86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住宅区，约456户</w:t>
                  </w:r>
                </w:p>
              </w:tc>
            </w:tr>
            <w:tr w14:paraId="1E0B7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tcBorders>
                    <w:tl2br w:val="nil"/>
                    <w:tr2bl w:val="nil"/>
                  </w:tcBorders>
                  <w:vAlign w:val="center"/>
                </w:tcPr>
                <w:p w14:paraId="6F28F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w:t>
                  </w:r>
                </w:p>
              </w:tc>
              <w:tc>
                <w:tcPr>
                  <w:tcW w:w="1159" w:type="pct"/>
                  <w:tcBorders>
                    <w:tl2br w:val="nil"/>
                    <w:tr2bl w:val="nil"/>
                  </w:tcBorders>
                  <w:vAlign w:val="center"/>
                </w:tcPr>
                <w:p w14:paraId="736CD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杨家坪供电局</w:t>
                  </w:r>
                </w:p>
              </w:tc>
              <w:tc>
                <w:tcPr>
                  <w:tcW w:w="375" w:type="pct"/>
                  <w:tcBorders>
                    <w:tl2br w:val="nil"/>
                    <w:tr2bl w:val="nil"/>
                  </w:tcBorders>
                  <w:vAlign w:val="center"/>
                </w:tcPr>
                <w:p w14:paraId="73876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127</w:t>
                  </w:r>
                </w:p>
              </w:tc>
              <w:tc>
                <w:tcPr>
                  <w:tcW w:w="376" w:type="pct"/>
                  <w:tcBorders>
                    <w:tl2br w:val="nil"/>
                    <w:tr2bl w:val="nil"/>
                  </w:tcBorders>
                  <w:vAlign w:val="center"/>
                </w:tcPr>
                <w:p w14:paraId="3D3FA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-222</w:t>
                  </w:r>
                </w:p>
              </w:tc>
              <w:tc>
                <w:tcPr>
                  <w:tcW w:w="505" w:type="pct"/>
                  <w:vMerge w:val="continue"/>
                  <w:tcBorders>
                    <w:tl2br w:val="nil"/>
                    <w:tr2bl w:val="nil"/>
                  </w:tcBorders>
                  <w:vAlign w:val="center"/>
                </w:tcPr>
                <w:p w14:paraId="625D6D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557915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0BD33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150</w:t>
                  </w:r>
                </w:p>
              </w:tc>
              <w:tc>
                <w:tcPr>
                  <w:tcW w:w="1156" w:type="pct"/>
                  <w:tcBorders>
                    <w:tl2br w:val="nil"/>
                    <w:tr2bl w:val="nil"/>
                  </w:tcBorders>
                  <w:vAlign w:val="center"/>
                </w:tcPr>
                <w:p w14:paraId="727994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行政办公</w:t>
                  </w:r>
                </w:p>
              </w:tc>
            </w:tr>
            <w:tr w14:paraId="00D7C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317EB5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w:t>
                  </w:r>
                </w:p>
              </w:tc>
              <w:tc>
                <w:tcPr>
                  <w:tcW w:w="1159" w:type="pct"/>
                  <w:tcBorders>
                    <w:tl2br w:val="nil"/>
                    <w:tr2bl w:val="nil"/>
                  </w:tcBorders>
                  <w:vAlign w:val="center"/>
                </w:tcPr>
                <w:p w14:paraId="1BB44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千叶公园时代</w:t>
                  </w:r>
                </w:p>
              </w:tc>
              <w:tc>
                <w:tcPr>
                  <w:tcW w:w="375" w:type="pct"/>
                  <w:tcBorders>
                    <w:tl2br w:val="nil"/>
                    <w:tr2bl w:val="nil"/>
                  </w:tcBorders>
                  <w:vAlign w:val="center"/>
                </w:tcPr>
                <w:p w14:paraId="6F9028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-181</w:t>
                  </w:r>
                </w:p>
              </w:tc>
              <w:tc>
                <w:tcPr>
                  <w:tcW w:w="376" w:type="pct"/>
                  <w:tcBorders>
                    <w:tl2br w:val="nil"/>
                    <w:tr2bl w:val="nil"/>
                  </w:tcBorders>
                  <w:vAlign w:val="center"/>
                </w:tcPr>
                <w:p w14:paraId="6AEC7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378</w:t>
                  </w:r>
                </w:p>
              </w:tc>
              <w:tc>
                <w:tcPr>
                  <w:tcW w:w="505" w:type="pct"/>
                  <w:vMerge w:val="continue"/>
                  <w:tcBorders>
                    <w:tl2br w:val="nil"/>
                    <w:tr2bl w:val="nil"/>
                  </w:tcBorders>
                  <w:vAlign w:val="center"/>
                </w:tcPr>
                <w:p w14:paraId="19167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E308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0E92C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290</w:t>
                  </w:r>
                </w:p>
              </w:tc>
              <w:tc>
                <w:tcPr>
                  <w:tcW w:w="1156" w:type="pct"/>
                  <w:tcBorders>
                    <w:tl2br w:val="nil"/>
                    <w:tr2bl w:val="nil"/>
                  </w:tcBorders>
                  <w:vAlign w:val="center"/>
                </w:tcPr>
                <w:p w14:paraId="044AB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住宅区，约648户</w:t>
                  </w:r>
                </w:p>
              </w:tc>
            </w:tr>
            <w:tr w14:paraId="73559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2EB3C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w:t>
                  </w:r>
                </w:p>
              </w:tc>
              <w:tc>
                <w:tcPr>
                  <w:tcW w:w="1159" w:type="pct"/>
                  <w:tcBorders>
                    <w:tl2br w:val="nil"/>
                    <w:tr2bl w:val="nil"/>
                  </w:tcBorders>
                  <w:vAlign w:val="center"/>
                </w:tcPr>
                <w:p w14:paraId="7C4896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大地幼儿园</w:t>
                  </w:r>
                </w:p>
              </w:tc>
              <w:tc>
                <w:tcPr>
                  <w:tcW w:w="375" w:type="pct"/>
                  <w:tcBorders>
                    <w:tl2br w:val="nil"/>
                    <w:tr2bl w:val="nil"/>
                  </w:tcBorders>
                  <w:vAlign w:val="center"/>
                </w:tcPr>
                <w:p w14:paraId="238EA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-355</w:t>
                  </w:r>
                </w:p>
              </w:tc>
              <w:tc>
                <w:tcPr>
                  <w:tcW w:w="376" w:type="pct"/>
                  <w:tcBorders>
                    <w:tl2br w:val="nil"/>
                    <w:tr2bl w:val="nil"/>
                  </w:tcBorders>
                  <w:vAlign w:val="center"/>
                </w:tcPr>
                <w:p w14:paraId="74BBE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-60</w:t>
                  </w:r>
                </w:p>
              </w:tc>
              <w:tc>
                <w:tcPr>
                  <w:tcW w:w="505" w:type="pct"/>
                  <w:vMerge w:val="continue"/>
                  <w:tcBorders>
                    <w:tl2br w:val="nil"/>
                    <w:tr2bl w:val="nil"/>
                  </w:tcBorders>
                  <w:vAlign w:val="center"/>
                </w:tcPr>
                <w:p w14:paraId="328BA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B526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3C2B6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350</w:t>
                  </w:r>
                </w:p>
              </w:tc>
              <w:tc>
                <w:tcPr>
                  <w:tcW w:w="1156" w:type="pct"/>
                  <w:tcBorders>
                    <w:tl2br w:val="nil"/>
                    <w:tr2bl w:val="nil"/>
                  </w:tcBorders>
                  <w:vAlign w:val="center"/>
                </w:tcPr>
                <w:p w14:paraId="67ECF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学校，约300人</w:t>
                  </w:r>
                </w:p>
              </w:tc>
            </w:tr>
            <w:tr w14:paraId="28D5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6F2E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w:t>
                  </w:r>
                </w:p>
              </w:tc>
              <w:tc>
                <w:tcPr>
                  <w:tcW w:w="1159" w:type="pct"/>
                  <w:tcBorders>
                    <w:tl2br w:val="nil"/>
                    <w:tr2bl w:val="nil"/>
                  </w:tcBorders>
                  <w:vAlign w:val="center"/>
                </w:tcPr>
                <w:p w14:paraId="68015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二郎医院</w:t>
                  </w:r>
                </w:p>
              </w:tc>
              <w:tc>
                <w:tcPr>
                  <w:tcW w:w="375" w:type="pct"/>
                  <w:tcBorders>
                    <w:tl2br w:val="nil"/>
                    <w:tr2bl w:val="nil"/>
                  </w:tcBorders>
                  <w:vAlign w:val="center"/>
                </w:tcPr>
                <w:p w14:paraId="54F35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-440</w:t>
                  </w:r>
                </w:p>
              </w:tc>
              <w:tc>
                <w:tcPr>
                  <w:tcW w:w="376" w:type="pct"/>
                  <w:tcBorders>
                    <w:tl2br w:val="nil"/>
                    <w:tr2bl w:val="nil"/>
                  </w:tcBorders>
                  <w:vAlign w:val="center"/>
                </w:tcPr>
                <w:p w14:paraId="5EADC1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28</w:t>
                  </w:r>
                </w:p>
              </w:tc>
              <w:tc>
                <w:tcPr>
                  <w:tcW w:w="505" w:type="pct"/>
                  <w:vMerge w:val="continue"/>
                  <w:tcBorders>
                    <w:tl2br w:val="nil"/>
                    <w:tr2bl w:val="nil"/>
                  </w:tcBorders>
                  <w:vAlign w:val="center"/>
                </w:tcPr>
                <w:p w14:paraId="71379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59666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w:t>
                  </w:r>
                </w:p>
              </w:tc>
              <w:tc>
                <w:tcPr>
                  <w:tcW w:w="538" w:type="pct"/>
                  <w:tcBorders>
                    <w:tl2br w:val="nil"/>
                    <w:tr2bl w:val="nil"/>
                  </w:tcBorders>
                  <w:vAlign w:val="center"/>
                </w:tcPr>
                <w:p w14:paraId="6BA3C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420</w:t>
                  </w:r>
                </w:p>
              </w:tc>
              <w:tc>
                <w:tcPr>
                  <w:tcW w:w="1156" w:type="pct"/>
                  <w:tcBorders>
                    <w:tl2br w:val="nil"/>
                    <w:tr2bl w:val="nil"/>
                  </w:tcBorders>
                  <w:vAlign w:val="center"/>
                </w:tcPr>
                <w:p w14:paraId="6DC31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医院</w:t>
                  </w:r>
                </w:p>
              </w:tc>
            </w:tr>
            <w:tr w14:paraId="10F74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56502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w:t>
                  </w:r>
                </w:p>
              </w:tc>
              <w:tc>
                <w:tcPr>
                  <w:tcW w:w="1159" w:type="pct"/>
                  <w:tcBorders>
                    <w:tl2br w:val="nil"/>
                    <w:tr2bl w:val="nil"/>
                  </w:tcBorders>
                  <w:vAlign w:val="center"/>
                </w:tcPr>
                <w:p w14:paraId="109B0B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云领天街</w:t>
                  </w:r>
                </w:p>
              </w:tc>
              <w:tc>
                <w:tcPr>
                  <w:tcW w:w="375" w:type="pct"/>
                  <w:tcBorders>
                    <w:tl2br w:val="nil"/>
                    <w:tr2bl w:val="nil"/>
                  </w:tcBorders>
                  <w:vAlign w:val="center"/>
                </w:tcPr>
                <w:p w14:paraId="0340A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-370</w:t>
                  </w:r>
                </w:p>
              </w:tc>
              <w:tc>
                <w:tcPr>
                  <w:tcW w:w="376" w:type="pct"/>
                  <w:tcBorders>
                    <w:tl2br w:val="nil"/>
                    <w:tr2bl w:val="nil"/>
                  </w:tcBorders>
                  <w:vAlign w:val="center"/>
                </w:tcPr>
                <w:p w14:paraId="4DE7C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312</w:t>
                  </w:r>
                </w:p>
              </w:tc>
              <w:tc>
                <w:tcPr>
                  <w:tcW w:w="505" w:type="pct"/>
                  <w:vMerge w:val="continue"/>
                  <w:tcBorders>
                    <w:tl2br w:val="nil"/>
                    <w:tr2bl w:val="nil"/>
                  </w:tcBorders>
                  <w:vAlign w:val="center"/>
                </w:tcPr>
                <w:p w14:paraId="696B9F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E08A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西北</w:t>
                  </w:r>
                </w:p>
              </w:tc>
              <w:tc>
                <w:tcPr>
                  <w:tcW w:w="538" w:type="pct"/>
                  <w:tcBorders>
                    <w:tl2br w:val="nil"/>
                    <w:tr2bl w:val="nil"/>
                  </w:tcBorders>
                  <w:vAlign w:val="center"/>
                </w:tcPr>
                <w:p w14:paraId="578E7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305</w:t>
                  </w:r>
                </w:p>
              </w:tc>
              <w:tc>
                <w:tcPr>
                  <w:tcW w:w="1156" w:type="pct"/>
                  <w:tcBorders>
                    <w:tl2br w:val="nil"/>
                    <w:tr2bl w:val="nil"/>
                  </w:tcBorders>
                  <w:vAlign w:val="center"/>
                </w:tcPr>
                <w:p w14:paraId="36609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商业区</w:t>
                  </w:r>
                </w:p>
              </w:tc>
            </w:tr>
            <w:tr w14:paraId="55C63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70640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13</w:t>
                  </w:r>
                </w:p>
              </w:tc>
              <w:tc>
                <w:tcPr>
                  <w:tcW w:w="1159" w:type="pct"/>
                  <w:tcBorders>
                    <w:tl2br w:val="nil"/>
                    <w:tr2bl w:val="nil"/>
                  </w:tcBorders>
                  <w:vAlign w:val="center"/>
                </w:tcPr>
                <w:p w14:paraId="1176B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巴国龙庭</w:t>
                  </w:r>
                </w:p>
              </w:tc>
              <w:tc>
                <w:tcPr>
                  <w:tcW w:w="375" w:type="pct"/>
                  <w:tcBorders>
                    <w:tl2br w:val="nil"/>
                    <w:tr2bl w:val="nil"/>
                  </w:tcBorders>
                  <w:vAlign w:val="center"/>
                </w:tcPr>
                <w:p w14:paraId="1D1D89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226</w:t>
                  </w:r>
                </w:p>
              </w:tc>
              <w:tc>
                <w:tcPr>
                  <w:tcW w:w="376" w:type="pct"/>
                  <w:tcBorders>
                    <w:tl2br w:val="nil"/>
                    <w:tr2bl w:val="nil"/>
                  </w:tcBorders>
                  <w:vAlign w:val="center"/>
                </w:tcPr>
                <w:p w14:paraId="3D800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-476</w:t>
                  </w:r>
                </w:p>
              </w:tc>
              <w:tc>
                <w:tcPr>
                  <w:tcW w:w="505" w:type="pct"/>
                  <w:vMerge w:val="continue"/>
                  <w:tcBorders>
                    <w:tl2br w:val="nil"/>
                    <w:tr2bl w:val="nil"/>
                  </w:tcBorders>
                  <w:vAlign w:val="center"/>
                </w:tcPr>
                <w:p w14:paraId="0FDD8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4073B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40397C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335</w:t>
                  </w:r>
                </w:p>
              </w:tc>
              <w:tc>
                <w:tcPr>
                  <w:tcW w:w="1156" w:type="pct"/>
                  <w:tcBorders>
                    <w:tl2br w:val="nil"/>
                    <w:tr2bl w:val="nil"/>
                  </w:tcBorders>
                  <w:vAlign w:val="center"/>
                </w:tcPr>
                <w:p w14:paraId="1CD91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住宅区，约1012户</w:t>
                  </w:r>
                </w:p>
              </w:tc>
            </w:tr>
            <w:tr w14:paraId="46780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6657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14</w:t>
                  </w:r>
                </w:p>
              </w:tc>
              <w:tc>
                <w:tcPr>
                  <w:tcW w:w="1159" w:type="pct"/>
                  <w:tcBorders>
                    <w:tl2br w:val="nil"/>
                    <w:tr2bl w:val="nil"/>
                  </w:tcBorders>
                  <w:vAlign w:val="center"/>
                </w:tcPr>
                <w:p w14:paraId="7CD7D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巴人博物馆</w:t>
                  </w:r>
                </w:p>
              </w:tc>
              <w:tc>
                <w:tcPr>
                  <w:tcW w:w="375" w:type="pct"/>
                  <w:tcBorders>
                    <w:tl2br w:val="nil"/>
                    <w:tr2bl w:val="nil"/>
                  </w:tcBorders>
                  <w:vAlign w:val="center"/>
                </w:tcPr>
                <w:p w14:paraId="5E178B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421</w:t>
                  </w:r>
                </w:p>
              </w:tc>
              <w:tc>
                <w:tcPr>
                  <w:tcW w:w="376" w:type="pct"/>
                  <w:tcBorders>
                    <w:tl2br w:val="nil"/>
                    <w:tr2bl w:val="nil"/>
                  </w:tcBorders>
                  <w:vAlign w:val="center"/>
                </w:tcPr>
                <w:p w14:paraId="50B18C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-267</w:t>
                  </w:r>
                </w:p>
              </w:tc>
              <w:tc>
                <w:tcPr>
                  <w:tcW w:w="505" w:type="pct"/>
                  <w:vMerge w:val="continue"/>
                  <w:tcBorders>
                    <w:tl2br w:val="nil"/>
                    <w:tr2bl w:val="nil"/>
                  </w:tcBorders>
                  <w:vAlign w:val="center"/>
                </w:tcPr>
                <w:p w14:paraId="4EC7C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6F128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07307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400</w:t>
                  </w:r>
                </w:p>
              </w:tc>
              <w:tc>
                <w:tcPr>
                  <w:tcW w:w="1156" w:type="pct"/>
                  <w:tcBorders>
                    <w:tl2br w:val="nil"/>
                    <w:tr2bl w:val="nil"/>
                  </w:tcBorders>
                  <w:vAlign w:val="center"/>
                </w:tcPr>
                <w:p w14:paraId="5278D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博物馆</w:t>
                  </w:r>
                </w:p>
              </w:tc>
            </w:tr>
            <w:tr w14:paraId="361D6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41" w:type="pct"/>
                  <w:tcBorders>
                    <w:tl2br w:val="nil"/>
                    <w:tr2bl w:val="nil"/>
                  </w:tcBorders>
                  <w:vAlign w:val="center"/>
                </w:tcPr>
                <w:p w14:paraId="0A2A3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w:t>
                  </w:r>
                </w:p>
              </w:tc>
              <w:tc>
                <w:tcPr>
                  <w:tcW w:w="1159" w:type="pct"/>
                  <w:tcBorders>
                    <w:tl2br w:val="nil"/>
                    <w:tr2bl w:val="nil"/>
                  </w:tcBorders>
                  <w:vAlign w:val="center"/>
                </w:tcPr>
                <w:p w14:paraId="051CC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朗佑中西结合医院</w:t>
                  </w:r>
                </w:p>
              </w:tc>
              <w:tc>
                <w:tcPr>
                  <w:tcW w:w="375" w:type="pct"/>
                  <w:tcBorders>
                    <w:tl2br w:val="nil"/>
                    <w:tr2bl w:val="nil"/>
                  </w:tcBorders>
                  <w:vAlign w:val="center"/>
                </w:tcPr>
                <w:p w14:paraId="0DFAD9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rPr>
                    <w:t>372</w:t>
                  </w:r>
                </w:p>
              </w:tc>
              <w:tc>
                <w:tcPr>
                  <w:tcW w:w="376" w:type="pct"/>
                  <w:tcBorders>
                    <w:tl2br w:val="nil"/>
                    <w:tr2bl w:val="nil"/>
                  </w:tcBorders>
                  <w:vAlign w:val="center"/>
                </w:tcPr>
                <w:p w14:paraId="1CBC21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rPr>
                    <w:t>-128</w:t>
                  </w:r>
                </w:p>
              </w:tc>
              <w:tc>
                <w:tcPr>
                  <w:tcW w:w="505" w:type="pct"/>
                  <w:vMerge w:val="continue"/>
                  <w:tcBorders>
                    <w:tl2br w:val="nil"/>
                    <w:tr2bl w:val="nil"/>
                  </w:tcBorders>
                  <w:vAlign w:val="center"/>
                </w:tcPr>
                <w:p w14:paraId="60B7CB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1330AD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东南</w:t>
                  </w:r>
                </w:p>
              </w:tc>
              <w:tc>
                <w:tcPr>
                  <w:tcW w:w="538" w:type="pct"/>
                  <w:tcBorders>
                    <w:tl2br w:val="nil"/>
                    <w:tr2bl w:val="nil"/>
                  </w:tcBorders>
                  <w:vAlign w:val="center"/>
                </w:tcPr>
                <w:p w14:paraId="339780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385</w:t>
                  </w:r>
                </w:p>
              </w:tc>
              <w:tc>
                <w:tcPr>
                  <w:tcW w:w="1156" w:type="pct"/>
                  <w:tcBorders>
                    <w:tl2br w:val="nil"/>
                    <w:tr2bl w:val="nil"/>
                  </w:tcBorders>
                  <w:vAlign w:val="center"/>
                </w:tcPr>
                <w:p w14:paraId="42C04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医院</w:t>
                  </w:r>
                </w:p>
              </w:tc>
            </w:tr>
            <w:tr w14:paraId="68B83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341" w:type="pct"/>
                  <w:tcBorders>
                    <w:tl2br w:val="nil"/>
                    <w:tr2bl w:val="nil"/>
                  </w:tcBorders>
                  <w:vAlign w:val="center"/>
                </w:tcPr>
                <w:p w14:paraId="558D4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16</w:t>
                  </w:r>
                </w:p>
              </w:tc>
              <w:tc>
                <w:tcPr>
                  <w:tcW w:w="1159" w:type="pct"/>
                  <w:tcBorders>
                    <w:tl2br w:val="nil"/>
                    <w:tr2bl w:val="nil"/>
                  </w:tcBorders>
                  <w:vAlign w:val="center"/>
                </w:tcPr>
                <w:p w14:paraId="031DE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巴国锦苑等居住小区</w:t>
                  </w:r>
                </w:p>
              </w:tc>
              <w:tc>
                <w:tcPr>
                  <w:tcW w:w="375" w:type="pct"/>
                  <w:tcBorders>
                    <w:tl2br w:val="nil"/>
                    <w:tr2bl w:val="nil"/>
                  </w:tcBorders>
                  <w:vAlign w:val="center"/>
                </w:tcPr>
                <w:p w14:paraId="3E2B2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380</w:t>
                  </w:r>
                </w:p>
              </w:tc>
              <w:tc>
                <w:tcPr>
                  <w:tcW w:w="376" w:type="pct"/>
                  <w:tcBorders>
                    <w:tl2br w:val="nil"/>
                    <w:tr2bl w:val="nil"/>
                  </w:tcBorders>
                  <w:vAlign w:val="center"/>
                </w:tcPr>
                <w:p w14:paraId="7188FC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128</w:t>
                  </w:r>
                </w:p>
              </w:tc>
              <w:tc>
                <w:tcPr>
                  <w:tcW w:w="505" w:type="pct"/>
                  <w:vMerge w:val="continue"/>
                  <w:tcBorders>
                    <w:tl2br w:val="nil"/>
                    <w:tr2bl w:val="nil"/>
                  </w:tcBorders>
                  <w:vAlign w:val="center"/>
                </w:tcPr>
                <w:p w14:paraId="3A717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7" w:type="pct"/>
                  <w:tcBorders>
                    <w:tl2br w:val="nil"/>
                    <w:tr2bl w:val="nil"/>
                  </w:tcBorders>
                  <w:vAlign w:val="center"/>
                </w:tcPr>
                <w:p w14:paraId="233C2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东北</w:t>
                  </w:r>
                </w:p>
              </w:tc>
              <w:tc>
                <w:tcPr>
                  <w:tcW w:w="538" w:type="pct"/>
                  <w:tcBorders>
                    <w:tl2br w:val="nil"/>
                    <w:tr2bl w:val="nil"/>
                  </w:tcBorders>
                  <w:shd w:val="clear" w:color="auto" w:fill="auto"/>
                  <w:vAlign w:val="center"/>
                </w:tcPr>
                <w:p w14:paraId="47B01B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190</w:t>
                  </w:r>
                </w:p>
              </w:tc>
              <w:tc>
                <w:tcPr>
                  <w:tcW w:w="1156" w:type="pct"/>
                  <w:tcBorders>
                    <w:tl2br w:val="nil"/>
                    <w:tr2bl w:val="nil"/>
                  </w:tcBorders>
                  <w:vAlign w:val="center"/>
                </w:tcPr>
                <w:p w14:paraId="37B8C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住宅区，约1284户</w:t>
                  </w:r>
                </w:p>
              </w:tc>
            </w:tr>
          </w:tbl>
          <w:p w14:paraId="6FE8C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0"/>
                <w:sz w:val="22"/>
                <w:szCs w:val="22"/>
                <w:highlight w:val="none"/>
                <w:lang w:val="en-US" w:eastAsia="zh-CN"/>
              </w:rPr>
            </w:pPr>
            <w:r>
              <w:rPr>
                <w:rFonts w:hint="default" w:ascii="Times New Roman" w:hAnsi="Times New Roman" w:eastAsia="宋体" w:cs="Times New Roman"/>
                <w:b w:val="0"/>
                <w:bCs w:val="0"/>
                <w:color w:val="auto"/>
                <w:kern w:val="0"/>
                <w:sz w:val="22"/>
                <w:szCs w:val="22"/>
                <w:highlight w:val="none"/>
                <w:lang w:val="en-US" w:eastAsia="zh-CN"/>
              </w:rPr>
              <w:t>注</w:t>
            </w:r>
            <w:r>
              <w:rPr>
                <w:rFonts w:hint="default" w:ascii="Times New Roman" w:hAnsi="Times New Roman" w:cs="Times New Roman"/>
                <w:b w:val="0"/>
                <w:bCs w:val="0"/>
                <w:color w:val="auto"/>
                <w:kern w:val="0"/>
                <w:sz w:val="22"/>
                <w:szCs w:val="22"/>
                <w:highlight w:val="none"/>
                <w:lang w:val="en-US" w:eastAsia="zh-CN"/>
              </w:rPr>
              <w:t>：</w:t>
            </w:r>
            <w:r>
              <w:rPr>
                <w:rFonts w:hint="default" w:ascii="Times New Roman" w:hAnsi="Times New Roman" w:eastAsia="宋体" w:cs="Times New Roman"/>
                <w:b w:val="0"/>
                <w:bCs w:val="0"/>
                <w:color w:val="auto"/>
                <w:kern w:val="0"/>
                <w:sz w:val="22"/>
                <w:szCs w:val="22"/>
                <w:highlight w:val="none"/>
                <w:lang w:val="en-US" w:eastAsia="zh-CN"/>
              </w:rPr>
              <w:t>以项目厂区中心为原点建立坐标轴</w:t>
            </w:r>
            <w:r>
              <w:rPr>
                <w:rFonts w:hint="default" w:ascii="Times New Roman" w:hAnsi="Times New Roman" w:cs="Times New Roman"/>
                <w:b w:val="0"/>
                <w:bCs w:val="0"/>
                <w:color w:val="auto"/>
                <w:kern w:val="0"/>
                <w:sz w:val="22"/>
                <w:szCs w:val="22"/>
                <w:highlight w:val="none"/>
                <w:lang w:val="en-US" w:eastAsia="zh-CN"/>
              </w:rPr>
              <w:t>（0，0）</w:t>
            </w:r>
            <w:r>
              <w:rPr>
                <w:rFonts w:hint="eastAsia" w:cs="Times New Roman"/>
                <w:b w:val="0"/>
                <w:bCs w:val="0"/>
                <w:color w:val="auto"/>
                <w:kern w:val="0"/>
                <w:sz w:val="22"/>
                <w:szCs w:val="22"/>
                <w:highlight w:val="none"/>
                <w:lang w:val="en-US" w:eastAsia="zh-CN"/>
              </w:rPr>
              <w:t>，各保护目标坐标为中心点坐标</w:t>
            </w:r>
            <w:r>
              <w:rPr>
                <w:rFonts w:hint="default" w:ascii="Times New Roman" w:hAnsi="Times New Roman" w:eastAsia="宋体" w:cs="Times New Roman"/>
                <w:b w:val="0"/>
                <w:bCs w:val="0"/>
                <w:color w:val="auto"/>
                <w:kern w:val="0"/>
                <w:sz w:val="22"/>
                <w:szCs w:val="22"/>
                <w:highlight w:val="none"/>
                <w:lang w:val="en-US" w:eastAsia="zh-CN"/>
              </w:rPr>
              <w:t>。</w:t>
            </w:r>
          </w:p>
          <w:p w14:paraId="023A0E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声环境保护目标</w:t>
            </w:r>
          </w:p>
          <w:p w14:paraId="5D97B9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w:t>
            </w:r>
            <w:r>
              <w:rPr>
                <w:rFonts w:hint="eastAsia" w:cs="Times New Roman"/>
                <w:b w:val="0"/>
                <w:bCs w:val="0"/>
                <w:color w:val="auto"/>
                <w:kern w:val="0"/>
                <w:sz w:val="24"/>
                <w:szCs w:val="24"/>
                <w:highlight w:val="none"/>
                <w:lang w:val="en-US" w:eastAsia="zh-CN"/>
              </w:rPr>
              <w:t>场界</w:t>
            </w:r>
            <w:r>
              <w:rPr>
                <w:rFonts w:hint="default" w:ascii="Times New Roman" w:hAnsi="Times New Roman" w:eastAsia="宋体" w:cs="Times New Roman"/>
                <w:b w:val="0"/>
                <w:bCs w:val="0"/>
                <w:color w:val="auto"/>
                <w:kern w:val="0"/>
                <w:sz w:val="24"/>
                <w:szCs w:val="24"/>
                <w:highlight w:val="none"/>
                <w:lang w:val="en-US" w:eastAsia="zh-CN"/>
              </w:rPr>
              <w:t>外50m范围内存在居住区</w:t>
            </w:r>
            <w:r>
              <w:rPr>
                <w:rFonts w:hint="eastAsia" w:cs="Times New Roman"/>
                <w:b w:val="0"/>
                <w:bCs w:val="0"/>
                <w:color w:val="auto"/>
                <w:kern w:val="0"/>
                <w:sz w:val="24"/>
                <w:szCs w:val="24"/>
                <w:highlight w:val="none"/>
                <w:lang w:val="en-US" w:eastAsia="zh-CN"/>
              </w:rPr>
              <w:t>和学校</w:t>
            </w:r>
            <w:r>
              <w:rPr>
                <w:rFonts w:hint="default" w:ascii="Times New Roman" w:hAnsi="Times New Roman" w:eastAsia="宋体" w:cs="Times New Roman"/>
                <w:b w:val="0"/>
                <w:bCs w:val="0"/>
                <w:color w:val="auto"/>
                <w:kern w:val="0"/>
                <w:sz w:val="24"/>
                <w:szCs w:val="24"/>
                <w:highlight w:val="none"/>
                <w:lang w:val="en-US" w:eastAsia="zh-CN"/>
              </w:rPr>
              <w:t>。项目50m范围内声环境保护目标详见表3.2-</w:t>
            </w:r>
            <w:r>
              <w:rPr>
                <w:rFonts w:hint="eastAsia"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w:t>
            </w:r>
          </w:p>
          <w:p w14:paraId="29C3C9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表3.2-</w:t>
            </w: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 xml:space="preserve"> 项目声环境保护目标一览表</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66"/>
              <w:gridCol w:w="944"/>
              <w:gridCol w:w="933"/>
              <w:gridCol w:w="1254"/>
              <w:gridCol w:w="1043"/>
              <w:gridCol w:w="914"/>
              <w:gridCol w:w="1174"/>
            </w:tblGrid>
            <w:tr w14:paraId="49CC3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 w:type="pct"/>
                  <w:vMerge w:val="restart"/>
                  <w:tcBorders>
                    <w:tl2br w:val="nil"/>
                    <w:tr2bl w:val="nil"/>
                  </w:tcBorders>
                  <w:vAlign w:val="center"/>
                </w:tcPr>
                <w:p w14:paraId="17399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序号</w:t>
                  </w:r>
                </w:p>
              </w:tc>
              <w:tc>
                <w:tcPr>
                  <w:tcW w:w="998" w:type="pct"/>
                  <w:vMerge w:val="restart"/>
                  <w:tcBorders>
                    <w:tl2br w:val="nil"/>
                    <w:tr2bl w:val="nil"/>
                  </w:tcBorders>
                  <w:vAlign w:val="center"/>
                </w:tcPr>
                <w:p w14:paraId="189856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名称</w:t>
                  </w:r>
                </w:p>
              </w:tc>
              <w:tc>
                <w:tcPr>
                  <w:tcW w:w="1125" w:type="pct"/>
                  <w:gridSpan w:val="2"/>
                  <w:tcBorders>
                    <w:tl2br w:val="nil"/>
                    <w:tr2bl w:val="nil"/>
                  </w:tcBorders>
                  <w:vAlign w:val="center"/>
                </w:tcPr>
                <w:p w14:paraId="6EFAC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坐标/m</w:t>
                  </w:r>
                </w:p>
              </w:tc>
              <w:tc>
                <w:tcPr>
                  <w:tcW w:w="751" w:type="pct"/>
                  <w:vMerge w:val="restart"/>
                  <w:tcBorders>
                    <w:tl2br w:val="nil"/>
                    <w:tr2bl w:val="nil"/>
                  </w:tcBorders>
                  <w:vAlign w:val="center"/>
                </w:tcPr>
                <w:p w14:paraId="7B0A7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环境功能区</w:t>
                  </w:r>
                </w:p>
              </w:tc>
              <w:tc>
                <w:tcPr>
                  <w:tcW w:w="625" w:type="pct"/>
                  <w:vMerge w:val="restart"/>
                  <w:tcBorders>
                    <w:tl2br w:val="nil"/>
                    <w:tr2bl w:val="nil"/>
                  </w:tcBorders>
                  <w:vAlign w:val="center"/>
                </w:tcPr>
                <w:p w14:paraId="5A43DD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相对厂址方位</w:t>
                  </w:r>
                </w:p>
              </w:tc>
              <w:tc>
                <w:tcPr>
                  <w:tcW w:w="548" w:type="pct"/>
                  <w:vMerge w:val="restart"/>
                  <w:tcBorders>
                    <w:tl2br w:val="nil"/>
                    <w:tr2bl w:val="nil"/>
                  </w:tcBorders>
                  <w:vAlign w:val="center"/>
                </w:tcPr>
                <w:p w14:paraId="43FD86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最近距离</w:t>
                  </w:r>
                </w:p>
              </w:tc>
              <w:tc>
                <w:tcPr>
                  <w:tcW w:w="703" w:type="pct"/>
                  <w:vMerge w:val="restart"/>
                  <w:tcBorders>
                    <w:tl2br w:val="nil"/>
                    <w:tr2bl w:val="nil"/>
                  </w:tcBorders>
                  <w:vAlign w:val="center"/>
                </w:tcPr>
                <w:p w14:paraId="754B6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保护内容</w:t>
                  </w:r>
                </w:p>
              </w:tc>
            </w:tr>
            <w:tr w14:paraId="31ADC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7" w:type="pct"/>
                  <w:vMerge w:val="continue"/>
                  <w:tcBorders>
                    <w:tl2br w:val="nil"/>
                    <w:tr2bl w:val="nil"/>
                  </w:tcBorders>
                  <w:vAlign w:val="center"/>
                </w:tcPr>
                <w:p w14:paraId="54733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98" w:type="pct"/>
                  <w:vMerge w:val="continue"/>
                  <w:tcBorders>
                    <w:tl2br w:val="nil"/>
                    <w:tr2bl w:val="nil"/>
                  </w:tcBorders>
                  <w:vAlign w:val="center"/>
                </w:tcPr>
                <w:p w14:paraId="0CEC88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66" w:type="pct"/>
                  <w:tcBorders>
                    <w:tl2br w:val="nil"/>
                    <w:tr2bl w:val="nil"/>
                  </w:tcBorders>
                  <w:vAlign w:val="center"/>
                </w:tcPr>
                <w:p w14:paraId="191408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X</w:t>
                  </w:r>
                </w:p>
              </w:tc>
              <w:tc>
                <w:tcPr>
                  <w:tcW w:w="558" w:type="pct"/>
                  <w:tcBorders>
                    <w:tl2br w:val="nil"/>
                    <w:tr2bl w:val="nil"/>
                  </w:tcBorders>
                  <w:vAlign w:val="center"/>
                </w:tcPr>
                <w:p w14:paraId="16C98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Y</w:t>
                  </w:r>
                </w:p>
              </w:tc>
              <w:tc>
                <w:tcPr>
                  <w:tcW w:w="751" w:type="pct"/>
                  <w:vMerge w:val="continue"/>
                  <w:tcBorders>
                    <w:tl2br w:val="nil"/>
                    <w:tr2bl w:val="nil"/>
                  </w:tcBorders>
                  <w:vAlign w:val="center"/>
                </w:tcPr>
                <w:p w14:paraId="1B400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25" w:type="pct"/>
                  <w:vMerge w:val="continue"/>
                  <w:tcBorders>
                    <w:tl2br w:val="nil"/>
                    <w:tr2bl w:val="nil"/>
                  </w:tcBorders>
                  <w:vAlign w:val="center"/>
                </w:tcPr>
                <w:p w14:paraId="4A042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48" w:type="pct"/>
                  <w:vMerge w:val="continue"/>
                  <w:tcBorders>
                    <w:tl2br w:val="nil"/>
                    <w:tr2bl w:val="nil"/>
                  </w:tcBorders>
                  <w:vAlign w:val="center"/>
                </w:tcPr>
                <w:p w14:paraId="787BF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03" w:type="pct"/>
                  <w:vMerge w:val="continue"/>
                  <w:tcBorders>
                    <w:tl2br w:val="nil"/>
                    <w:tr2bl w:val="nil"/>
                  </w:tcBorders>
                  <w:vAlign w:val="center"/>
                </w:tcPr>
                <w:p w14:paraId="648306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09FC3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vAlign w:val="center"/>
                </w:tcPr>
                <w:p w14:paraId="3E69C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w:t>
                  </w:r>
                </w:p>
              </w:tc>
              <w:tc>
                <w:tcPr>
                  <w:tcW w:w="1666" w:type="dxa"/>
                  <w:tcBorders>
                    <w:tl2br w:val="nil"/>
                    <w:tr2bl w:val="nil"/>
                  </w:tcBorders>
                  <w:vAlign w:val="center"/>
                </w:tcPr>
                <w:p w14:paraId="328D6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渝高中学</w:t>
                  </w:r>
                </w:p>
              </w:tc>
              <w:tc>
                <w:tcPr>
                  <w:tcW w:w="944" w:type="dxa"/>
                  <w:tcBorders>
                    <w:tl2br w:val="nil"/>
                    <w:tr2bl w:val="nil"/>
                  </w:tcBorders>
                  <w:vAlign w:val="center"/>
                </w:tcPr>
                <w:p w14:paraId="1DDD6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-19</w:t>
                  </w:r>
                </w:p>
              </w:tc>
              <w:tc>
                <w:tcPr>
                  <w:tcW w:w="933" w:type="dxa"/>
                  <w:tcBorders>
                    <w:tl2br w:val="nil"/>
                    <w:tr2bl w:val="nil"/>
                  </w:tcBorders>
                  <w:vAlign w:val="center"/>
                </w:tcPr>
                <w:p w14:paraId="49EF7F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-179</w:t>
                  </w:r>
                </w:p>
              </w:tc>
              <w:tc>
                <w:tcPr>
                  <w:tcW w:w="751" w:type="pct"/>
                  <w:tcBorders>
                    <w:tl2br w:val="nil"/>
                    <w:tr2bl w:val="nil"/>
                  </w:tcBorders>
                  <w:vAlign w:val="center"/>
                </w:tcPr>
                <w:p w14:paraId="30521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声环境</w:t>
                  </w:r>
                  <w:r>
                    <w:rPr>
                      <w:rFonts w:hint="eastAsia" w:cs="Times New Roman"/>
                      <w:b w:val="0"/>
                      <w:bCs w:val="0"/>
                      <w:color w:val="auto"/>
                      <w:kern w:val="0"/>
                      <w:sz w:val="21"/>
                      <w:szCs w:val="21"/>
                      <w:highlight w:val="none"/>
                      <w:vertAlign w:val="baseline"/>
                      <w:lang w:val="en-US" w:eastAsia="zh-CN"/>
                    </w:rPr>
                    <w:t>1</w:t>
                  </w:r>
                  <w:r>
                    <w:rPr>
                      <w:rFonts w:hint="default" w:ascii="Times New Roman" w:hAnsi="Times New Roman" w:cs="Times New Roman"/>
                      <w:b w:val="0"/>
                      <w:bCs w:val="0"/>
                      <w:color w:val="auto"/>
                      <w:kern w:val="0"/>
                      <w:sz w:val="21"/>
                      <w:szCs w:val="21"/>
                      <w:highlight w:val="none"/>
                      <w:vertAlign w:val="baseline"/>
                      <w:lang w:val="en-US" w:eastAsia="zh-CN"/>
                    </w:rPr>
                    <w:t>类</w:t>
                  </w:r>
                </w:p>
              </w:tc>
              <w:tc>
                <w:tcPr>
                  <w:tcW w:w="625" w:type="pct"/>
                  <w:tcBorders>
                    <w:tl2br w:val="nil"/>
                    <w:tr2bl w:val="nil"/>
                  </w:tcBorders>
                  <w:vAlign w:val="center"/>
                </w:tcPr>
                <w:p w14:paraId="18DF4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西、南</w:t>
                  </w:r>
                </w:p>
              </w:tc>
              <w:tc>
                <w:tcPr>
                  <w:tcW w:w="548" w:type="pct"/>
                  <w:tcBorders>
                    <w:tl2br w:val="nil"/>
                    <w:tr2bl w:val="nil"/>
                  </w:tcBorders>
                  <w:vAlign w:val="center"/>
                </w:tcPr>
                <w:p w14:paraId="730C2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174" w:type="dxa"/>
                  <w:tcBorders>
                    <w:tl2br w:val="nil"/>
                    <w:tr2bl w:val="nil"/>
                  </w:tcBorders>
                  <w:vAlign w:val="center"/>
                </w:tcPr>
                <w:p w14:paraId="3B19A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学校，约3000人</w:t>
                  </w:r>
                </w:p>
              </w:tc>
            </w:tr>
            <w:tr w14:paraId="0B9E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47" w:type="pct"/>
                  <w:tcBorders>
                    <w:tl2br w:val="nil"/>
                    <w:tr2bl w:val="nil"/>
                  </w:tcBorders>
                  <w:vAlign w:val="center"/>
                </w:tcPr>
                <w:p w14:paraId="4CCFA0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w:t>
                  </w:r>
                </w:p>
              </w:tc>
              <w:tc>
                <w:tcPr>
                  <w:tcW w:w="1666" w:type="dxa"/>
                  <w:tcBorders>
                    <w:tl2br w:val="nil"/>
                    <w:tr2bl w:val="nil"/>
                  </w:tcBorders>
                  <w:vAlign w:val="center"/>
                </w:tcPr>
                <w:p w14:paraId="65F7B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弘悦101住宅区</w:t>
                  </w:r>
                </w:p>
              </w:tc>
              <w:tc>
                <w:tcPr>
                  <w:tcW w:w="944" w:type="dxa"/>
                  <w:tcBorders>
                    <w:tl2br w:val="nil"/>
                    <w:tr2bl w:val="nil"/>
                  </w:tcBorders>
                  <w:vAlign w:val="center"/>
                </w:tcPr>
                <w:p w14:paraId="5257F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69</w:t>
                  </w:r>
                </w:p>
              </w:tc>
              <w:tc>
                <w:tcPr>
                  <w:tcW w:w="933" w:type="dxa"/>
                  <w:tcBorders>
                    <w:tl2br w:val="nil"/>
                    <w:tr2bl w:val="nil"/>
                  </w:tcBorders>
                  <w:vAlign w:val="center"/>
                </w:tcPr>
                <w:p w14:paraId="6E10C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olor w:val="auto"/>
                    </w:rPr>
                    <w:t>-45</w:t>
                  </w:r>
                </w:p>
              </w:tc>
              <w:tc>
                <w:tcPr>
                  <w:tcW w:w="751" w:type="pct"/>
                  <w:tcBorders>
                    <w:tl2br w:val="nil"/>
                    <w:tr2bl w:val="nil"/>
                  </w:tcBorders>
                  <w:vAlign w:val="center"/>
                </w:tcPr>
                <w:p w14:paraId="2288D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声环境</w:t>
                  </w:r>
                  <w:r>
                    <w:rPr>
                      <w:rFonts w:hint="eastAsia" w:cs="Times New Roman"/>
                      <w:b w:val="0"/>
                      <w:bCs w:val="0"/>
                      <w:color w:val="auto"/>
                      <w:kern w:val="0"/>
                      <w:sz w:val="21"/>
                      <w:szCs w:val="21"/>
                      <w:highlight w:val="none"/>
                      <w:vertAlign w:val="baseline"/>
                      <w:lang w:val="en-US" w:eastAsia="zh-CN"/>
                    </w:rPr>
                    <w:t>2</w:t>
                  </w:r>
                  <w:r>
                    <w:rPr>
                      <w:rFonts w:hint="default" w:ascii="Times New Roman" w:hAnsi="Times New Roman" w:cs="Times New Roman"/>
                      <w:b w:val="0"/>
                      <w:bCs w:val="0"/>
                      <w:color w:val="auto"/>
                      <w:kern w:val="0"/>
                      <w:sz w:val="21"/>
                      <w:szCs w:val="21"/>
                      <w:highlight w:val="none"/>
                      <w:vertAlign w:val="baseline"/>
                      <w:lang w:val="en-US" w:eastAsia="zh-CN"/>
                    </w:rPr>
                    <w:t>类</w:t>
                  </w:r>
                </w:p>
              </w:tc>
              <w:tc>
                <w:tcPr>
                  <w:tcW w:w="625" w:type="pct"/>
                  <w:tcBorders>
                    <w:tl2br w:val="nil"/>
                    <w:tr2bl w:val="nil"/>
                  </w:tcBorders>
                  <w:vAlign w:val="center"/>
                </w:tcPr>
                <w:p w14:paraId="378934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南</w:t>
                  </w:r>
                </w:p>
              </w:tc>
              <w:tc>
                <w:tcPr>
                  <w:tcW w:w="548" w:type="pct"/>
                  <w:tcBorders>
                    <w:tl2br w:val="nil"/>
                    <w:tr2bl w:val="nil"/>
                  </w:tcBorders>
                  <w:vAlign w:val="center"/>
                </w:tcPr>
                <w:p w14:paraId="01D17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25</w:t>
                  </w:r>
                </w:p>
              </w:tc>
              <w:tc>
                <w:tcPr>
                  <w:tcW w:w="1174" w:type="dxa"/>
                  <w:tcBorders>
                    <w:tl2br w:val="nil"/>
                    <w:tr2bl w:val="nil"/>
                  </w:tcBorders>
                  <w:vAlign w:val="center"/>
                </w:tcPr>
                <w:p w14:paraId="281A67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住宅区，约557户</w:t>
                  </w:r>
                </w:p>
              </w:tc>
            </w:tr>
          </w:tbl>
          <w:p w14:paraId="3A41B8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cs="Times New Roman"/>
                <w:b w:val="0"/>
                <w:bCs w:val="0"/>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2"/>
                <w:szCs w:val="22"/>
                <w:highlight w:val="none"/>
                <w:lang w:val="en-US" w:eastAsia="zh-CN"/>
                <w14:textFill>
                  <w14:solidFill>
                    <w14:schemeClr w14:val="tx1"/>
                  </w14:solidFill>
                </w14:textFill>
              </w:rPr>
              <w:t>注</w:t>
            </w:r>
            <w:r>
              <w:rPr>
                <w:rFonts w:hint="default" w:ascii="Times New Roman" w:hAnsi="Times New Roman" w:cs="Times New Roman"/>
                <w:b w:val="0"/>
                <w:bCs w:val="0"/>
                <w:color w:val="000000" w:themeColor="text1"/>
                <w:kern w:val="0"/>
                <w:sz w:val="22"/>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2"/>
                <w:szCs w:val="22"/>
                <w:highlight w:val="none"/>
                <w:lang w:val="en-US" w:eastAsia="zh-CN"/>
                <w14:textFill>
                  <w14:solidFill>
                    <w14:schemeClr w14:val="tx1"/>
                  </w14:solidFill>
                </w14:textFill>
              </w:rPr>
              <w:t>以项目厂区中心为原点建立坐标轴</w:t>
            </w:r>
            <w:r>
              <w:rPr>
                <w:rFonts w:hint="default" w:ascii="Times New Roman" w:hAnsi="Times New Roman" w:cs="Times New Roman"/>
                <w:b w:val="0"/>
                <w:bCs w:val="0"/>
                <w:color w:val="000000" w:themeColor="text1"/>
                <w:kern w:val="0"/>
                <w:sz w:val="22"/>
                <w:szCs w:val="22"/>
                <w:highlight w:val="none"/>
                <w:lang w:val="en-US" w:eastAsia="zh-CN"/>
                <w14:textFill>
                  <w14:solidFill>
                    <w14:schemeClr w14:val="tx1"/>
                  </w14:solidFill>
                </w14:textFill>
              </w:rPr>
              <w:t>（0，0）</w:t>
            </w:r>
            <w:r>
              <w:rPr>
                <w:rFonts w:hint="eastAsia" w:cs="Times New Roman"/>
                <w:b w:val="0"/>
                <w:bCs w:val="0"/>
                <w:color w:val="000000" w:themeColor="text1"/>
                <w:kern w:val="0"/>
                <w:sz w:val="22"/>
                <w:szCs w:val="22"/>
                <w:highlight w:val="none"/>
                <w:lang w:val="en-US" w:eastAsia="zh-CN"/>
                <w14:textFill>
                  <w14:solidFill>
                    <w14:schemeClr w14:val="tx1"/>
                  </w14:solidFill>
                </w14:textFill>
              </w:rPr>
              <w:t>，各保护目标坐标为</w:t>
            </w:r>
            <w:r>
              <w:rPr>
                <w:rFonts w:hint="eastAsia" w:cs="Times New Roman"/>
                <w:b w:val="0"/>
                <w:bCs w:val="0"/>
                <w:color w:val="auto"/>
                <w:kern w:val="0"/>
                <w:sz w:val="22"/>
                <w:szCs w:val="22"/>
                <w:highlight w:val="none"/>
                <w:lang w:val="en-US" w:eastAsia="zh-CN"/>
              </w:rPr>
              <w:t>中心点</w:t>
            </w:r>
            <w:r>
              <w:rPr>
                <w:rFonts w:hint="eastAsia" w:cs="Times New Roman"/>
                <w:b w:val="0"/>
                <w:bCs w:val="0"/>
                <w:color w:val="000000" w:themeColor="text1"/>
                <w:kern w:val="0"/>
                <w:sz w:val="22"/>
                <w:szCs w:val="22"/>
                <w:highlight w:val="none"/>
                <w:lang w:val="en-US" w:eastAsia="zh-CN"/>
                <w14:textFill>
                  <w14:solidFill>
                    <w14:schemeClr w14:val="tx1"/>
                  </w14:solidFill>
                </w14:textFill>
              </w:rPr>
              <w:t>坐标。</w:t>
            </w:r>
          </w:p>
          <w:p w14:paraId="6B0A6E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地下水环境</w:t>
            </w:r>
          </w:p>
          <w:p w14:paraId="47D576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场界</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外500m范围内无地下水集中式饮用水水源和热水、矿泉水、温泉等特殊地下水资源。</w:t>
            </w:r>
          </w:p>
          <w:p w14:paraId="7CBBF8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生态环境</w:t>
            </w:r>
          </w:p>
          <w:p w14:paraId="056699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color w:val="FF0000"/>
                <w:kern w:val="0"/>
                <w:sz w:val="24"/>
                <w:szCs w:val="24"/>
                <w:highlight w:val="none"/>
                <w:lang w:val="en-US" w:eastAsia="zh-CN"/>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项目位于</w:t>
            </w:r>
            <w:r>
              <w:rPr>
                <w:rFonts w:hint="eastAsia"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，属于城市建成区，用地范围内无生态环境保护目标。</w:t>
            </w:r>
          </w:p>
        </w:tc>
      </w:tr>
      <w:tr w14:paraId="09018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tcMar>
              <w:left w:w="28" w:type="dxa"/>
              <w:right w:w="28" w:type="dxa"/>
            </w:tcMar>
            <w:vAlign w:val="center"/>
          </w:tcPr>
          <w:p w14:paraId="57B8C11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w:t>
            </w:r>
          </w:p>
          <w:p w14:paraId="23D2954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物排</w:t>
            </w:r>
          </w:p>
          <w:p w14:paraId="53DB3898">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放控</w:t>
            </w:r>
          </w:p>
          <w:p w14:paraId="577B7394">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制标</w:t>
            </w:r>
          </w:p>
          <w:p w14:paraId="2E44B392">
            <w:pPr>
              <w:adjustRightInd w:val="0"/>
              <w:snapToGrid w:val="0"/>
              <w:jc w:val="center"/>
              <w:rPr>
                <w:rFonts w:hint="default" w:ascii="Times New Roman" w:hAnsi="Times New Roman" w:cs="Times New Roman"/>
                <w:color w:val="FF0000"/>
                <w:kern w:val="0"/>
                <w:szCs w:val="21"/>
                <w:highlight w:val="none"/>
              </w:rPr>
            </w:pPr>
            <w:r>
              <w:rPr>
                <w:rFonts w:hint="default" w:ascii="Times New Roman" w:hAnsi="Times New Roman" w:cs="Times New Roman"/>
                <w:color w:val="000000" w:themeColor="text1"/>
                <w:kern w:val="0"/>
                <w:szCs w:val="21"/>
                <w:highlight w:val="none"/>
                <w14:textFill>
                  <w14:solidFill>
                    <w14:schemeClr w14:val="tx1"/>
                  </w14:solidFill>
                </w14:textFill>
              </w:rPr>
              <w:t>准</w:t>
            </w:r>
          </w:p>
        </w:tc>
        <w:tc>
          <w:tcPr>
            <w:tcW w:w="8600" w:type="dxa"/>
            <w:noWrap w:val="0"/>
            <w:vAlign w:val="center"/>
          </w:tcPr>
          <w:p w14:paraId="29FAF8A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3.3污染物排放控制标准</w:t>
            </w:r>
          </w:p>
          <w:p w14:paraId="2117982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3.3.1大气污染物排放标准</w:t>
            </w:r>
          </w:p>
          <w:p w14:paraId="7B8E98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废气</w:t>
            </w:r>
          </w:p>
          <w:p w14:paraId="6F311E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项目臭气主要来自动物住院过程，产生的臭气量较小，执行《恶臭污染物排放标准》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GB14554-93</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具体标准值见表3-3-1。</w:t>
            </w:r>
          </w:p>
          <w:p w14:paraId="0D3EC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表3.3-1 恶臭污染物排放标准</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361"/>
              <w:gridCol w:w="3297"/>
            </w:tblGrid>
            <w:tr w14:paraId="448C1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2BEDD2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序号</w:t>
                  </w:r>
                </w:p>
              </w:tc>
              <w:tc>
                <w:tcPr>
                  <w:tcW w:w="2011" w:type="pct"/>
                  <w:tcBorders>
                    <w:tl2br w:val="nil"/>
                    <w:tr2bl w:val="nil"/>
                  </w:tcBorders>
                  <w:vAlign w:val="center"/>
                </w:tcPr>
                <w:p w14:paraId="393FB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污染物名称</w:t>
                  </w:r>
                </w:p>
              </w:tc>
              <w:tc>
                <w:tcPr>
                  <w:tcW w:w="1973" w:type="pct"/>
                  <w:tcBorders>
                    <w:tl2br w:val="nil"/>
                    <w:tr2bl w:val="nil"/>
                  </w:tcBorders>
                  <w:vAlign w:val="center"/>
                </w:tcPr>
                <w:p w14:paraId="36781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标准值（二级）</w:t>
                  </w:r>
                </w:p>
              </w:tc>
            </w:tr>
            <w:tr w14:paraId="4F6F2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769DA6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1</w:t>
                  </w:r>
                </w:p>
              </w:tc>
              <w:tc>
                <w:tcPr>
                  <w:tcW w:w="2011" w:type="pct"/>
                  <w:tcBorders>
                    <w:tl2br w:val="nil"/>
                    <w:tr2bl w:val="nil"/>
                  </w:tcBorders>
                  <w:vAlign w:val="center"/>
                </w:tcPr>
                <w:p w14:paraId="249B9A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臭气浓度</w:t>
                  </w:r>
                </w:p>
              </w:tc>
              <w:tc>
                <w:tcPr>
                  <w:tcW w:w="1973" w:type="pct"/>
                  <w:tcBorders>
                    <w:tl2br w:val="nil"/>
                    <w:tr2bl w:val="nil"/>
                  </w:tcBorders>
                  <w:vAlign w:val="center"/>
                </w:tcPr>
                <w:p w14:paraId="35AE6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20（无量纲）</w:t>
                  </w:r>
                </w:p>
              </w:tc>
            </w:tr>
          </w:tbl>
          <w:p w14:paraId="4A3A1B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项目会使用到酒精进行消毒，该过程可能会产生少量有机废气</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本评价以非甲烷总烃计</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，无组织排放，执行重庆市地方标准《大气污染物综合排放标准》</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DB50/418-2016</w:t>
            </w:r>
            <w:r>
              <w:rPr>
                <w:rFonts w:hint="default" w:ascii="Times New Roman" w:hAnsi="Times New Roman"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14:textFill>
                  <w14:solidFill>
                    <w14:schemeClr w14:val="tx1"/>
                  </w14:solidFill>
                </w14:textFill>
              </w:rPr>
              <w:t>。具体标准值见表3.3-2。</w:t>
            </w:r>
          </w:p>
          <w:p w14:paraId="277CA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14:textFill>
                  <w14:solidFill>
                    <w14:schemeClr w14:val="tx1"/>
                  </w14:solidFill>
                </w14:textFill>
              </w:rPr>
              <w:t>表3.3-</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highlight w:val="none"/>
                <w14:textFill>
                  <w14:solidFill>
                    <w14:schemeClr w14:val="tx1"/>
                  </w14:solidFill>
                </w14:textFill>
              </w:rPr>
              <w:t xml:space="preserve"> 大气污染综合排放标准</w:t>
            </w: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4"/>
                <w:szCs w:val="24"/>
                <w:highlight w:val="none"/>
                <w14:textFill>
                  <w14:solidFill>
                    <w14:schemeClr w14:val="tx1"/>
                  </w14:solidFill>
                </w14:textFill>
              </w:rPr>
              <w:t>单位</w:t>
            </w:r>
            <w:r>
              <w:rPr>
                <w:rFonts w:hint="default" w:ascii="Times New Roman" w:hAnsi="Times New Roman" w:cs="Times New Roman"/>
                <w:b/>
                <w:bCs/>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kern w:val="0"/>
                <w:sz w:val="24"/>
                <w:szCs w:val="24"/>
                <w:highlight w:val="none"/>
                <w14:textFill>
                  <w14:solidFill>
                    <w14:schemeClr w14:val="tx1"/>
                  </w14:solidFill>
                </w14:textFill>
              </w:rPr>
              <w:t>mg/m</w:t>
            </w:r>
            <w:r>
              <w:rPr>
                <w:rFonts w:hint="default" w:ascii="Times New Roman" w:hAnsi="Times New Roman" w:cs="Times New Roman"/>
                <w:b/>
                <w:bCs/>
                <w:color w:val="000000" w:themeColor="text1"/>
                <w:kern w:val="0"/>
                <w:sz w:val="24"/>
                <w:szCs w:val="24"/>
                <w:highlight w:val="none"/>
                <w:vertAlign w:val="superscript"/>
                <w:lang w:val="en-US" w:eastAsia="zh-CN"/>
                <w14:textFill>
                  <w14:solidFill>
                    <w14:schemeClr w14:val="tx1"/>
                  </w14:solidFill>
                </w14:textFill>
              </w:rPr>
              <w:t>3</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2"/>
              <w:gridCol w:w="5172"/>
            </w:tblGrid>
            <w:tr w14:paraId="5448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904" w:type="pct"/>
                  <w:tcBorders>
                    <w:tl2br w:val="nil"/>
                    <w:tr2bl w:val="nil"/>
                  </w:tcBorders>
                  <w:vAlign w:val="center"/>
                </w:tcPr>
                <w:p w14:paraId="2BF6DB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污染物项目</w:t>
                  </w:r>
                </w:p>
              </w:tc>
              <w:tc>
                <w:tcPr>
                  <w:tcW w:w="3095" w:type="pct"/>
                  <w:tcBorders>
                    <w:tl2br w:val="nil"/>
                    <w:tr2bl w:val="nil"/>
                  </w:tcBorders>
                  <w:vAlign w:val="center"/>
                </w:tcPr>
                <w:p w14:paraId="41575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无组织排放监控点浓度限值</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b w:val="0"/>
                      <w:bCs w:val="0"/>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w:t>
                  </w:r>
                </w:p>
              </w:tc>
            </w:tr>
            <w:tr w14:paraId="41C50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04" w:type="pct"/>
                  <w:tcBorders>
                    <w:tl2br w:val="nil"/>
                    <w:tr2bl w:val="nil"/>
                  </w:tcBorders>
                  <w:vAlign w:val="center"/>
                </w:tcPr>
                <w:p w14:paraId="64B00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非甲烷总烃（NMHC）</w:t>
                  </w:r>
                </w:p>
              </w:tc>
              <w:tc>
                <w:tcPr>
                  <w:tcW w:w="3095" w:type="pct"/>
                  <w:tcBorders>
                    <w:tl2br w:val="nil"/>
                    <w:tr2bl w:val="nil"/>
                  </w:tcBorders>
                  <w:vAlign w:val="center"/>
                </w:tcPr>
                <w:p w14:paraId="23F84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4.0</w:t>
                  </w:r>
                </w:p>
              </w:tc>
            </w:tr>
          </w:tbl>
          <w:p w14:paraId="53B4919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3.3.2 废水污染物排放标准</w:t>
            </w:r>
          </w:p>
          <w:p w14:paraId="75CDFA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项目为宠物医院，接诊量较小，参照《医疗废物管理条例（2011修订）》中</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第二十条 医疗卫生机构产生的污水、传染病病人或者疑似传染病病人的排泄物，应当按照国家规定严格消毒</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达到国家规定的排放标准后，方可排入污水处理系统。</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和《动物诊疗机构管理办法》</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中华人民共和国农业农村部令2022年第5号</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中</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第二十六条 ……动物诊疗机构应当参照《医疗废物管理条例》的有关规定处理诊疗废弃物，不得随意丢弃诊疗废弃物，排放未经无害化处理的</w:t>
            </w:r>
            <w:r>
              <w:rPr>
                <w:rFonts w:hint="eastAsia" w:cs="Times New Roman"/>
                <w:b w:val="0"/>
                <w:bCs w:val="0"/>
                <w:color w:val="000000" w:themeColor="text1"/>
                <w:kern w:val="0"/>
                <w:sz w:val="24"/>
                <w:szCs w:val="24"/>
                <w:highlight w:val="none"/>
                <w:lang w:val="en-US" w:eastAsia="zh-CN"/>
                <w14:textFill>
                  <w14:solidFill>
                    <w14:schemeClr w14:val="tx1"/>
                  </w14:solidFill>
                </w14:textFill>
              </w:rPr>
              <w:t>化验废水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p w14:paraId="23725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项目营运期废水为生活污水、医疗废水及</w:t>
            </w:r>
            <w:r>
              <w:rPr>
                <w:rFonts w:hint="eastAsia" w:cs="Times New Roman"/>
                <w:b w:val="0"/>
                <w:bCs w:val="0"/>
                <w:color w:val="000000" w:themeColor="text1"/>
                <w:kern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，医疗废水经</w:t>
            </w:r>
            <w:r>
              <w:rPr>
                <w:rFonts w:hint="eastAsia" w:cs="Times New Roman"/>
                <w:b w:val="0"/>
                <w:bCs w:val="0"/>
                <w:color w:val="000000" w:themeColor="text1"/>
                <w:kern w:val="0"/>
                <w:sz w:val="24"/>
                <w:szCs w:val="24"/>
                <w:highlight w:val="none"/>
                <w:lang w:val="en-US" w:eastAsia="zh-CN"/>
                <w14:textFill>
                  <w14:solidFill>
                    <w14:schemeClr w14:val="tx1"/>
                  </w14:solidFill>
                </w14:textFill>
              </w:rPr>
              <w:t>消毒设施消毒（</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本项目使用</w:t>
            </w:r>
            <w:r>
              <w:rPr>
                <w:rFonts w:hint="eastAsia" w:cs="Times New Roman"/>
                <w:b w:val="0"/>
                <w:bCs w:val="0"/>
                <w:color w:val="000000" w:themeColor="text1"/>
                <w:kern w:val="0"/>
                <w:sz w:val="24"/>
                <w:szCs w:val="24"/>
                <w:highlight w:val="none"/>
                <w:lang w:val="en-US" w:eastAsia="zh-CN"/>
                <w14:textFill>
                  <w14:solidFill>
                    <w14:schemeClr w14:val="tx1"/>
                  </w14:solidFill>
                </w14:textFill>
              </w:rPr>
              <w:t>二氧化氯</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消毒片</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b w:val="0"/>
                <w:bCs w:val="0"/>
                <w:color w:val="000000" w:themeColor="text1"/>
                <w:kern w:val="0"/>
                <w:sz w:val="24"/>
                <w:szCs w:val="24"/>
                <w:highlight w:val="none"/>
                <w:lang w:val="en-US" w:eastAsia="zh-CN"/>
                <w14:textFill>
                  <w14:solidFill>
                    <w14:schemeClr w14:val="tx1"/>
                  </w14:solidFill>
                </w14:textFill>
              </w:rPr>
              <w:t>），美容洗浴废水经滤网过滤后，</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与生活污水、</w:t>
            </w:r>
            <w:r>
              <w:rPr>
                <w:rFonts w:hint="eastAsia" w:cs="Times New Roman"/>
                <w:b w:val="0"/>
                <w:bCs w:val="0"/>
                <w:color w:val="000000" w:themeColor="text1"/>
                <w:kern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一起进入</w:t>
            </w:r>
            <w:r>
              <w:rPr>
                <w:rFonts w:hint="eastAsia" w:cs="Times New Roman"/>
                <w:b w:val="0"/>
                <w:bCs/>
                <w:color w:val="000000" w:themeColor="text1"/>
                <w:sz w:val="24"/>
                <w:szCs w:val="24"/>
                <w:highlight w:val="none"/>
                <w:lang w:val="en-US" w:eastAsia="zh-CN"/>
                <w14:textFill>
                  <w14:solidFill>
                    <w14:schemeClr w14:val="tx1"/>
                  </w14:solidFill>
                </w14:textFill>
              </w:rPr>
              <w:t>弘悦101已建生化池</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处理达《污水综合排放标准》（GB8978-1996）三级标准，汇入市政污水管网进入彩云湖污水处理厂进一步处理达彩云湖污水处理厂出水水质标准后作为彩云湖湿地公园和桃花溪景观补水，最终排入长江。污水排放标准详见表3.3-3。</w:t>
            </w:r>
          </w:p>
          <w:p w14:paraId="028C6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表3.3-3 项目废水污染物排放标准 单位：mg/L</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702"/>
              <w:gridCol w:w="702"/>
              <w:gridCol w:w="728"/>
              <w:gridCol w:w="687"/>
              <w:gridCol w:w="733"/>
              <w:gridCol w:w="676"/>
              <w:gridCol w:w="705"/>
              <w:gridCol w:w="705"/>
              <w:gridCol w:w="768"/>
            </w:tblGrid>
            <w:tr w14:paraId="15FDA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74E475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内容</w:t>
                  </w:r>
                </w:p>
              </w:tc>
              <w:tc>
                <w:tcPr>
                  <w:tcW w:w="421" w:type="pct"/>
                  <w:tcBorders>
                    <w:tl2br w:val="nil"/>
                    <w:tr2bl w:val="nil"/>
                  </w:tcBorders>
                  <w:vAlign w:val="center"/>
                </w:tcPr>
                <w:p w14:paraId="472F0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pH</w:t>
                  </w:r>
                </w:p>
              </w:tc>
              <w:tc>
                <w:tcPr>
                  <w:tcW w:w="421" w:type="pct"/>
                  <w:tcBorders>
                    <w:tl2br w:val="nil"/>
                    <w:tr2bl w:val="nil"/>
                  </w:tcBorders>
                  <w:vAlign w:val="center"/>
                </w:tcPr>
                <w:p w14:paraId="1E788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COD</w:t>
                  </w:r>
                </w:p>
              </w:tc>
              <w:tc>
                <w:tcPr>
                  <w:tcW w:w="435" w:type="pct"/>
                  <w:tcBorders>
                    <w:tl2br w:val="nil"/>
                    <w:tr2bl w:val="nil"/>
                  </w:tcBorders>
                  <w:vAlign w:val="center"/>
                </w:tcPr>
                <w:p w14:paraId="76C9D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val="0"/>
                      <w:color w:val="000000" w:themeColor="text1"/>
                      <w:kern w:val="0"/>
                      <w:sz w:val="21"/>
                      <w:szCs w:val="21"/>
                      <w:highlight w:val="none"/>
                      <w:vertAlign w:val="subscript"/>
                      <w:lang w:val="en-US" w:eastAsia="zh-CN"/>
                      <w14:textFill>
                        <w14:solidFill>
                          <w14:schemeClr w14:val="tx1"/>
                        </w14:solidFill>
                      </w14:textFill>
                    </w:rPr>
                    <w:t>5</w:t>
                  </w:r>
                </w:p>
              </w:tc>
              <w:tc>
                <w:tcPr>
                  <w:tcW w:w="412" w:type="pct"/>
                  <w:tcBorders>
                    <w:tl2br w:val="nil"/>
                    <w:tr2bl w:val="nil"/>
                  </w:tcBorders>
                  <w:vAlign w:val="center"/>
                </w:tcPr>
                <w:p w14:paraId="5BD96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SS</w:t>
                  </w:r>
                </w:p>
              </w:tc>
              <w:tc>
                <w:tcPr>
                  <w:tcW w:w="439" w:type="pct"/>
                  <w:tcBorders>
                    <w:tl2br w:val="nil"/>
                    <w:tr2bl w:val="nil"/>
                  </w:tcBorders>
                  <w:vAlign w:val="center"/>
                </w:tcPr>
                <w:p w14:paraId="416B4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氨氮</w:t>
                  </w:r>
                </w:p>
              </w:tc>
              <w:tc>
                <w:tcPr>
                  <w:tcW w:w="405" w:type="pct"/>
                  <w:tcBorders>
                    <w:tl2br w:val="nil"/>
                    <w:tr2bl w:val="nil"/>
                  </w:tcBorders>
                  <w:vAlign w:val="center"/>
                </w:tcPr>
                <w:p w14:paraId="41288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总磷</w:t>
                  </w:r>
                </w:p>
              </w:tc>
              <w:tc>
                <w:tcPr>
                  <w:tcW w:w="422" w:type="pct"/>
                  <w:tcBorders>
                    <w:tl2br w:val="nil"/>
                    <w:tr2bl w:val="nil"/>
                  </w:tcBorders>
                  <w:vAlign w:val="center"/>
                </w:tcPr>
                <w:p w14:paraId="1CA33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LAS</w:t>
                  </w:r>
                </w:p>
              </w:tc>
              <w:tc>
                <w:tcPr>
                  <w:tcW w:w="422" w:type="pct"/>
                  <w:tcBorders>
                    <w:tl2br w:val="nil"/>
                    <w:tr2bl w:val="nil"/>
                  </w:tcBorders>
                  <w:vAlign w:val="center"/>
                </w:tcPr>
                <w:p w14:paraId="43E9B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粪大肠菌群</w:t>
                  </w:r>
                </w:p>
              </w:tc>
              <w:tc>
                <w:tcPr>
                  <w:tcW w:w="455" w:type="pct"/>
                  <w:tcBorders>
                    <w:tl2br w:val="nil"/>
                    <w:tr2bl w:val="nil"/>
                  </w:tcBorders>
                  <w:vAlign w:val="center"/>
                </w:tcPr>
                <w:p w14:paraId="076112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总余氯</w:t>
                  </w:r>
                </w:p>
              </w:tc>
            </w:tr>
            <w:tr w14:paraId="0F136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3B973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《污水综合排放标准》（GB8978-1996）三级标准</w:t>
                  </w:r>
                </w:p>
              </w:tc>
              <w:tc>
                <w:tcPr>
                  <w:tcW w:w="421" w:type="pct"/>
                  <w:tcBorders>
                    <w:tl2br w:val="nil"/>
                    <w:tr2bl w:val="nil"/>
                  </w:tcBorders>
                  <w:vAlign w:val="center"/>
                </w:tcPr>
                <w:p w14:paraId="1B128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6~9</w:t>
                  </w:r>
                </w:p>
              </w:tc>
              <w:tc>
                <w:tcPr>
                  <w:tcW w:w="421" w:type="pct"/>
                  <w:tcBorders>
                    <w:tl2br w:val="nil"/>
                    <w:tr2bl w:val="nil"/>
                  </w:tcBorders>
                  <w:vAlign w:val="center"/>
                </w:tcPr>
                <w:p w14:paraId="58191F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w:t>
                  </w:r>
                </w:p>
              </w:tc>
              <w:tc>
                <w:tcPr>
                  <w:tcW w:w="435" w:type="pct"/>
                  <w:tcBorders>
                    <w:tl2br w:val="nil"/>
                    <w:tr2bl w:val="nil"/>
                  </w:tcBorders>
                  <w:vAlign w:val="center"/>
                </w:tcPr>
                <w:p w14:paraId="3780E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300</w:t>
                  </w:r>
                </w:p>
              </w:tc>
              <w:tc>
                <w:tcPr>
                  <w:tcW w:w="412" w:type="pct"/>
                  <w:tcBorders>
                    <w:tl2br w:val="nil"/>
                    <w:tr2bl w:val="nil"/>
                  </w:tcBorders>
                  <w:vAlign w:val="center"/>
                </w:tcPr>
                <w:p w14:paraId="2468A8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400</w:t>
                  </w:r>
                </w:p>
              </w:tc>
              <w:tc>
                <w:tcPr>
                  <w:tcW w:w="439" w:type="pct"/>
                  <w:tcBorders>
                    <w:tl2br w:val="nil"/>
                    <w:tr2bl w:val="nil"/>
                  </w:tcBorders>
                  <w:vAlign w:val="center"/>
                </w:tcPr>
                <w:p w14:paraId="27AC3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45*</w:t>
                  </w:r>
                </w:p>
              </w:tc>
              <w:tc>
                <w:tcPr>
                  <w:tcW w:w="405" w:type="pct"/>
                  <w:tcBorders>
                    <w:tl2br w:val="nil"/>
                    <w:tr2bl w:val="nil"/>
                  </w:tcBorders>
                  <w:vAlign w:val="center"/>
                </w:tcPr>
                <w:p w14:paraId="31649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8*</w:t>
                  </w:r>
                </w:p>
              </w:tc>
              <w:tc>
                <w:tcPr>
                  <w:tcW w:w="422" w:type="pct"/>
                  <w:tcBorders>
                    <w:tl2br w:val="nil"/>
                    <w:tr2bl w:val="nil"/>
                  </w:tcBorders>
                  <w:vAlign w:val="center"/>
                </w:tcPr>
                <w:p w14:paraId="695A7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20</w:t>
                  </w:r>
                </w:p>
              </w:tc>
              <w:tc>
                <w:tcPr>
                  <w:tcW w:w="422" w:type="pct"/>
                  <w:tcBorders>
                    <w:tl2br w:val="nil"/>
                    <w:tr2bl w:val="nil"/>
                  </w:tcBorders>
                  <w:vAlign w:val="center"/>
                </w:tcPr>
                <w:p w14:paraId="69260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5000个/L</w:t>
                  </w:r>
                </w:p>
              </w:tc>
              <w:tc>
                <w:tcPr>
                  <w:tcW w:w="455" w:type="pct"/>
                  <w:tcBorders>
                    <w:tl2br w:val="nil"/>
                    <w:tr2bl w:val="nil"/>
                  </w:tcBorders>
                  <w:vAlign w:val="center"/>
                </w:tcPr>
                <w:p w14:paraId="64D42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&gt;2（接触时间≥1h）</w:t>
                  </w:r>
                </w:p>
              </w:tc>
            </w:tr>
            <w:tr w14:paraId="09516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3008B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《医疗废水排放标准》（GB18466-2005）</w:t>
                  </w:r>
                </w:p>
                <w:p w14:paraId="5BA29D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表2预处理标准</w:t>
                  </w:r>
                </w:p>
              </w:tc>
              <w:tc>
                <w:tcPr>
                  <w:tcW w:w="421" w:type="pct"/>
                  <w:tcBorders>
                    <w:tl2br w:val="nil"/>
                    <w:tr2bl w:val="nil"/>
                  </w:tcBorders>
                  <w:vAlign w:val="center"/>
                </w:tcPr>
                <w:p w14:paraId="64047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1" w:type="pct"/>
                  <w:tcBorders>
                    <w:tl2br w:val="nil"/>
                    <w:tr2bl w:val="nil"/>
                  </w:tcBorders>
                  <w:vAlign w:val="center"/>
                </w:tcPr>
                <w:p w14:paraId="1557B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35" w:type="pct"/>
                  <w:tcBorders>
                    <w:tl2br w:val="nil"/>
                    <w:tr2bl w:val="nil"/>
                  </w:tcBorders>
                  <w:vAlign w:val="center"/>
                </w:tcPr>
                <w:p w14:paraId="6D162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12" w:type="pct"/>
                  <w:tcBorders>
                    <w:tl2br w:val="nil"/>
                    <w:tr2bl w:val="nil"/>
                  </w:tcBorders>
                  <w:vAlign w:val="center"/>
                </w:tcPr>
                <w:p w14:paraId="74B7D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39" w:type="pct"/>
                  <w:tcBorders>
                    <w:tl2br w:val="nil"/>
                    <w:tr2bl w:val="nil"/>
                  </w:tcBorders>
                  <w:vAlign w:val="center"/>
                </w:tcPr>
                <w:p w14:paraId="201F25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05" w:type="pct"/>
                  <w:tcBorders>
                    <w:tl2br w:val="nil"/>
                    <w:tr2bl w:val="nil"/>
                  </w:tcBorders>
                  <w:vAlign w:val="center"/>
                </w:tcPr>
                <w:p w14:paraId="250BD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2" w:type="pct"/>
                  <w:tcBorders>
                    <w:tl2br w:val="nil"/>
                    <w:tr2bl w:val="nil"/>
                  </w:tcBorders>
                  <w:vAlign w:val="center"/>
                </w:tcPr>
                <w:p w14:paraId="7DAA0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tc>
              <w:tc>
                <w:tcPr>
                  <w:tcW w:w="422" w:type="pct"/>
                  <w:tcBorders>
                    <w:tl2br w:val="nil"/>
                    <w:tr2bl w:val="nil"/>
                  </w:tcBorders>
                  <w:vAlign w:val="center"/>
                </w:tcPr>
                <w:p w14:paraId="43CD7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5000个/L</w:t>
                  </w:r>
                </w:p>
              </w:tc>
              <w:tc>
                <w:tcPr>
                  <w:tcW w:w="455" w:type="pct"/>
                  <w:tcBorders>
                    <w:tl2br w:val="nil"/>
                    <w:tr2bl w:val="nil"/>
                  </w:tcBorders>
                  <w:vAlign w:val="center"/>
                </w:tcPr>
                <w:p w14:paraId="0C87A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2~8</w:t>
                  </w:r>
                  <w:r>
                    <w:rPr>
                      <w:rFonts w:hint="default" w:ascii="Times New Roman" w:hAnsi="Times New Roman" w:cs="Times New Roman"/>
                      <w:b w:val="0"/>
                      <w:bCs w:val="0"/>
                      <w:color w:val="000000" w:themeColor="text1"/>
                      <w:kern w:val="0"/>
                      <w:sz w:val="21"/>
                      <w:szCs w:val="21"/>
                      <w:highlight w:val="none"/>
                      <w:vertAlign w:val="superscript"/>
                      <w:lang w:val="en-US" w:eastAsia="zh-CN"/>
                      <w14:textFill>
                        <w14:solidFill>
                          <w14:schemeClr w14:val="tx1"/>
                        </w14:solidFill>
                      </w14:textFill>
                    </w:rPr>
                    <w:t>③</w:t>
                  </w:r>
                </w:p>
              </w:tc>
            </w:tr>
            <w:tr w14:paraId="2F54E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474DD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彩云湖污水处理厂出水水质标准</w:t>
                  </w:r>
                </w:p>
              </w:tc>
              <w:tc>
                <w:tcPr>
                  <w:tcW w:w="421" w:type="pct"/>
                  <w:tcBorders>
                    <w:tl2br w:val="nil"/>
                    <w:tr2bl w:val="nil"/>
                  </w:tcBorders>
                  <w:vAlign w:val="center"/>
                </w:tcPr>
                <w:p w14:paraId="706BD9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6~9</w:t>
                  </w:r>
                </w:p>
              </w:tc>
              <w:tc>
                <w:tcPr>
                  <w:tcW w:w="421" w:type="pct"/>
                  <w:tcBorders>
                    <w:tl2br w:val="nil"/>
                    <w:tr2bl w:val="nil"/>
                  </w:tcBorders>
                  <w:vAlign w:val="center"/>
                </w:tcPr>
                <w:p w14:paraId="210E28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30</w:t>
                  </w:r>
                </w:p>
              </w:tc>
              <w:tc>
                <w:tcPr>
                  <w:tcW w:w="435" w:type="pct"/>
                  <w:tcBorders>
                    <w:tl2br w:val="nil"/>
                    <w:tr2bl w:val="nil"/>
                  </w:tcBorders>
                  <w:vAlign w:val="center"/>
                </w:tcPr>
                <w:p w14:paraId="1F715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w:t>
                  </w:r>
                </w:p>
              </w:tc>
              <w:tc>
                <w:tcPr>
                  <w:tcW w:w="412" w:type="pct"/>
                  <w:tcBorders>
                    <w:tl2br w:val="nil"/>
                    <w:tr2bl w:val="nil"/>
                  </w:tcBorders>
                  <w:vAlign w:val="center"/>
                </w:tcPr>
                <w:p w14:paraId="044425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w:t>
                  </w:r>
                </w:p>
              </w:tc>
              <w:tc>
                <w:tcPr>
                  <w:tcW w:w="439" w:type="pct"/>
                  <w:tcBorders>
                    <w:tl2br w:val="nil"/>
                    <w:tr2bl w:val="nil"/>
                  </w:tcBorders>
                  <w:vAlign w:val="center"/>
                </w:tcPr>
                <w:p w14:paraId="2FCCF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1.5</w:t>
                  </w:r>
                </w:p>
              </w:tc>
              <w:tc>
                <w:tcPr>
                  <w:tcW w:w="405" w:type="pct"/>
                  <w:tcBorders>
                    <w:tl2br w:val="nil"/>
                    <w:tr2bl w:val="nil"/>
                  </w:tcBorders>
                  <w:vAlign w:val="center"/>
                </w:tcPr>
                <w:p w14:paraId="0500A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0.3</w:t>
                  </w:r>
                </w:p>
              </w:tc>
              <w:tc>
                <w:tcPr>
                  <w:tcW w:w="422" w:type="pct"/>
                  <w:tcBorders>
                    <w:tl2br w:val="nil"/>
                    <w:tr2bl w:val="nil"/>
                  </w:tcBorders>
                  <w:vAlign w:val="center"/>
                </w:tcPr>
                <w:p w14:paraId="5D9767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0.5</w:t>
                  </w:r>
                </w:p>
              </w:tc>
              <w:tc>
                <w:tcPr>
                  <w:tcW w:w="422" w:type="pct"/>
                  <w:tcBorders>
                    <w:tl2br w:val="nil"/>
                    <w:tr2bl w:val="nil"/>
                  </w:tcBorders>
                  <w:vAlign w:val="center"/>
                </w:tcPr>
                <w:p w14:paraId="18F02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1000个/L</w:t>
                  </w:r>
                </w:p>
              </w:tc>
              <w:tc>
                <w:tcPr>
                  <w:tcW w:w="455" w:type="pct"/>
                  <w:tcBorders>
                    <w:tl2br w:val="nil"/>
                    <w:tr2bl w:val="nil"/>
                  </w:tcBorders>
                  <w:vAlign w:val="center"/>
                </w:tcPr>
                <w:p w14:paraId="2F9BB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r>
            <w:tr w14:paraId="52C0E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vAlign w:val="center"/>
                </w:tcPr>
                <w:p w14:paraId="25FA5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注：①*：氨氮、TP 执行《污水排入城镇下水道水质标准》（GB/T31962-2015）B级标</w:t>
                  </w:r>
                </w:p>
                <w:p w14:paraId="7B6366B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准</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202AF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②括号外数值为水温&gt;12℃时的控制指标，括号内数值为水温&lt;12℃时的控制指标</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01248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③注：含氯消毒剂消毒的工艺控制要求为：排放标准：消毒接触池接触时间≥1h，接触池出口总余氯3~10mgL。预处理标准：消毒接触池接触时间</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不</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小于1h，接触池出口总余氯2~8mg/L。采用其他消毒剂对总余氯不做要求。</w:t>
                  </w:r>
                </w:p>
              </w:tc>
            </w:tr>
          </w:tbl>
          <w:p w14:paraId="0D9FD46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3.3.3 噪声标准</w:t>
            </w:r>
          </w:p>
          <w:p w14:paraId="62546E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cs="Times New Roman"/>
                <w:b w:val="0"/>
                <w:bCs w:val="0"/>
                <w:color w:val="000000" w:themeColor="text1"/>
                <w:kern w:val="0"/>
                <w:sz w:val="24"/>
                <w:szCs w:val="24"/>
                <w:lang w:val="en-US" w:eastAsia="zh-CN"/>
                <w14:textFill>
                  <w14:solidFill>
                    <w14:schemeClr w14:val="tx1"/>
                  </w14:solidFill>
                </w14:textFill>
              </w:rPr>
              <w:t>项目位</w:t>
            </w:r>
            <w:r>
              <w:rPr>
                <w:rFonts w:hint="default" w:cs="Times New Roman"/>
                <w:b w:val="0"/>
                <w:bCs w:val="0"/>
                <w:color w:val="000000" w:themeColor="text1"/>
                <w:kern w:val="0"/>
                <w:sz w:val="24"/>
                <w:szCs w:val="24"/>
                <w:highlight w:val="none"/>
                <w:lang w:val="en-US" w:eastAsia="zh-CN"/>
                <w14:textFill>
                  <w14:solidFill>
                    <w14:schemeClr w14:val="tx1"/>
                  </w14:solidFill>
                </w14:textFill>
              </w:rPr>
              <w:t>于</w:t>
            </w:r>
            <w:r>
              <w:rPr>
                <w:rFonts w:hint="eastAsia" w:cs="Times New Roman"/>
                <w:b w:val="0"/>
                <w:bCs/>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cs="Times New Roman"/>
                <w:b w:val="0"/>
                <w:bCs w:val="0"/>
                <w:color w:val="000000" w:themeColor="text1"/>
                <w:kern w:val="0"/>
                <w:sz w:val="24"/>
                <w:szCs w:val="24"/>
                <w:lang w:val="en-US" w:eastAsia="zh-CN"/>
                <w14:textFill>
                  <w14:solidFill>
                    <w14:schemeClr w14:val="tx1"/>
                  </w14:solidFill>
                </w14:textFill>
              </w:rPr>
              <w:t>项目所在区域为</w:t>
            </w:r>
            <w:r>
              <w:rPr>
                <w:rFonts w:hint="eastAsia" w:cs="Times New Roman"/>
                <w:b w:val="0"/>
                <w:bCs w:val="0"/>
                <w:color w:val="000000" w:themeColor="text1"/>
                <w:kern w:val="0"/>
                <w:sz w:val="24"/>
                <w:szCs w:val="24"/>
                <w:lang w:val="en-US" w:eastAsia="zh-CN"/>
                <w14:textFill>
                  <w14:solidFill>
                    <w14:schemeClr w14:val="tx1"/>
                  </w14:solidFill>
                </w14:textFill>
              </w:rPr>
              <w:t>2</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，北厂界靠近火炬大道为4a</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，旁边学校属于1</w:t>
            </w:r>
            <w:r>
              <w:rPr>
                <w:rFonts w:hint="default" w:cs="Times New Roman"/>
                <w:b w:val="0"/>
                <w:bCs w:val="0"/>
                <w:color w:val="000000" w:themeColor="text1"/>
                <w:kern w:val="0"/>
                <w:sz w:val="24"/>
                <w:szCs w:val="24"/>
                <w:lang w:val="en-US" w:eastAsia="zh-CN"/>
                <w14:textFill>
                  <w14:solidFill>
                    <w14:schemeClr w14:val="tx1"/>
                  </w14:solidFill>
                </w14:textFill>
              </w:rPr>
              <w:t>类声环境功能区</w:t>
            </w:r>
            <w:r>
              <w:rPr>
                <w:rFonts w:hint="eastAsia" w:cs="Times New Roman"/>
                <w:b w:val="0"/>
                <w:bCs w:val="0"/>
                <w:color w:val="000000" w:themeColor="text1"/>
                <w:kern w:val="0"/>
                <w:sz w:val="24"/>
                <w:szCs w:val="24"/>
                <w:lang w:val="en-US" w:eastAsia="zh-CN"/>
                <w14:textFill>
                  <w14:solidFill>
                    <w14:schemeClr w14:val="tx1"/>
                  </w14:solidFill>
                </w14:textFill>
              </w:rPr>
              <w:t>。</w:t>
            </w:r>
          </w:p>
          <w:p w14:paraId="4BF20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表3.3-6噪声排放限值 单位：dB（A）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814"/>
              <w:gridCol w:w="1671"/>
              <w:gridCol w:w="1671"/>
              <w:gridCol w:w="1671"/>
            </w:tblGrid>
            <w:tr w14:paraId="16539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tcBorders>
                    <w:tl2br w:val="nil"/>
                    <w:tr2bl w:val="nil"/>
                  </w:tcBorders>
                  <w:vAlign w:val="center"/>
                </w:tcPr>
                <w:p w14:paraId="5B059F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执行标准</w:t>
                  </w:r>
                </w:p>
              </w:tc>
              <w:tc>
                <w:tcPr>
                  <w:tcW w:w="1000" w:type="pct"/>
                  <w:tcBorders>
                    <w:tl2br w:val="nil"/>
                    <w:tr2bl w:val="nil"/>
                  </w:tcBorders>
                  <w:vAlign w:val="center"/>
                </w:tcPr>
                <w:p w14:paraId="188068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昼间</w:t>
                  </w:r>
                </w:p>
              </w:tc>
              <w:tc>
                <w:tcPr>
                  <w:tcW w:w="1000" w:type="pct"/>
                  <w:tcBorders>
                    <w:tl2br w:val="nil"/>
                    <w:tr2bl w:val="nil"/>
                  </w:tcBorders>
                  <w:vAlign w:val="center"/>
                </w:tcPr>
                <w:p w14:paraId="0D6AC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夜间</w:t>
                  </w:r>
                </w:p>
              </w:tc>
              <w:tc>
                <w:tcPr>
                  <w:tcW w:w="1000" w:type="pct"/>
                  <w:tcBorders>
                    <w:tl2br w:val="nil"/>
                    <w:tr2bl w:val="nil"/>
                  </w:tcBorders>
                  <w:vAlign w:val="center"/>
                </w:tcPr>
                <w:p w14:paraId="12BBE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执行阶段</w:t>
                  </w:r>
                </w:p>
              </w:tc>
            </w:tr>
            <w:tr w14:paraId="5C03F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restart"/>
                  <w:tcBorders>
                    <w:tl2br w:val="nil"/>
                    <w:tr2bl w:val="nil"/>
                  </w:tcBorders>
                  <w:vAlign w:val="center"/>
                </w:tcPr>
                <w:p w14:paraId="00904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《工业企业场界环境噪声排放标准》（GB12348-2008）</w:t>
                  </w:r>
                </w:p>
              </w:tc>
              <w:tc>
                <w:tcPr>
                  <w:tcW w:w="487" w:type="pct"/>
                  <w:tcBorders>
                    <w:tl2br w:val="nil"/>
                    <w:tr2bl w:val="nil"/>
                  </w:tcBorders>
                  <w:vAlign w:val="center"/>
                </w:tcPr>
                <w:p w14:paraId="09085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2类</w:t>
                  </w:r>
                </w:p>
              </w:tc>
              <w:tc>
                <w:tcPr>
                  <w:tcW w:w="1000" w:type="pct"/>
                  <w:tcBorders>
                    <w:tl2br w:val="nil"/>
                    <w:tr2bl w:val="nil"/>
                  </w:tcBorders>
                  <w:vAlign w:val="center"/>
                </w:tcPr>
                <w:p w14:paraId="4AD15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60</w:t>
                  </w:r>
                </w:p>
              </w:tc>
              <w:tc>
                <w:tcPr>
                  <w:tcW w:w="1000" w:type="pct"/>
                  <w:tcBorders>
                    <w:tl2br w:val="nil"/>
                    <w:tr2bl w:val="nil"/>
                  </w:tcBorders>
                  <w:vAlign w:val="center"/>
                </w:tcPr>
                <w:p w14:paraId="1EF59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50</w:t>
                  </w:r>
                </w:p>
              </w:tc>
              <w:tc>
                <w:tcPr>
                  <w:tcW w:w="1000" w:type="pct"/>
                  <w:tcBorders>
                    <w:tl2br w:val="nil"/>
                    <w:tr2bl w:val="nil"/>
                  </w:tcBorders>
                  <w:vAlign w:val="center"/>
                </w:tcPr>
                <w:p w14:paraId="576E9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r w14:paraId="22937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continue"/>
                  <w:tcBorders>
                    <w:tl2br w:val="nil"/>
                    <w:tr2bl w:val="nil"/>
                  </w:tcBorders>
                  <w:vAlign w:val="center"/>
                </w:tcPr>
                <w:p w14:paraId="2C366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487" w:type="pct"/>
                  <w:tcBorders>
                    <w:tl2br w:val="nil"/>
                    <w:tr2bl w:val="nil"/>
                  </w:tcBorders>
                  <w:vAlign w:val="center"/>
                </w:tcPr>
                <w:p w14:paraId="713F3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1类</w:t>
                  </w:r>
                </w:p>
              </w:tc>
              <w:tc>
                <w:tcPr>
                  <w:tcW w:w="1000" w:type="pct"/>
                  <w:tcBorders>
                    <w:tl2br w:val="nil"/>
                    <w:tr2bl w:val="nil"/>
                  </w:tcBorders>
                  <w:vAlign w:val="center"/>
                </w:tcPr>
                <w:p w14:paraId="7EFAE5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55</w:t>
                  </w:r>
                </w:p>
              </w:tc>
              <w:tc>
                <w:tcPr>
                  <w:tcW w:w="1000" w:type="pct"/>
                  <w:tcBorders>
                    <w:tl2br w:val="nil"/>
                    <w:tr2bl w:val="nil"/>
                  </w:tcBorders>
                  <w:vAlign w:val="center"/>
                </w:tcPr>
                <w:p w14:paraId="18AC2D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45</w:t>
                  </w:r>
                </w:p>
              </w:tc>
              <w:tc>
                <w:tcPr>
                  <w:tcW w:w="1000" w:type="pct"/>
                  <w:tcBorders>
                    <w:tl2br w:val="nil"/>
                    <w:tr2bl w:val="nil"/>
                  </w:tcBorders>
                  <w:vAlign w:val="center"/>
                </w:tcPr>
                <w:p w14:paraId="0B8FF8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r w14:paraId="63943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vMerge w:val="continue"/>
                  <w:tcBorders>
                    <w:tl2br w:val="nil"/>
                    <w:tr2bl w:val="nil"/>
                  </w:tcBorders>
                  <w:vAlign w:val="center"/>
                </w:tcPr>
                <w:p w14:paraId="10A72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487" w:type="pct"/>
                  <w:tcBorders>
                    <w:tl2br w:val="nil"/>
                    <w:tr2bl w:val="nil"/>
                  </w:tcBorders>
                  <w:vAlign w:val="center"/>
                </w:tcPr>
                <w:p w14:paraId="28288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4类</w:t>
                  </w:r>
                </w:p>
              </w:tc>
              <w:tc>
                <w:tcPr>
                  <w:tcW w:w="1671" w:type="dxa"/>
                  <w:tcBorders>
                    <w:tl2br w:val="nil"/>
                    <w:tr2bl w:val="nil"/>
                  </w:tcBorders>
                  <w:vAlign w:val="center"/>
                </w:tcPr>
                <w:p w14:paraId="25A3D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70</w:t>
                  </w:r>
                </w:p>
              </w:tc>
              <w:tc>
                <w:tcPr>
                  <w:tcW w:w="1671" w:type="dxa"/>
                  <w:tcBorders>
                    <w:tl2br w:val="nil"/>
                    <w:tr2bl w:val="nil"/>
                  </w:tcBorders>
                  <w:vAlign w:val="center"/>
                </w:tcPr>
                <w:p w14:paraId="51E10B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55</w:t>
                  </w:r>
                </w:p>
              </w:tc>
              <w:tc>
                <w:tcPr>
                  <w:tcW w:w="1000" w:type="pct"/>
                  <w:tcBorders>
                    <w:tl2br w:val="nil"/>
                    <w:tr2bl w:val="nil"/>
                  </w:tcBorders>
                  <w:vAlign w:val="center"/>
                </w:tcPr>
                <w:p w14:paraId="23F4A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营运期</w:t>
                  </w:r>
                </w:p>
              </w:tc>
            </w:tr>
          </w:tbl>
          <w:p w14:paraId="099203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3.3.4 固废</w:t>
            </w:r>
          </w:p>
          <w:p w14:paraId="391F65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一般固体废物：根据《一般工业固体废物贮存和填埋污染控制标准》（GB 18599-2020）中要求，“采用库房、包装工具（罐、桶、包装袋等）贮存一般工业固体废物过程的污染控制，不适用（GB 18599-2020）标准，贮存过程中应满足相应的防渗漏、防雨淋、防扬尘等环境保护要求”</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一般固体废物分类执行《固体废物分类与代码目录》（2024）相关要求。</w:t>
            </w:r>
          </w:p>
          <w:p w14:paraId="32F369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危险废物：《医疗卫生机构医疗废物管理办法》、《医疗废物集中处置技术规范》（环发</w:t>
            </w:r>
            <w:r>
              <w:rPr>
                <w:rFonts w:hint="eastAsia" w:cs="Times New Roman"/>
                <w:b w:val="0"/>
                <w:bCs w:val="0"/>
                <w:color w:val="000000" w:themeColor="text1"/>
                <w:kern w:val="0"/>
                <w:sz w:val="24"/>
                <w:szCs w:val="24"/>
                <w:highlight w:val="none"/>
                <w:lang w:val="en-US" w:eastAsia="zh-CN"/>
                <w14:textFill>
                  <w14:solidFill>
                    <w14:schemeClr w14:val="tx1"/>
                  </w14:solidFill>
                </w14:textFill>
              </w:rPr>
              <w:t>〔2003〕206号</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）、《医疗废物专用包装袋、容器和警示标志标准》（HJ421-2008）、《危险废物贮存污染控制标准》（GB18597-2023）。</w:t>
            </w:r>
          </w:p>
          <w:p w14:paraId="282F1A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动物尸体和动物病理组织：《中华人民共和国动物防疫法》（2021年）、《重庆市动物防疫条例》。</w:t>
            </w:r>
          </w:p>
          <w:p w14:paraId="2BFA68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FF0000"/>
                <w:kern w:val="0"/>
                <w:sz w:val="24"/>
                <w:szCs w:val="24"/>
                <w:highlight w:val="none"/>
                <w:lang w:val="en-US" w:eastAsia="zh-CN"/>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生活垃圾实行分类收集，由环卫部门统一收集处置</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tc>
      </w:tr>
      <w:tr w14:paraId="06ED5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5" w:hRule="atLeast"/>
          <w:jc w:val="center"/>
        </w:trPr>
        <w:tc>
          <w:tcPr>
            <w:tcW w:w="426" w:type="dxa"/>
            <w:noWrap w:val="0"/>
            <w:vAlign w:val="center"/>
          </w:tcPr>
          <w:p w14:paraId="2D01A95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w:t>
            </w:r>
          </w:p>
          <w:p w14:paraId="77AE434D">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控制</w:t>
            </w:r>
          </w:p>
          <w:p w14:paraId="4361F65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指标</w:t>
            </w:r>
          </w:p>
        </w:tc>
        <w:tc>
          <w:tcPr>
            <w:tcW w:w="8600" w:type="dxa"/>
            <w:noWrap w:val="0"/>
            <w:vAlign w:val="center"/>
          </w:tcPr>
          <w:p w14:paraId="072080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依据国家关于污染物排放执行总量控制的有关规定，结合项目的排污特点，项目污染物总量控制指标如下：</w:t>
            </w:r>
          </w:p>
          <w:p w14:paraId="25E55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表3.3-7项目总量控制指标  单位：t/a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2955"/>
              <w:gridCol w:w="4182"/>
            </w:tblGrid>
            <w:tr w14:paraId="34597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tcBorders>
                    <w:tl2br w:val="nil"/>
                    <w:tr2bl w:val="nil"/>
                  </w:tcBorders>
                  <w:vAlign w:val="center"/>
                </w:tcPr>
                <w:p w14:paraId="44ADD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类别</w:t>
                  </w:r>
                </w:p>
              </w:tc>
              <w:tc>
                <w:tcPr>
                  <w:tcW w:w="1768" w:type="pct"/>
                  <w:tcBorders>
                    <w:tl2br w:val="nil"/>
                    <w:tr2bl w:val="nil"/>
                  </w:tcBorders>
                  <w:vAlign w:val="center"/>
                </w:tcPr>
                <w:p w14:paraId="579816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污染因子</w:t>
                  </w:r>
                </w:p>
              </w:tc>
              <w:tc>
                <w:tcPr>
                  <w:tcW w:w="2502" w:type="pct"/>
                  <w:tcBorders>
                    <w:tl2br w:val="nil"/>
                    <w:tr2bl w:val="nil"/>
                  </w:tcBorders>
                  <w:vAlign w:val="center"/>
                </w:tcPr>
                <w:p w14:paraId="4C31CE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项目排放量</w:t>
                  </w:r>
                </w:p>
              </w:tc>
            </w:tr>
            <w:tr w14:paraId="7282C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restart"/>
                  <w:tcBorders>
                    <w:tl2br w:val="nil"/>
                    <w:tr2bl w:val="nil"/>
                  </w:tcBorders>
                  <w:vAlign w:val="center"/>
                </w:tcPr>
                <w:p w14:paraId="5B0F9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废水</w:t>
                  </w:r>
                </w:p>
              </w:tc>
              <w:tc>
                <w:tcPr>
                  <w:tcW w:w="1768" w:type="pct"/>
                  <w:tcBorders>
                    <w:tl2br w:val="nil"/>
                    <w:tr2bl w:val="nil"/>
                  </w:tcBorders>
                  <w:vAlign w:val="center"/>
                </w:tcPr>
                <w:p w14:paraId="2AC3F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COD</w:t>
                  </w:r>
                </w:p>
              </w:tc>
              <w:tc>
                <w:tcPr>
                  <w:tcW w:w="2502" w:type="pct"/>
                  <w:tcBorders>
                    <w:tl2br w:val="nil"/>
                    <w:tr2bl w:val="nil"/>
                  </w:tcBorders>
                  <w:vAlign w:val="center"/>
                </w:tcPr>
                <w:p w14:paraId="3E1BB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4FAB6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tcBorders>
                    <w:tl2br w:val="nil"/>
                    <w:tr2bl w:val="nil"/>
                  </w:tcBorders>
                  <w:vAlign w:val="center"/>
                </w:tcPr>
                <w:p w14:paraId="24517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p>
              </w:tc>
              <w:tc>
                <w:tcPr>
                  <w:tcW w:w="1768" w:type="pct"/>
                  <w:tcBorders>
                    <w:tl2br w:val="nil"/>
                    <w:tr2bl w:val="nil"/>
                  </w:tcBorders>
                  <w:vAlign w:val="center"/>
                </w:tcPr>
                <w:p w14:paraId="3CE00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氨氮</w:t>
                  </w:r>
                </w:p>
              </w:tc>
              <w:tc>
                <w:tcPr>
                  <w:tcW w:w="2502" w:type="pct"/>
                  <w:tcBorders>
                    <w:tl2br w:val="nil"/>
                    <w:tr2bl w:val="nil"/>
                  </w:tcBorders>
                  <w:vAlign w:val="center"/>
                </w:tcPr>
                <w:p w14:paraId="23F2E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r>
          </w:tbl>
          <w:p w14:paraId="3FEDC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p>
        </w:tc>
      </w:tr>
    </w:tbl>
    <w:p w14:paraId="49A99748">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FF0000"/>
          <w:sz w:val="36"/>
          <w:szCs w:val="36"/>
          <w:highlight w:val="none"/>
        </w:rPr>
        <w:br w:type="page"/>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506"/>
      </w:tblGrid>
      <w:tr w14:paraId="68DBD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402" w:type="dxa"/>
            <w:noWrap w:val="0"/>
            <w:tcMar>
              <w:left w:w="28" w:type="dxa"/>
              <w:right w:w="28" w:type="dxa"/>
            </w:tcMar>
            <w:vAlign w:val="center"/>
          </w:tcPr>
          <w:p w14:paraId="03E370C3">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施工</w:t>
            </w:r>
          </w:p>
          <w:p w14:paraId="354068E0">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期环</w:t>
            </w:r>
          </w:p>
          <w:p w14:paraId="213C9030">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境保</w:t>
            </w:r>
          </w:p>
          <w:p w14:paraId="24E82DCA">
            <w:pPr>
              <w:pStyle w:val="16"/>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护措</w:t>
            </w:r>
          </w:p>
          <w:p w14:paraId="748331E7">
            <w:pPr>
              <w:pStyle w:val="16"/>
              <w:adjustRightInd w:val="0"/>
              <w:snapToGrid w:val="0"/>
              <w:spacing w:before="0" w:beforeAutospacing="0" w:after="0" w:afterAutospacing="0"/>
              <w:jc w:val="center"/>
              <w:rPr>
                <w:rFonts w:hint="default" w:ascii="Times New Roman" w:hAnsi="Times New Roman" w:cs="Times New Roman"/>
                <w:bCs/>
                <w:color w:val="FF0000"/>
                <w:kern w:val="2"/>
                <w:sz w:val="21"/>
                <w:szCs w:val="21"/>
                <w:highlight w:val="none"/>
              </w:rPr>
            </w:pPr>
            <w:r>
              <w:rPr>
                <w:rFonts w:hint="default" w:ascii="Times New Roman" w:hAnsi="Times New Roman" w:cs="Times New Roman"/>
                <w:color w:val="000000" w:themeColor="text1"/>
                <w:kern w:val="2"/>
                <w:sz w:val="21"/>
                <w:szCs w:val="21"/>
                <w:highlight w:val="none"/>
                <w14:textFill>
                  <w14:solidFill>
                    <w14:schemeClr w14:val="tx1"/>
                  </w14:solidFill>
                </w14:textFill>
              </w:rPr>
              <w:t>施</w:t>
            </w:r>
          </w:p>
        </w:tc>
        <w:tc>
          <w:tcPr>
            <w:tcW w:w="8506" w:type="dxa"/>
            <w:noWrap w:val="0"/>
            <w:vAlign w:val="center"/>
          </w:tcPr>
          <w:p w14:paraId="778BDDA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4.1施工期环境影响及保护措施</w:t>
            </w:r>
          </w:p>
          <w:p w14:paraId="171CD9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FF0000"/>
                <w:spacing w:val="-10"/>
                <w:szCs w:val="21"/>
                <w:highlight w:val="none"/>
              </w:rPr>
            </w:pPr>
            <w:r>
              <w:rPr>
                <w:rFonts w:hint="eastAsia"/>
                <w:color w:val="000000" w:themeColor="text1"/>
                <w:sz w:val="24"/>
                <w:szCs w:val="24"/>
                <w14:textFill>
                  <w14:solidFill>
                    <w14:schemeClr w14:val="tx1"/>
                  </w14:solidFill>
                </w14:textFill>
              </w:rPr>
              <w:t>本次建设仅在手术室新增部分医疗设备，医疗设备购置入场后即可完成安装调试，施工期很短，对外环境的影响很小。故本次环评不对施工期环境影响进行评价</w:t>
            </w:r>
            <w:r>
              <w:rPr>
                <w:color w:val="000000" w:themeColor="text1"/>
                <w:spacing w:val="-1"/>
                <w:sz w:val="24"/>
                <w:szCs w:val="24"/>
                <w14:textFill>
                  <w14:solidFill>
                    <w14:schemeClr w14:val="tx1"/>
                  </w14:solidFill>
                </w14:textFill>
              </w:rPr>
              <w:t>。</w:t>
            </w:r>
          </w:p>
        </w:tc>
      </w:tr>
      <w:tr w14:paraId="1BD46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402" w:type="dxa"/>
            <w:noWrap w:val="0"/>
            <w:tcMar>
              <w:left w:w="28" w:type="dxa"/>
              <w:right w:w="28" w:type="dxa"/>
            </w:tcMar>
            <w:vAlign w:val="center"/>
          </w:tcPr>
          <w:p w14:paraId="667A458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793CA2F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5847367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27423695">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531A6AB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22D5C8A9">
            <w:pPr>
              <w:adjustRightInd w:val="0"/>
              <w:snapToGrid w:val="0"/>
              <w:jc w:val="center"/>
              <w:rPr>
                <w:rFonts w:hint="default" w:ascii="Times New Roman" w:hAnsi="Times New Roman" w:cs="Times New Roman"/>
                <w:bCs/>
                <w:color w:val="FF0000"/>
                <w:szCs w:val="21"/>
                <w:highlight w:val="none"/>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8506" w:type="dxa"/>
            <w:noWrap w:val="0"/>
            <w:vAlign w:val="center"/>
          </w:tcPr>
          <w:p w14:paraId="04676B7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2运营</w:t>
            </w: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期环境影响及保护措施</w:t>
            </w:r>
          </w:p>
          <w:p w14:paraId="4051766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4.2.1废气环境影响和保护措施</w:t>
            </w:r>
          </w:p>
          <w:p w14:paraId="637256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项目不设置食堂，</w:t>
            </w:r>
            <w:r>
              <w:rPr>
                <w:rFonts w:hint="eastAsia" w:cs="Times New Roman"/>
                <w:b w:val="0"/>
                <w:bCs/>
                <w:color w:val="000000" w:themeColor="text1"/>
                <w:spacing w:val="0"/>
                <w:sz w:val="24"/>
                <w:szCs w:val="24"/>
                <w:highlight w:val="none"/>
                <w:lang w:val="en-US" w:eastAsia="zh-CN"/>
                <w14:textFill>
                  <w14:solidFill>
                    <w14:schemeClr w14:val="tx1"/>
                  </w14:solidFill>
                </w14:textFill>
              </w:rPr>
              <w:t>就餐区仅为外购餐食就餐，</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不涉及餐饮油烟。项目废气主要为宠物的排泄物所产生的臭味、医废间异味和宠物自身产生的少量异味、酒精挥发废气及</w:t>
            </w:r>
            <w:r>
              <w:rPr>
                <w:rFonts w:hint="eastAsia" w:cs="Times New Roman"/>
                <w:b w:val="0"/>
                <w:bCs/>
                <w:color w:val="000000" w:themeColor="text1"/>
                <w:spacing w:val="0"/>
                <w:sz w:val="24"/>
                <w:szCs w:val="24"/>
                <w:highlight w:val="no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异味。</w:t>
            </w:r>
          </w:p>
          <w:p w14:paraId="5FE0A8E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宠物的排泄物所产生的臭味及宠物自身的异味</w:t>
            </w:r>
          </w:p>
          <w:p w14:paraId="24C02D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宠物医院在猫笼内设置有猫砂盒或用于收集猫粪和猫尿，狗笼内设置排便与排尿盒，项目接诊的宠物产生</w:t>
            </w:r>
            <w:r>
              <w:rPr>
                <w:rFonts w:hint="default" w:ascii="Times New Roman" w:hAnsi="Times New Roman" w:eastAsia="宋体" w:cs="Times New Roman"/>
                <w:b w:val="0"/>
                <w:bCs/>
                <w:color w:val="000000" w:themeColor="text1"/>
                <w:spacing w:val="0"/>
                <w:kern w:val="3"/>
                <w:sz w:val="24"/>
                <w:szCs w:val="24"/>
                <w:highlight w:val="none"/>
                <w14:textFill>
                  <w14:solidFill>
                    <w14:schemeClr w14:val="tx1"/>
                  </w14:solidFill>
                </w14:textFill>
              </w:rPr>
              <w:t>的</w:t>
            </w:r>
            <w:r>
              <w:rPr>
                <w:rFonts w:hint="default" w:ascii="Times New Roman" w:hAnsi="Times New Roman" w:eastAsia="宋体" w:cs="Times New Roman"/>
                <w:b w:val="0"/>
                <w:bCs/>
                <w:color w:val="000000" w:themeColor="text1"/>
                <w:spacing w:val="0"/>
                <w:kern w:val="3"/>
                <w:sz w:val="24"/>
                <w:szCs w:val="24"/>
                <w:highlight w:val="none"/>
                <w:lang w:val="en-US" w:eastAsia="zh-CN"/>
                <w14:textFill>
                  <w14:solidFill>
                    <w14:schemeClr w14:val="tx1"/>
                  </w14:solidFill>
                </w14:textFill>
              </w:rPr>
              <w:t>宠物</w:t>
            </w:r>
            <w:r>
              <w:rPr>
                <w:rFonts w:hint="default" w:ascii="Times New Roman" w:hAnsi="Times New Roman" w:eastAsia="宋体" w:cs="Times New Roman"/>
                <w:b w:val="0"/>
                <w:bCs/>
                <w:color w:val="000000" w:themeColor="text1"/>
                <w:spacing w:val="0"/>
                <w:kern w:val="3"/>
                <w:sz w:val="24"/>
                <w:szCs w:val="24"/>
                <w:highlight w:val="none"/>
                <w14:textFill>
                  <w14:solidFill>
                    <w14:schemeClr w14:val="tx1"/>
                  </w14:solidFill>
                </w14:textFill>
              </w:rPr>
              <w:t>排</w:t>
            </w: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泄物日常由专人及时进行更换清理。项目设置的住院病房通过空调系统通风换气</w:t>
            </w:r>
            <w:r>
              <w:rPr>
                <w:rFonts w:hint="eastAsia" w:cs="Times New Roman"/>
                <w:b w:val="0"/>
                <w:bCs/>
                <w:color w:val="000000" w:themeColor="text1"/>
                <w:spacing w:val="0"/>
                <w:kern w:val="3"/>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kern w:val="3"/>
                <w:sz w:val="24"/>
                <w:szCs w:val="24"/>
                <w:highlight w:val="none"/>
                <w14:textFill>
                  <w14:solidFill>
                    <w14:schemeClr w14:val="tx1"/>
                  </w14:solidFill>
                </w14:textFill>
              </w:rPr>
              <w:t>病房内设有紫外线灯管对病房进行消毒杀菌，同时每天使用84消毒液等对医院进行消毒，通过加强通风换气，可减少恶臭污染，对大气的影响较小。</w:t>
            </w:r>
          </w:p>
          <w:p w14:paraId="29150F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医废间异味</w:t>
            </w:r>
          </w:p>
          <w:p w14:paraId="41F0B8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本评价要求医疗废物采用专用的医废袋</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桶</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进行收集，当日无法清运则放置于医废间内，储存期不能超过两天。每天做好医疗废物的密封、清运和消毒工作，同时加强医疗废物管理，做好暂存间的地面防渗处理，做好暂存间的防鼠、防蚊蝇等措施，定期进行危废暂存间存储设施、设备的清洁和消毒工作</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消毒方式为喷洒消毒剂消毒</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w:t>
            </w:r>
          </w:p>
          <w:p w14:paraId="48577C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酒精挥发产生的废气</w:t>
            </w:r>
          </w:p>
          <w:p w14:paraId="056F1D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项目在诊疗过程中会使用酒精进行消毒，该过程会产生少量的有机废气，本次评价以非甲烷总烃计。非甲烷总烃产生量很小通过加强通风，对环境影响较小。</w:t>
            </w:r>
          </w:p>
          <w:p w14:paraId="180136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lang w:val="en-US" w:eastAsia="zh-CN"/>
              </w:rPr>
              <w:t>4</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异味</w:t>
            </w:r>
          </w:p>
          <w:p w14:paraId="6510C7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pacing w:val="0"/>
                <w:sz w:val="24"/>
                <w:szCs w:val="24"/>
                <w:highlight w:val="none"/>
              </w:rPr>
            </w:pPr>
            <w:r>
              <w:rPr>
                <w:rFonts w:hint="default" w:ascii="Times New Roman" w:hAnsi="Times New Roman" w:cs="Times New Roman"/>
                <w:b w:val="0"/>
                <w:bCs/>
                <w:color w:val="auto"/>
                <w:spacing w:val="0"/>
                <w:sz w:val="24"/>
                <w:szCs w:val="24"/>
                <w:highlight w:val="none"/>
              </w:rPr>
              <w:t>项目医疗废水采用</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处理，废水采用消毒</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二氧化氯</w:t>
            </w:r>
            <w:r>
              <w:rPr>
                <w:rFonts w:hint="default" w:ascii="Times New Roman" w:hAnsi="Times New Roman" w:cs="Times New Roman"/>
                <w:b w:val="0"/>
                <w:bCs/>
                <w:color w:val="auto"/>
                <w:spacing w:val="0"/>
                <w:sz w:val="24"/>
                <w:szCs w:val="24"/>
                <w:highlight w:val="none"/>
              </w:rPr>
              <w:t>消毒片</w:t>
            </w:r>
            <w:r>
              <w:rPr>
                <w:rFonts w:hint="eastAsia" w:cs="Times New Roman"/>
                <w:b w:val="0"/>
                <w:bCs/>
                <w:color w:val="auto"/>
                <w:spacing w:val="0"/>
                <w:sz w:val="24"/>
                <w:szCs w:val="24"/>
                <w:highlight w:val="none"/>
                <w:lang w:eastAsia="zh-CN"/>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auto"/>
                <w:spacing w:val="0"/>
                <w:sz w:val="24"/>
                <w:szCs w:val="24"/>
                <w:highlight w:val="none"/>
                <w:lang w:eastAsia="zh-CN"/>
              </w:rPr>
              <w:t>）</w:t>
            </w:r>
            <w:r>
              <w:rPr>
                <w:rFonts w:hint="eastAsia" w:cs="Times New Roman"/>
                <w:b w:val="0"/>
                <w:bCs/>
                <w:color w:val="auto"/>
                <w:spacing w:val="0"/>
                <w:sz w:val="24"/>
                <w:szCs w:val="24"/>
                <w:highlight w:val="none"/>
                <w:lang w:val="en-US" w:eastAsia="zh-CN"/>
              </w:rPr>
              <w:t>工艺处理</w:t>
            </w:r>
            <w:r>
              <w:rPr>
                <w:rFonts w:hint="default" w:ascii="Times New Roman" w:hAnsi="Times New Roman" w:cs="Times New Roman"/>
                <w:b w:val="0"/>
                <w:bCs/>
                <w:color w:val="auto"/>
                <w:spacing w:val="0"/>
                <w:sz w:val="24"/>
                <w:szCs w:val="24"/>
                <w:highlight w:val="none"/>
              </w:rPr>
              <w:t>。项目设置</w:t>
            </w:r>
            <w:r>
              <w:rPr>
                <w:rFonts w:hint="eastAsia" w:cs="Times New Roman"/>
                <w:b w:val="0"/>
                <w:bCs/>
                <w:color w:val="auto"/>
                <w:spacing w:val="0"/>
                <w:sz w:val="24"/>
                <w:szCs w:val="24"/>
                <w:highlight w:val="none"/>
                <w:lang w:val="en-US" w:eastAsia="zh-CN"/>
              </w:rPr>
              <w:t>有2</w:t>
            </w:r>
            <w:r>
              <w:rPr>
                <w:rFonts w:hint="default" w:ascii="Times New Roman" w:hAnsi="Times New Roman" w:cs="Times New Roman"/>
                <w:b w:val="0"/>
                <w:bCs/>
                <w:color w:val="auto"/>
                <w:spacing w:val="0"/>
                <w:sz w:val="24"/>
                <w:szCs w:val="24"/>
                <w:highlight w:val="none"/>
              </w:rPr>
              <w:t>台</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分别</w:t>
            </w:r>
            <w:r>
              <w:rPr>
                <w:rFonts w:hint="default" w:ascii="Times New Roman" w:hAnsi="Times New Roman" w:cs="Times New Roman"/>
                <w:b w:val="0"/>
                <w:bCs/>
                <w:color w:val="auto"/>
                <w:spacing w:val="0"/>
                <w:sz w:val="24"/>
                <w:szCs w:val="24"/>
                <w:highlight w:val="none"/>
              </w:rPr>
              <w:t>位于</w:t>
            </w:r>
            <w:r>
              <w:rPr>
                <w:rFonts w:hint="eastAsia" w:cs="Times New Roman"/>
                <w:b w:val="0"/>
                <w:bCs/>
                <w:color w:val="auto"/>
                <w:spacing w:val="0"/>
                <w:sz w:val="24"/>
                <w:szCs w:val="24"/>
                <w:highlight w:val="none"/>
                <w:lang w:val="en-US" w:eastAsia="zh-CN"/>
              </w:rPr>
              <w:t>中央处置台下方、手术室洗手台下方</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均</w:t>
            </w:r>
            <w:r>
              <w:rPr>
                <w:rFonts w:hint="default" w:ascii="Times New Roman" w:hAnsi="Times New Roman" w:cs="Times New Roman"/>
                <w:b w:val="0"/>
                <w:bCs/>
                <w:color w:val="auto"/>
                <w:spacing w:val="0"/>
                <w:sz w:val="24"/>
                <w:szCs w:val="24"/>
                <w:highlight w:val="none"/>
              </w:rPr>
              <w:t>位于室内。医疗废水在</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内停留时间较短，且</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密闭，则产生异味强度较小，因此不会对周边环境产生影响。本评价要求建设单位加强管理，确保</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异味不扰民。</w:t>
            </w:r>
          </w:p>
          <w:p w14:paraId="181E8B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cs="Times New Roman"/>
                <w:b w:val="0"/>
                <w:bCs/>
                <w:color w:val="auto"/>
                <w:spacing w:val="0"/>
                <w:sz w:val="24"/>
                <w:szCs w:val="24"/>
                <w:highlight w:val="none"/>
              </w:rPr>
              <w:t>综上所述，项目营运期室内空气经过</w:t>
            </w:r>
            <w:r>
              <w:rPr>
                <w:rFonts w:hint="eastAsia" w:cs="Times New Roman"/>
                <w:b w:val="0"/>
                <w:bCs/>
                <w:color w:val="auto"/>
                <w:spacing w:val="0"/>
                <w:sz w:val="24"/>
                <w:szCs w:val="24"/>
                <w:highlight w:val="none"/>
                <w:lang w:val="en-US" w:eastAsia="zh-CN"/>
              </w:rPr>
              <w:t>换气扇及</w:t>
            </w:r>
            <w:r>
              <w:rPr>
                <w:rFonts w:hint="default" w:ascii="Times New Roman" w:hAnsi="Times New Roman" w:cs="Times New Roman"/>
                <w:b w:val="0"/>
                <w:bCs/>
                <w:color w:val="auto"/>
                <w:spacing w:val="0"/>
                <w:sz w:val="24"/>
                <w:szCs w:val="24"/>
                <w:highlight w:val="none"/>
              </w:rPr>
              <w:t>空调系统加强通风、按时进行紫外线消毒后，能有效降低空气中的异味，对周围环境影响较小。</w:t>
            </w:r>
          </w:p>
          <w:p w14:paraId="10DCAC0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4.2.2 废水环境影响及保护措施</w:t>
            </w:r>
          </w:p>
          <w:p w14:paraId="020CCD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color w:val="000000" w:themeColor="text1"/>
                <w:spacing w:val="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4.2.2.1 废水产生源强</w:t>
            </w:r>
          </w:p>
          <w:p w14:paraId="3C0991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本项目</w:t>
            </w:r>
            <w:r>
              <w:rPr>
                <w:rFonts w:hint="default" w:ascii="Times New Roman" w:hAnsi="Times New Roman" w:cs="Times New Roman"/>
                <w:b w:val="0"/>
                <w:bCs/>
                <w:color w:val="auto"/>
                <w:spacing w:val="0"/>
                <w:sz w:val="24"/>
                <w:szCs w:val="24"/>
                <w:highlight w:val="none"/>
              </w:rPr>
              <w:t>设置</w:t>
            </w:r>
            <w:r>
              <w:rPr>
                <w:rFonts w:hint="eastAsia" w:cs="Times New Roman"/>
                <w:b w:val="0"/>
                <w:bCs/>
                <w:color w:val="auto"/>
                <w:spacing w:val="0"/>
                <w:sz w:val="24"/>
                <w:szCs w:val="24"/>
                <w:highlight w:val="none"/>
                <w:lang w:val="en-US" w:eastAsia="zh-CN"/>
              </w:rPr>
              <w:t>有2</w:t>
            </w:r>
            <w:r>
              <w:rPr>
                <w:rFonts w:hint="default" w:ascii="Times New Roman" w:hAnsi="Times New Roman" w:cs="Times New Roman"/>
                <w:b w:val="0"/>
                <w:bCs/>
                <w:color w:val="auto"/>
                <w:spacing w:val="0"/>
                <w:sz w:val="24"/>
                <w:szCs w:val="24"/>
                <w:highlight w:val="none"/>
              </w:rPr>
              <w:t>台</w:t>
            </w:r>
            <w:r>
              <w:rPr>
                <w:rFonts w:hint="eastAsia" w:cs="Times New Roman"/>
                <w:b w:val="0"/>
                <w:bCs/>
                <w:color w:val="auto"/>
                <w:spacing w:val="0"/>
                <w:sz w:val="24"/>
                <w:szCs w:val="24"/>
                <w:highlight w:val="none"/>
                <w:lang w:eastAsia="zh-CN"/>
              </w:rPr>
              <w:t>消毒设施</w:t>
            </w:r>
            <w:r>
              <w:rPr>
                <w:rFonts w:hint="default" w:ascii="Times New Roman" w:hAnsi="Times New Roman" w:cs="Times New Roman"/>
                <w:b w:val="0"/>
                <w:bCs/>
                <w:color w:val="auto"/>
                <w:spacing w:val="0"/>
                <w:sz w:val="24"/>
                <w:szCs w:val="24"/>
                <w:highlight w:val="none"/>
              </w:rPr>
              <w:t>，</w:t>
            </w:r>
            <w:r>
              <w:rPr>
                <w:rFonts w:hint="eastAsia" w:cs="Times New Roman"/>
                <w:b w:val="0"/>
                <w:bCs/>
                <w:color w:val="auto"/>
                <w:spacing w:val="0"/>
                <w:sz w:val="24"/>
                <w:szCs w:val="24"/>
                <w:highlight w:val="none"/>
                <w:lang w:val="en-US" w:eastAsia="zh-CN"/>
              </w:rPr>
              <w:t>分别</w:t>
            </w:r>
            <w:r>
              <w:rPr>
                <w:rFonts w:hint="default" w:ascii="Times New Roman" w:hAnsi="Times New Roman" w:cs="Times New Roman"/>
                <w:b w:val="0"/>
                <w:bCs/>
                <w:color w:val="auto"/>
                <w:spacing w:val="0"/>
                <w:sz w:val="24"/>
                <w:szCs w:val="24"/>
                <w:highlight w:val="none"/>
              </w:rPr>
              <w:t>位于</w:t>
            </w:r>
            <w:r>
              <w:rPr>
                <w:rFonts w:hint="eastAsia" w:cs="Times New Roman"/>
                <w:b w:val="0"/>
                <w:bCs/>
                <w:color w:val="auto"/>
                <w:spacing w:val="0"/>
                <w:sz w:val="24"/>
                <w:szCs w:val="24"/>
                <w:highlight w:val="none"/>
                <w:lang w:val="en-US" w:eastAsia="zh-CN"/>
              </w:rPr>
              <w:t>中央处置台下方、手术室洗手台下方，宠物笼清洗在中央处置台进行</w:t>
            </w:r>
            <w:r>
              <w:rPr>
                <w:rFonts w:hint="eastAsia" w:ascii="Times New Roman" w:hAnsi="Times New Roman" w:eastAsia="宋体" w:cs="Times New Roman"/>
                <w:b w:val="0"/>
                <w:bCs/>
                <w:color w:val="auto"/>
                <w:spacing w:val="0"/>
                <w:sz w:val="24"/>
                <w:szCs w:val="24"/>
                <w:highlight w:val="none"/>
                <w:lang w:val="en-US" w:eastAsia="zh-CN"/>
              </w:rPr>
              <w:t>。</w:t>
            </w:r>
          </w:p>
          <w:p w14:paraId="282B2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auto"/>
                <w:spacing w:val="0"/>
                <w:sz w:val="24"/>
                <w:szCs w:val="24"/>
                <w:highlight w:val="none"/>
              </w:rPr>
              <w:t>项目营运期废水主要是生活污水、医疗废水及</w:t>
            </w:r>
            <w:r>
              <w:rPr>
                <w:rFonts w:hint="eastAsia" w:ascii="Times New Roman" w:hAnsi="Times New Roman" w:cs="Times New Roman"/>
                <w:b w:val="0"/>
                <w:bCs/>
                <w:color w:val="auto"/>
                <w:spacing w:val="0"/>
                <w:sz w:val="24"/>
                <w:szCs w:val="24"/>
                <w:highlight w:val="none"/>
                <w:lang w:val="en-US" w:eastAsia="zh-CN"/>
              </w:rPr>
              <w:t>其他废水</w:t>
            </w:r>
            <w:r>
              <w:rPr>
                <w:rFonts w:hint="default" w:ascii="Times New Roman" w:hAnsi="Times New Roman" w:cs="Times New Roman"/>
                <w:b w:val="0"/>
                <w:bCs/>
                <w:color w:val="auto"/>
                <w:spacing w:val="0"/>
                <w:sz w:val="24"/>
                <w:szCs w:val="24"/>
                <w:highlight w:val="none"/>
              </w:rPr>
              <w:t>。生活污水包括职工生活污水、流动顾客废水</w:t>
            </w:r>
            <w:r>
              <w:rPr>
                <w:rFonts w:hint="eastAsia" w:cs="Times New Roman"/>
                <w:b w:val="0"/>
                <w:bCs/>
                <w:color w:val="auto"/>
                <w:spacing w:val="0"/>
                <w:sz w:val="24"/>
                <w:szCs w:val="24"/>
                <w:highlight w:val="none"/>
                <w:lang w:eastAsia="zh-CN"/>
              </w:rPr>
              <w:t>；</w:t>
            </w:r>
            <w:r>
              <w:rPr>
                <w:rFonts w:hint="default" w:ascii="Times New Roman" w:hAnsi="Times New Roman" w:cs="Times New Roman"/>
                <w:b w:val="0"/>
                <w:bCs/>
                <w:color w:val="auto"/>
                <w:spacing w:val="0"/>
                <w:sz w:val="24"/>
                <w:szCs w:val="24"/>
                <w:highlight w:val="none"/>
              </w:rPr>
              <w:t>医疗废水包括</w:t>
            </w:r>
            <w:r>
              <w:rPr>
                <w:rFonts w:hint="eastAsia" w:cs="Times New Roman"/>
                <w:b w:val="0"/>
                <w:bCs/>
                <w:color w:val="auto"/>
                <w:spacing w:val="0"/>
                <w:sz w:val="24"/>
                <w:szCs w:val="24"/>
                <w:highlight w:val="none"/>
                <w:lang w:eastAsia="zh-CN"/>
              </w:rPr>
              <w:t>化验废水</w:t>
            </w:r>
            <w:r>
              <w:rPr>
                <w:rFonts w:hint="default" w:ascii="Times New Roman" w:hAnsi="Times New Roman" w:cs="Times New Roman"/>
                <w:b w:val="0"/>
                <w:bCs/>
                <w:color w:val="auto"/>
                <w:spacing w:val="0"/>
                <w:sz w:val="24"/>
                <w:szCs w:val="24"/>
                <w:highlight w:val="none"/>
              </w:rPr>
              <w:t>、宠物笼清洗废水、手术器械清洗废水</w:t>
            </w:r>
            <w:r>
              <w:rPr>
                <w:rFonts w:hint="eastAsia" w:cs="Times New Roman"/>
                <w:b w:val="0"/>
                <w:bCs/>
                <w:color w:val="auto"/>
                <w:spacing w:val="0"/>
                <w:sz w:val="24"/>
                <w:szCs w:val="24"/>
                <w:highlight w:val="none"/>
                <w:lang w:eastAsia="zh-CN"/>
              </w:rPr>
              <w:t>；</w:t>
            </w:r>
            <w:r>
              <w:rPr>
                <w:rFonts w:hint="eastAsia" w:ascii="Times New Roman" w:hAnsi="Times New Roman" w:cs="Times New Roman"/>
                <w:b w:val="0"/>
                <w:bCs/>
                <w:color w:val="auto"/>
                <w:spacing w:val="0"/>
                <w:sz w:val="24"/>
                <w:szCs w:val="24"/>
                <w:highlight w:val="none"/>
                <w:lang w:val="en-US" w:eastAsia="zh-CN"/>
              </w:rPr>
              <w:t>其他废水包括工服清洗废水、宠物毛毯清洗废水</w:t>
            </w:r>
            <w:r>
              <w:rPr>
                <w:rFonts w:hint="default" w:ascii="Times New Roman" w:hAnsi="Times New Roman" w:cs="Times New Roman"/>
                <w:b w:val="0"/>
                <w:bCs/>
                <w:color w:val="auto"/>
                <w:spacing w:val="0"/>
                <w:sz w:val="24"/>
                <w:szCs w:val="24"/>
                <w:highlight w:val="none"/>
              </w:rPr>
              <w:t>、地面清洁废水</w:t>
            </w:r>
            <w:r>
              <w:rPr>
                <w:rFonts w:hint="eastAsia" w:ascii="Times New Roman" w:hAnsi="Times New Roman" w:cs="Times New Roman"/>
                <w:b w:val="0"/>
                <w:bCs/>
                <w:color w:val="auto"/>
                <w:spacing w:val="0"/>
                <w:sz w:val="24"/>
                <w:szCs w:val="24"/>
                <w:highlight w:val="none"/>
                <w:lang w:val="en-US" w:eastAsia="zh-CN"/>
              </w:rPr>
              <w:t>及美容废水。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本项目医疗废水水质参照《医院污水处理工程技术规范》</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HJ2029-2013</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中经验数据进行分析。其中COD</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250mg</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BOD</w:t>
            </w:r>
            <w:r>
              <w:rPr>
                <w:rFonts w:hint="eastAsia" w:ascii="Times New Roman" w:hAnsi="Times New Roman" w:cs="Times New Roman"/>
                <w:b w:val="0"/>
                <w:bCs/>
                <w:color w:val="000000" w:themeColor="text1"/>
                <w:spacing w:val="0"/>
                <w:sz w:val="24"/>
                <w:szCs w:val="24"/>
                <w:highlight w:val="none"/>
                <w:vertAlign w:val="subscript"/>
                <w:lang w:val="en-US" w:eastAsia="zh-CN"/>
                <w14:textFill>
                  <w14:solidFill>
                    <w14:schemeClr w14:val="tx1"/>
                  </w14:solidFill>
                </w14:textFill>
              </w:rPr>
              <w:t>5</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100mg</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SS</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80mg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NH</w:t>
            </w:r>
            <w:r>
              <w:rPr>
                <w:rFonts w:hint="default" w:ascii="Times New Roman" w:hAnsi="Times New Roman" w:cs="Times New Roman"/>
                <w:b w:val="0"/>
                <w:bCs/>
                <w:color w:val="000000" w:themeColor="text1"/>
                <w:spacing w:val="0"/>
                <w:sz w:val="24"/>
                <w:szCs w:val="24"/>
                <w:highlight w:val="none"/>
                <w:vertAlign w:val="subscript"/>
                <w14:textFill>
                  <w14:solidFill>
                    <w14:schemeClr w14:val="tx1"/>
                  </w14:solidFill>
                </w14:textFill>
              </w:rPr>
              <w:t>3</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-N</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30mg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L</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粪大肠菌群</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1.6</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10</w:t>
            </w:r>
            <w:r>
              <w:rPr>
                <w:rFonts w:hint="default" w:ascii="Times New Roman" w:hAnsi="Times New Roman" w:cs="Times New Roman"/>
                <w:b w:val="0"/>
                <w:bCs/>
                <w:color w:val="000000" w:themeColor="text1"/>
                <w:spacing w:val="0"/>
                <w:sz w:val="24"/>
                <w:szCs w:val="24"/>
                <w:highlight w:val="none"/>
                <w:vertAlign w:val="superscript"/>
                <w14:textFill>
                  <w14:solidFill>
                    <w14:schemeClr w14:val="tx1"/>
                  </w14:solidFill>
                </w14:textFill>
              </w:rPr>
              <w:t>8</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个</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/L</w:t>
            </w:r>
            <w:r>
              <w:rPr>
                <w:rFonts w:hint="eastAsia" w:cs="Times New Roman"/>
                <w:b w:val="0"/>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工服清洗</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及宠物毛毯清洗废水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中LAS指标</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参照</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《城市居民洗衣废水中水污染物排放量的测量》</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《资源节约与环保》2021年第5期 王洁屏</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中相关数据，LAS产生浓度33.4mg</w:t>
            </w:r>
            <w:r>
              <w:rPr>
                <w:rFonts w:hint="default"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/L</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w:t>
            </w:r>
          </w:p>
          <w:p w14:paraId="15A328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000000" w:themeColor="text1"/>
                <w:spacing w:val="0"/>
                <w:sz w:val="24"/>
                <w:szCs w:val="24"/>
                <w:highlight w:val="none"/>
                <w14:textFill>
                  <w14:solidFill>
                    <w14:schemeClr w14:val="tx1"/>
                  </w14:solidFill>
                </w14:textFill>
              </w:rPr>
            </w:pP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项目根据表2.8-1可知，医疗废水经</w:t>
            </w:r>
            <w:r>
              <w:rPr>
                <w:rFonts w:hint="eastAsia" w:cs="Times New Roman"/>
                <w:b w:val="0"/>
                <w:bCs/>
                <w:color w:val="000000" w:themeColor="text1"/>
                <w:spacing w:val="0"/>
                <w:sz w:val="24"/>
                <w:szCs w:val="24"/>
                <w:highlight w:val="none"/>
                <w:lang w:eastAsia="zh-CN"/>
                <w14:textFill>
                  <w14:solidFill>
                    <w14:schemeClr w14:val="tx1"/>
                  </w14:solidFill>
                </w14:textFill>
              </w:rPr>
              <w:t>消毒设施消毒</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本项目使用</w:t>
            </w:r>
            <w:r>
              <w:rPr>
                <w:rFonts w:hint="eastAsia" w:cs="Times New Roman"/>
                <w:b w:val="0"/>
                <w:bCs/>
                <w:color w:val="auto"/>
                <w:spacing w:val="0"/>
                <w:sz w:val="24"/>
                <w:szCs w:val="24"/>
                <w:highlight w:val="none"/>
                <w:lang w:val="en-US" w:eastAsia="zh-CN"/>
              </w:rPr>
              <w:t>二氧化氯</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消毒片</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美容洗浴废水经滤网过滤后</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与生活污水、</w:t>
            </w:r>
            <w:r>
              <w:rPr>
                <w:rFonts w:hint="eastAsia" w:ascii="Times New Roman" w:hAnsi="Times New Roman" w:cs="Times New Roman"/>
                <w:b w:val="0"/>
                <w:bCs/>
                <w:color w:val="000000" w:themeColor="text1"/>
                <w:spacing w:val="0"/>
                <w:sz w:val="24"/>
                <w:szCs w:val="24"/>
                <w:highlight w:val="none"/>
                <w:lang w:val="en-US" w:eastAsia="zh-CN"/>
                <w14:textFill>
                  <w14:solidFill>
                    <w14:schemeClr w14:val="tx1"/>
                  </w14:solidFill>
                </w14:textFill>
              </w:rPr>
              <w:t>其他废水</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一起进入</w:t>
            </w:r>
            <w:r>
              <w:rPr>
                <w:rFonts w:hint="eastAsia" w:cs="Times New Roman"/>
                <w:b w:val="0"/>
                <w:bCs/>
                <w:color w:val="000000" w:themeColor="text1"/>
                <w:spacing w:val="0"/>
                <w:sz w:val="24"/>
                <w:szCs w:val="24"/>
                <w:highlight w:val="none"/>
                <w:lang w:val="en-US" w:eastAsia="zh-CN"/>
                <w14:textFill>
                  <w14:solidFill>
                    <w14:schemeClr w14:val="tx1"/>
                  </w14:solidFill>
                </w14:textFill>
              </w:rPr>
              <w:t>弘悦101已建生化池</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，处理达《污水综合排放标准》</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GB8978-1996</w:t>
            </w:r>
            <w:r>
              <w:rPr>
                <w:rFonts w:hint="default" w:ascii="Times New Roman" w:hAnsi="Times New Roman" w:cs="Times New Roman"/>
                <w:b w:val="0"/>
                <w:bCs/>
                <w:color w:val="000000" w:themeColor="text1"/>
                <w:spacing w:val="0"/>
                <w:sz w:val="24"/>
                <w:szCs w:val="24"/>
                <w:highlight w:val="none"/>
                <w:lang w:eastAsia="zh-CN"/>
                <w14:textFill>
                  <w14:solidFill>
                    <w14:schemeClr w14:val="tx1"/>
                  </w14:solidFill>
                </w14:textFill>
              </w:rPr>
              <w:t>）</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三级标准，汇入市政污水管网进入</w:t>
            </w:r>
            <w:r>
              <w:rPr>
                <w:rFonts w:hint="eastAsia" w:cs="Times New Roman"/>
                <w:b w:val="0"/>
                <w:bCs/>
                <w:color w:val="000000" w:themeColor="text1"/>
                <w:spacing w:val="0"/>
                <w:sz w:val="24"/>
                <w:szCs w:val="24"/>
                <w:highlight w:val="none"/>
                <w:lang w:val="en-US" w:eastAsia="zh-CN"/>
                <w14:textFill>
                  <w14:solidFill>
                    <w14:schemeClr w14:val="tx1"/>
                  </w14:solidFill>
                </w14:textFill>
              </w:rPr>
              <w:t>彩云湖污水处理厂</w:t>
            </w:r>
            <w:r>
              <w:rPr>
                <w:rFonts w:hint="default" w:ascii="Times New Roman" w:hAnsi="Times New Roman" w:cs="Times New Roman"/>
                <w:b w:val="0"/>
                <w:bCs/>
                <w:color w:val="000000" w:themeColor="text1"/>
                <w:spacing w:val="0"/>
                <w:sz w:val="24"/>
                <w:szCs w:val="24"/>
                <w:highlight w:val="none"/>
                <w14:textFill>
                  <w14:solidFill>
                    <w14:schemeClr w14:val="tx1"/>
                  </w14:solidFill>
                </w14:textFill>
              </w:rPr>
              <w:t>进一步处理达彩云湖污水处理厂出水水质标准后作为彩云湖湿地公园和桃花溪景观补水，最终排入长江。项目污废水产生情况详见表4.2-1。</w:t>
            </w:r>
          </w:p>
          <w:p w14:paraId="794AF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spacing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14:textFill>
                  <w14:solidFill>
                    <w14:schemeClr w14:val="tx1"/>
                  </w14:solidFill>
                </w14:textFill>
              </w:rPr>
              <w:t>表4.2-1项目水污染物产生和排放情况</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600"/>
              <w:gridCol w:w="674"/>
              <w:gridCol w:w="1003"/>
              <w:gridCol w:w="872"/>
              <w:gridCol w:w="1003"/>
              <w:gridCol w:w="1363"/>
              <w:gridCol w:w="1004"/>
              <w:gridCol w:w="811"/>
            </w:tblGrid>
            <w:tr w14:paraId="1DC72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5B07C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排放源</w:t>
                  </w:r>
                </w:p>
              </w:tc>
              <w:tc>
                <w:tcPr>
                  <w:tcW w:w="363" w:type="pct"/>
                  <w:vMerge w:val="restart"/>
                  <w:tcBorders>
                    <w:tl2br w:val="nil"/>
                    <w:tr2bl w:val="nil"/>
                  </w:tcBorders>
                  <w:vAlign w:val="center"/>
                </w:tcPr>
                <w:p w14:paraId="5AAC1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产生量（m</w:t>
                  </w:r>
                  <w:r>
                    <w:rPr>
                      <w:rFonts w:hint="default" w:ascii="Times New Roman" w:hAnsi="Times New Roman" w:cs="Times New Roman"/>
                      <w:b w:val="0"/>
                      <w:bCs/>
                      <w:color w:val="auto"/>
                      <w:spacing w:val="0"/>
                      <w:sz w:val="21"/>
                      <w:szCs w:val="21"/>
                      <w:highlight w:val="none"/>
                      <w:vertAlign w:val="superscript"/>
                      <w:lang w:val="en-US" w:eastAsia="zh-CN"/>
                    </w:rPr>
                    <w:t>3</w:t>
                  </w:r>
                  <w:r>
                    <w:rPr>
                      <w:rFonts w:hint="default" w:ascii="Times New Roman" w:hAnsi="Times New Roman" w:cs="Times New Roman"/>
                      <w:b w:val="0"/>
                      <w:bCs/>
                      <w:color w:val="auto"/>
                      <w:spacing w:val="0"/>
                      <w:sz w:val="21"/>
                      <w:szCs w:val="21"/>
                      <w:highlight w:val="none"/>
                      <w:vertAlign w:val="baseline"/>
                      <w:lang w:val="en-US" w:eastAsia="zh-CN"/>
                    </w:rPr>
                    <w:t>/a）</w:t>
                  </w:r>
                </w:p>
              </w:tc>
              <w:tc>
                <w:tcPr>
                  <w:tcW w:w="408" w:type="pct"/>
                  <w:vMerge w:val="restart"/>
                  <w:tcBorders>
                    <w:tl2br w:val="nil"/>
                    <w:tr2bl w:val="nil"/>
                  </w:tcBorders>
                  <w:vAlign w:val="center"/>
                </w:tcPr>
                <w:p w14:paraId="0F58A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污染物</w:t>
                  </w:r>
                </w:p>
              </w:tc>
              <w:tc>
                <w:tcPr>
                  <w:tcW w:w="1135" w:type="pct"/>
                  <w:gridSpan w:val="2"/>
                  <w:tcBorders>
                    <w:tl2br w:val="nil"/>
                    <w:tr2bl w:val="nil"/>
                  </w:tcBorders>
                  <w:vAlign w:val="center"/>
                </w:tcPr>
                <w:p w14:paraId="0E5D1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产生情况</w:t>
                  </w:r>
                </w:p>
              </w:tc>
              <w:tc>
                <w:tcPr>
                  <w:tcW w:w="1432" w:type="pct"/>
                  <w:gridSpan w:val="2"/>
                  <w:tcBorders>
                    <w:tl2br w:val="nil"/>
                    <w:tr2bl w:val="nil"/>
                  </w:tcBorders>
                  <w:vAlign w:val="center"/>
                </w:tcPr>
                <w:p w14:paraId="0ECC05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处理后污染物情况</w:t>
                  </w:r>
                </w:p>
              </w:tc>
              <w:tc>
                <w:tcPr>
                  <w:tcW w:w="1097" w:type="pct"/>
                  <w:gridSpan w:val="2"/>
                  <w:tcBorders>
                    <w:tl2br w:val="nil"/>
                    <w:tr2bl w:val="nil"/>
                  </w:tcBorders>
                  <w:vAlign w:val="center"/>
                </w:tcPr>
                <w:p w14:paraId="307E7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rPr>
                    <w:t>排入环境《地表水环境质量标准》(GB3838-2002)准IV类</w:t>
                  </w:r>
                </w:p>
              </w:tc>
            </w:tr>
            <w:tr w14:paraId="13D23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8D0D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247F0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vMerge w:val="continue"/>
                  <w:tcBorders>
                    <w:tl2br w:val="nil"/>
                    <w:tr2bl w:val="nil"/>
                  </w:tcBorders>
                  <w:vAlign w:val="center"/>
                </w:tcPr>
                <w:p w14:paraId="5CFE2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607" w:type="pct"/>
                  <w:tcBorders>
                    <w:tl2br w:val="nil"/>
                    <w:tr2bl w:val="nil"/>
                  </w:tcBorders>
                  <w:vAlign w:val="center"/>
                </w:tcPr>
                <w:p w14:paraId="731FE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527" w:type="pct"/>
                  <w:tcBorders>
                    <w:tl2br w:val="nil"/>
                    <w:tr2bl w:val="nil"/>
                  </w:tcBorders>
                  <w:vAlign w:val="center"/>
                </w:tcPr>
                <w:p w14:paraId="1A491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产生量（t/a）</w:t>
                  </w:r>
                </w:p>
              </w:tc>
              <w:tc>
                <w:tcPr>
                  <w:tcW w:w="607" w:type="pct"/>
                  <w:tcBorders>
                    <w:tl2br w:val="nil"/>
                    <w:tr2bl w:val="nil"/>
                  </w:tcBorders>
                  <w:shd w:val="clear" w:color="auto" w:fill="auto"/>
                  <w:vAlign w:val="center"/>
                </w:tcPr>
                <w:p w14:paraId="685227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824" w:type="pct"/>
                  <w:tcBorders>
                    <w:tl2br w:val="nil"/>
                    <w:tr2bl w:val="nil"/>
                  </w:tcBorders>
                  <w:shd w:val="clear" w:color="auto" w:fill="auto"/>
                  <w:vAlign w:val="center"/>
                </w:tcPr>
                <w:p w14:paraId="1D7E88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排放量（t/a）</w:t>
                  </w:r>
                </w:p>
              </w:tc>
              <w:tc>
                <w:tcPr>
                  <w:tcW w:w="608" w:type="pct"/>
                  <w:tcBorders>
                    <w:tl2br w:val="nil"/>
                    <w:tr2bl w:val="nil"/>
                  </w:tcBorders>
                  <w:shd w:val="clear" w:color="auto" w:fill="auto"/>
                  <w:vAlign w:val="center"/>
                </w:tcPr>
                <w:p w14:paraId="4BCDA0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浓度（mg/L）</w:t>
                  </w:r>
                </w:p>
              </w:tc>
              <w:tc>
                <w:tcPr>
                  <w:tcW w:w="488" w:type="pct"/>
                  <w:tcBorders>
                    <w:tl2br w:val="nil"/>
                    <w:tr2bl w:val="nil"/>
                  </w:tcBorders>
                  <w:shd w:val="clear" w:color="auto" w:fill="auto"/>
                  <w:vAlign w:val="center"/>
                </w:tcPr>
                <w:p w14:paraId="507F6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排放量（t/a）</w:t>
                  </w:r>
                </w:p>
              </w:tc>
            </w:tr>
            <w:tr w14:paraId="7BF2F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4DAEFC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生活污水</w:t>
                  </w:r>
                </w:p>
              </w:tc>
              <w:tc>
                <w:tcPr>
                  <w:tcW w:w="363" w:type="pct"/>
                  <w:vMerge w:val="restart"/>
                  <w:tcBorders>
                    <w:tl2br w:val="nil"/>
                    <w:tr2bl w:val="nil"/>
                  </w:tcBorders>
                  <w:vAlign w:val="center"/>
                </w:tcPr>
                <w:p w14:paraId="7C5BF5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167.535</w:t>
                  </w:r>
                </w:p>
              </w:tc>
              <w:tc>
                <w:tcPr>
                  <w:tcW w:w="408" w:type="pct"/>
                  <w:tcBorders>
                    <w:tl2br w:val="nil"/>
                    <w:tr2bl w:val="nil"/>
                  </w:tcBorders>
                  <w:vAlign w:val="center"/>
                </w:tcPr>
                <w:p w14:paraId="14D2C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794F6F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872" w:type="dxa"/>
                  <w:tcBorders>
                    <w:tl2br w:val="nil"/>
                    <w:tr2bl w:val="nil"/>
                  </w:tcBorders>
                  <w:vAlign w:val="center"/>
                </w:tcPr>
                <w:p w14:paraId="3BD702F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1A1A04C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D9EAA1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D33B3E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709665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22C5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0383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5D06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D4F3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22AE9EB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2EF3454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0.067 </w:t>
                  </w:r>
                </w:p>
              </w:tc>
              <w:tc>
                <w:tcPr>
                  <w:tcW w:w="1003" w:type="dxa"/>
                  <w:tcBorders>
                    <w:tl2br w:val="nil"/>
                    <w:tr2bl w:val="nil"/>
                  </w:tcBorders>
                  <w:shd w:val="clear" w:color="auto" w:fill="auto"/>
                  <w:vAlign w:val="center"/>
                </w:tcPr>
                <w:p w14:paraId="286767A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3F6B5C1C">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7E3A93E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345B0A3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6C74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0116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10C7D7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65996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3E54E72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71E3FB6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0.059 </w:t>
                  </w:r>
                </w:p>
              </w:tc>
              <w:tc>
                <w:tcPr>
                  <w:tcW w:w="1003" w:type="dxa"/>
                  <w:tcBorders>
                    <w:tl2br w:val="nil"/>
                    <w:tr2bl w:val="nil"/>
                  </w:tcBorders>
                  <w:shd w:val="clear" w:color="auto" w:fill="auto"/>
                  <w:vAlign w:val="center"/>
                </w:tcPr>
                <w:p w14:paraId="1070F260">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49A226E4">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1701507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5F7B902B">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313F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4465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A447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2E9A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7E8D5B4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72" w:type="dxa"/>
                  <w:tcBorders>
                    <w:tl2br w:val="nil"/>
                    <w:tr2bl w:val="nil"/>
                  </w:tcBorders>
                  <w:vAlign w:val="center"/>
                </w:tcPr>
                <w:p w14:paraId="75611A7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003" w:type="dxa"/>
                  <w:tcBorders>
                    <w:tl2br w:val="nil"/>
                    <w:tr2bl w:val="nil"/>
                  </w:tcBorders>
                  <w:shd w:val="clear" w:color="auto" w:fill="auto"/>
                  <w:vAlign w:val="center"/>
                </w:tcPr>
                <w:p w14:paraId="45A1FB46">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683E358F">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712D5AD3">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352E1E3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24596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09D7E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4013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3485FB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30B07E4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28E58AD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0.059 </w:t>
                  </w:r>
                </w:p>
              </w:tc>
              <w:tc>
                <w:tcPr>
                  <w:tcW w:w="1003" w:type="dxa"/>
                  <w:tcBorders>
                    <w:tl2br w:val="nil"/>
                    <w:tr2bl w:val="nil"/>
                  </w:tcBorders>
                  <w:shd w:val="clear" w:color="auto" w:fill="auto"/>
                  <w:vAlign w:val="center"/>
                </w:tcPr>
                <w:p w14:paraId="0EE222D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7BF8171C">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69230D1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0CC41CC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1CACE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16D63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30BDA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564EF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61630F5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7734980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shd w:val="clear" w:color="auto" w:fill="auto"/>
                  <w:vAlign w:val="center"/>
                </w:tcPr>
                <w:p w14:paraId="55D1193F">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shd w:val="clear" w:color="auto" w:fill="auto"/>
                  <w:vAlign w:val="center"/>
                </w:tcPr>
                <w:p w14:paraId="1969FF6A">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60BDAE59">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shd w:val="clear" w:color="auto" w:fill="auto"/>
                  <w:vAlign w:val="center"/>
                </w:tcPr>
                <w:p w14:paraId="18F92C8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4E022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256C0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医疗废水</w:t>
                  </w:r>
                </w:p>
              </w:tc>
              <w:tc>
                <w:tcPr>
                  <w:tcW w:w="363" w:type="pct"/>
                  <w:vMerge w:val="restart"/>
                  <w:tcBorders>
                    <w:tl2br w:val="nil"/>
                    <w:tr2bl w:val="nil"/>
                  </w:tcBorders>
                  <w:vAlign w:val="center"/>
                </w:tcPr>
                <w:p w14:paraId="2971F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87.0525</w:t>
                  </w:r>
                </w:p>
              </w:tc>
              <w:tc>
                <w:tcPr>
                  <w:tcW w:w="408" w:type="pct"/>
                  <w:tcBorders>
                    <w:tl2br w:val="nil"/>
                    <w:tr2bl w:val="nil"/>
                  </w:tcBorders>
                  <w:shd w:val="clear" w:color="auto" w:fill="auto"/>
                  <w:vAlign w:val="center"/>
                </w:tcPr>
                <w:p w14:paraId="4D3B6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37D9633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4EE030EA">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4D4699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63DBDA6">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50478C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465167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0A31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D5E1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17BCD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73DF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24CC55D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872" w:type="dxa"/>
                  <w:tcBorders>
                    <w:tl2br w:val="nil"/>
                    <w:tr2bl w:val="nil"/>
                  </w:tcBorders>
                  <w:vAlign w:val="center"/>
                </w:tcPr>
                <w:p w14:paraId="789E37F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0.022 </w:t>
                  </w:r>
                </w:p>
              </w:tc>
              <w:tc>
                <w:tcPr>
                  <w:tcW w:w="1003" w:type="dxa"/>
                  <w:tcBorders>
                    <w:tl2br w:val="nil"/>
                    <w:tr2bl w:val="nil"/>
                  </w:tcBorders>
                  <w:vAlign w:val="center"/>
                </w:tcPr>
                <w:p w14:paraId="1F86E4D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0C4D4E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2CBCDB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652388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0ABB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BA7D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986A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76788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36ECB9B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872" w:type="dxa"/>
                  <w:tcBorders>
                    <w:tl2br w:val="nil"/>
                    <w:tr2bl w:val="nil"/>
                  </w:tcBorders>
                  <w:vAlign w:val="center"/>
                </w:tcPr>
                <w:p w14:paraId="708F334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 </w:t>
                  </w:r>
                </w:p>
              </w:tc>
              <w:tc>
                <w:tcPr>
                  <w:tcW w:w="1003" w:type="dxa"/>
                  <w:tcBorders>
                    <w:tl2br w:val="nil"/>
                    <w:tr2bl w:val="nil"/>
                  </w:tcBorders>
                  <w:vAlign w:val="center"/>
                </w:tcPr>
                <w:p w14:paraId="73B31E4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C37016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9AD1DC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E52B08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ABED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35270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66882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4C91B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3B2EFB0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72" w:type="dxa"/>
                  <w:tcBorders>
                    <w:tl2br w:val="nil"/>
                    <w:tr2bl w:val="nil"/>
                  </w:tcBorders>
                  <w:vAlign w:val="center"/>
                </w:tcPr>
                <w:p w14:paraId="3D255B8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4D35257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7FB7CA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FC4054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6C660C1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4779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5079E1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B749A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24886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35D8DDE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872" w:type="dxa"/>
                  <w:tcBorders>
                    <w:tl2br w:val="nil"/>
                    <w:tr2bl w:val="nil"/>
                  </w:tcBorders>
                  <w:vAlign w:val="center"/>
                </w:tcPr>
                <w:p w14:paraId="478ACFE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003" w:type="dxa"/>
                  <w:tcBorders>
                    <w:tl2br w:val="nil"/>
                    <w:tr2bl w:val="nil"/>
                  </w:tcBorders>
                  <w:vAlign w:val="center"/>
                </w:tcPr>
                <w:p w14:paraId="73ECAAB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37E8384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5BA8CC8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C60090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8C98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89F3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C23B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1B46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粪大肠菌群</w:t>
                  </w:r>
                </w:p>
              </w:tc>
              <w:tc>
                <w:tcPr>
                  <w:tcW w:w="1003" w:type="dxa"/>
                  <w:tcBorders>
                    <w:tl2br w:val="nil"/>
                    <w:tr2bl w:val="nil"/>
                  </w:tcBorders>
                  <w:vAlign w:val="center"/>
                </w:tcPr>
                <w:p w14:paraId="70C7FC5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872" w:type="dxa"/>
                  <w:tcBorders>
                    <w:tl2br w:val="nil"/>
                    <w:tr2bl w:val="nil"/>
                  </w:tcBorders>
                  <w:vAlign w:val="center"/>
                </w:tcPr>
                <w:p w14:paraId="5DF6EEB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Style w:val="64"/>
                      <w:rFonts w:eastAsia="宋体"/>
                      <w:color w:val="auto"/>
                      <w:lang w:val="en-US" w:eastAsia="zh-CN" w:bidi="ar"/>
                    </w:rPr>
                    <w:t>2×10</w:t>
                  </w:r>
                  <w:r>
                    <w:rPr>
                      <w:rFonts w:hint="default" w:ascii="Times New Roman" w:hAnsi="Times New Roman" w:eastAsia="宋体" w:cs="Times New Roman"/>
                      <w:i w:val="0"/>
                      <w:iCs w:val="0"/>
                      <w:color w:val="auto"/>
                      <w:kern w:val="0"/>
                      <w:sz w:val="21"/>
                      <w:szCs w:val="21"/>
                      <w:u w:val="none"/>
                      <w:vertAlign w:val="superscript"/>
                      <w:lang w:val="en-US" w:eastAsia="zh-CN" w:bidi="ar"/>
                    </w:rPr>
                    <w:t>13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003" w:type="dxa"/>
                  <w:tcBorders>
                    <w:tl2br w:val="nil"/>
                    <w:tr2bl w:val="nil"/>
                  </w:tcBorders>
                  <w:vAlign w:val="center"/>
                </w:tcPr>
                <w:p w14:paraId="10D941E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363" w:type="dxa"/>
                  <w:tcBorders>
                    <w:tl2br w:val="nil"/>
                    <w:tr2bl w:val="nil"/>
                  </w:tcBorders>
                  <w:vAlign w:val="center"/>
                </w:tcPr>
                <w:p w14:paraId="6512F78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r>
                    <w:rPr>
                      <w:rStyle w:val="64"/>
                      <w:rFonts w:eastAsia="宋体"/>
                      <w:color w:val="auto"/>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004" w:type="dxa"/>
                  <w:tcBorders>
                    <w:tl2br w:val="nil"/>
                    <w:tr2bl w:val="nil"/>
                  </w:tcBorders>
                  <w:vAlign w:val="center"/>
                </w:tcPr>
                <w:p w14:paraId="5FC5683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51FB35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A29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239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0A417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9992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总余氯</w:t>
                  </w:r>
                </w:p>
              </w:tc>
              <w:tc>
                <w:tcPr>
                  <w:tcW w:w="1003" w:type="dxa"/>
                  <w:tcBorders>
                    <w:tl2br w:val="nil"/>
                    <w:tr2bl w:val="nil"/>
                  </w:tcBorders>
                  <w:vAlign w:val="center"/>
                </w:tcPr>
                <w:p w14:paraId="0C611029">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72" w:type="dxa"/>
                  <w:tcBorders>
                    <w:tl2br w:val="nil"/>
                    <w:tr2bl w:val="nil"/>
                  </w:tcBorders>
                  <w:vAlign w:val="center"/>
                </w:tcPr>
                <w:p w14:paraId="342C422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1A2352E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63" w:type="dxa"/>
                  <w:tcBorders>
                    <w:tl2br w:val="nil"/>
                    <w:tr2bl w:val="nil"/>
                  </w:tcBorders>
                  <w:vAlign w:val="center"/>
                </w:tcPr>
                <w:p w14:paraId="74476B1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0.0002~0.0006</w:t>
                  </w:r>
                </w:p>
              </w:tc>
              <w:tc>
                <w:tcPr>
                  <w:tcW w:w="1004" w:type="dxa"/>
                  <w:tcBorders>
                    <w:tl2br w:val="nil"/>
                    <w:tr2bl w:val="nil"/>
                  </w:tcBorders>
                  <w:vAlign w:val="center"/>
                </w:tcPr>
                <w:p w14:paraId="4E209A3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469271E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DB38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restart"/>
                  <w:tcBorders>
                    <w:tl2br w:val="nil"/>
                    <w:tr2bl w:val="nil"/>
                  </w:tcBorders>
                  <w:vAlign w:val="center"/>
                </w:tcPr>
                <w:p w14:paraId="06508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地面清洁废水</w:t>
                  </w:r>
                </w:p>
              </w:tc>
              <w:tc>
                <w:tcPr>
                  <w:tcW w:w="363" w:type="pct"/>
                  <w:vMerge w:val="restart"/>
                  <w:tcBorders>
                    <w:tl2br w:val="nil"/>
                    <w:tr2bl w:val="nil"/>
                  </w:tcBorders>
                  <w:vAlign w:val="center"/>
                </w:tcPr>
                <w:p w14:paraId="4F4872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86.724</w:t>
                  </w:r>
                </w:p>
              </w:tc>
              <w:tc>
                <w:tcPr>
                  <w:tcW w:w="408" w:type="pct"/>
                  <w:tcBorders>
                    <w:tl2br w:val="nil"/>
                    <w:tr2bl w:val="nil"/>
                  </w:tcBorders>
                  <w:vAlign w:val="center"/>
                </w:tcPr>
                <w:p w14:paraId="1452AE5B">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snapToGrid w:val="0"/>
                      <w:color w:val="auto"/>
                      <w:kern w:val="2"/>
                      <w:sz w:val="21"/>
                      <w:szCs w:val="21"/>
                      <w:highlight w:val="none"/>
                      <w:lang w:val="en-US" w:eastAsia="zh-CN" w:bidi="ar-SA"/>
                    </w:rPr>
                    <w:t>pH</w:t>
                  </w:r>
                </w:p>
              </w:tc>
              <w:tc>
                <w:tcPr>
                  <w:tcW w:w="1003" w:type="dxa"/>
                  <w:tcBorders>
                    <w:tl2br w:val="nil"/>
                    <w:tr2bl w:val="nil"/>
                  </w:tcBorders>
                  <w:vAlign w:val="center"/>
                </w:tcPr>
                <w:p w14:paraId="064F3EE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43D856A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5F5A39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182FA29">
                  <w:pPr>
                    <w:keepNext w:val="0"/>
                    <w:keepLines w:val="0"/>
                    <w:widowControl/>
                    <w:suppressLineNumbers w:val="0"/>
                    <w:jc w:val="center"/>
                    <w:textAlignment w:val="center"/>
                    <w:rPr>
                      <w:rFonts w:hint="eastAsia"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54E1C34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7CE899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97EA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6770E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363" w:type="pct"/>
                  <w:vMerge w:val="continue"/>
                  <w:tcBorders>
                    <w:tl2br w:val="nil"/>
                    <w:tr2bl w:val="nil"/>
                  </w:tcBorders>
                  <w:vAlign w:val="center"/>
                </w:tcPr>
                <w:p w14:paraId="6CC81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408" w:type="pct"/>
                  <w:tcBorders>
                    <w:tl2br w:val="nil"/>
                    <w:tr2bl w:val="nil"/>
                  </w:tcBorders>
                  <w:vAlign w:val="center"/>
                </w:tcPr>
                <w:p w14:paraId="5A860EB7">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COD</w:t>
                  </w:r>
                </w:p>
              </w:tc>
              <w:tc>
                <w:tcPr>
                  <w:tcW w:w="1003" w:type="dxa"/>
                  <w:tcBorders>
                    <w:tl2br w:val="nil"/>
                    <w:tr2bl w:val="nil"/>
                  </w:tcBorders>
                  <w:vAlign w:val="center"/>
                </w:tcPr>
                <w:p w14:paraId="386F4A8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5B6D73C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c>
                <w:tcPr>
                  <w:tcW w:w="1003" w:type="dxa"/>
                  <w:tcBorders>
                    <w:tl2br w:val="nil"/>
                    <w:tr2bl w:val="nil"/>
                  </w:tcBorders>
                  <w:vAlign w:val="center"/>
                </w:tcPr>
                <w:p w14:paraId="2F8C1FB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292008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217549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2EA46E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6AB5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710E1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11632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216A492F">
                  <w:pPr>
                    <w:widowControl w:val="0"/>
                    <w:snapToGrid w:val="0"/>
                    <w:spacing w:line="240" w:lineRule="auto"/>
                    <w:ind w:firstLine="0" w:firstLineChars="0"/>
                    <w:jc w:val="center"/>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SS</w:t>
                  </w:r>
                </w:p>
              </w:tc>
              <w:tc>
                <w:tcPr>
                  <w:tcW w:w="1003" w:type="dxa"/>
                  <w:tcBorders>
                    <w:tl2br w:val="nil"/>
                    <w:tr2bl w:val="nil"/>
                  </w:tcBorders>
                  <w:vAlign w:val="center"/>
                </w:tcPr>
                <w:p w14:paraId="63B8B3F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72" w:type="dxa"/>
                  <w:tcBorders>
                    <w:tl2br w:val="nil"/>
                    <w:tr2bl w:val="nil"/>
                  </w:tcBorders>
                  <w:vAlign w:val="center"/>
                </w:tcPr>
                <w:p w14:paraId="5B5B635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0.030 </w:t>
                  </w:r>
                </w:p>
              </w:tc>
              <w:tc>
                <w:tcPr>
                  <w:tcW w:w="1003" w:type="dxa"/>
                  <w:tcBorders>
                    <w:tl2br w:val="nil"/>
                    <w:tr2bl w:val="nil"/>
                  </w:tcBorders>
                  <w:vAlign w:val="center"/>
                </w:tcPr>
                <w:p w14:paraId="6621FEB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665D6A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475C4F3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FA06A3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0E13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63" w:type="pct"/>
                  <w:vMerge w:val="continue"/>
                  <w:tcBorders>
                    <w:tl2br w:val="nil"/>
                    <w:tr2bl w:val="nil"/>
                  </w:tcBorders>
                  <w:vAlign w:val="center"/>
                </w:tcPr>
                <w:p w14:paraId="78BE7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08D97D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13F3C106">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1003" w:type="dxa"/>
                  <w:tcBorders>
                    <w:tl2br w:val="nil"/>
                    <w:tr2bl w:val="nil"/>
                  </w:tcBorders>
                  <w:vAlign w:val="center"/>
                </w:tcPr>
                <w:p w14:paraId="4F3EA21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2985813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c>
                <w:tcPr>
                  <w:tcW w:w="1003" w:type="dxa"/>
                  <w:tcBorders>
                    <w:tl2br w:val="nil"/>
                    <w:tr2bl w:val="nil"/>
                  </w:tcBorders>
                  <w:vAlign w:val="center"/>
                </w:tcPr>
                <w:p w14:paraId="0F0BC27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6BF42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C2C2D3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10597D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E079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restart"/>
                  <w:tcBorders>
                    <w:tl2br w:val="nil"/>
                    <w:tr2bl w:val="nil"/>
                  </w:tcBorders>
                  <w:vAlign w:val="center"/>
                </w:tcPr>
                <w:p w14:paraId="446845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美容洗浴废水</w:t>
                  </w:r>
                </w:p>
              </w:tc>
              <w:tc>
                <w:tcPr>
                  <w:tcW w:w="363" w:type="pct"/>
                  <w:vMerge w:val="restart"/>
                  <w:tcBorders>
                    <w:tl2br w:val="nil"/>
                    <w:tr2bl w:val="nil"/>
                  </w:tcBorders>
                  <w:vAlign w:val="center"/>
                </w:tcPr>
                <w:p w14:paraId="25E1D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65.7</w:t>
                  </w:r>
                </w:p>
              </w:tc>
              <w:tc>
                <w:tcPr>
                  <w:tcW w:w="408" w:type="pct"/>
                  <w:tcBorders>
                    <w:tl2br w:val="nil"/>
                    <w:tr2bl w:val="nil"/>
                  </w:tcBorders>
                  <w:vAlign w:val="center"/>
                </w:tcPr>
                <w:p w14:paraId="6816D6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A08714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7A0709B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7413ACA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9221CA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44CFFA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949F22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F472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5FDA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363" w:type="pct"/>
                  <w:vMerge w:val="continue"/>
                  <w:tcBorders>
                    <w:tl2br w:val="nil"/>
                    <w:tr2bl w:val="nil"/>
                  </w:tcBorders>
                  <w:vAlign w:val="center"/>
                </w:tcPr>
                <w:p w14:paraId="2BEC9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408" w:type="pct"/>
                  <w:tcBorders>
                    <w:tl2br w:val="nil"/>
                    <w:tr2bl w:val="nil"/>
                  </w:tcBorders>
                  <w:vAlign w:val="center"/>
                </w:tcPr>
                <w:p w14:paraId="2A853E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3FEFDDF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872" w:type="dxa"/>
                  <w:tcBorders>
                    <w:tl2br w:val="nil"/>
                    <w:tr2bl w:val="nil"/>
                  </w:tcBorders>
                  <w:vAlign w:val="center"/>
                </w:tcPr>
                <w:p w14:paraId="0CC7A35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 </w:t>
                  </w:r>
                </w:p>
              </w:tc>
              <w:tc>
                <w:tcPr>
                  <w:tcW w:w="1003" w:type="dxa"/>
                  <w:tcBorders>
                    <w:tl2br w:val="nil"/>
                    <w:tr2bl w:val="nil"/>
                  </w:tcBorders>
                  <w:vAlign w:val="center"/>
                </w:tcPr>
                <w:p w14:paraId="14321F0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3A48A9A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7DD174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B4E841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3896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230BD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47AD3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35C17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2CFD97D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872" w:type="dxa"/>
                  <w:tcBorders>
                    <w:tl2br w:val="nil"/>
                    <w:tr2bl w:val="nil"/>
                  </w:tcBorders>
                  <w:vAlign w:val="center"/>
                </w:tcPr>
                <w:p w14:paraId="3AEB7CF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0.046 </w:t>
                  </w:r>
                </w:p>
              </w:tc>
              <w:tc>
                <w:tcPr>
                  <w:tcW w:w="1003" w:type="dxa"/>
                  <w:tcBorders>
                    <w:tl2br w:val="nil"/>
                    <w:tr2bl w:val="nil"/>
                  </w:tcBorders>
                  <w:vAlign w:val="center"/>
                </w:tcPr>
                <w:p w14:paraId="23A5FE0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F0586B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789927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ABF145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1FB81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6D0B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7C9D3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0412A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73E09A7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72" w:type="dxa"/>
                  <w:tcBorders>
                    <w:tl2br w:val="nil"/>
                    <w:tr2bl w:val="nil"/>
                  </w:tcBorders>
                  <w:vAlign w:val="center"/>
                </w:tcPr>
                <w:p w14:paraId="3F85F6D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4A8FA76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5A40065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C7D819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762D88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6A4D6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693C6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62D03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712161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70C7188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72" w:type="dxa"/>
                  <w:tcBorders>
                    <w:tl2br w:val="nil"/>
                    <w:tr2bl w:val="nil"/>
                  </w:tcBorders>
                  <w:vAlign w:val="center"/>
                </w:tcPr>
                <w:p w14:paraId="4BE13DE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1003" w:type="dxa"/>
                  <w:tcBorders>
                    <w:tl2br w:val="nil"/>
                    <w:tr2bl w:val="nil"/>
                  </w:tcBorders>
                  <w:vAlign w:val="center"/>
                </w:tcPr>
                <w:p w14:paraId="65E7869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3CD7C41">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16AADCD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5E9F4A3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7E53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2AF95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6C7E7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15EB8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20C0BF2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07628A4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00AC161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47EBB24">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2300CC7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04A867C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3783A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563" w:type="pct"/>
                  <w:vMerge w:val="continue"/>
                  <w:tcBorders>
                    <w:tl2br w:val="nil"/>
                    <w:tr2bl w:val="nil"/>
                  </w:tcBorders>
                  <w:vAlign w:val="center"/>
                </w:tcPr>
                <w:p w14:paraId="01479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363" w:type="pct"/>
                  <w:vMerge w:val="continue"/>
                  <w:tcBorders>
                    <w:tl2br w:val="nil"/>
                    <w:tr2bl w:val="nil"/>
                  </w:tcBorders>
                  <w:vAlign w:val="center"/>
                </w:tcPr>
                <w:p w14:paraId="292E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p>
              </w:tc>
              <w:tc>
                <w:tcPr>
                  <w:tcW w:w="408" w:type="pct"/>
                  <w:tcBorders>
                    <w:tl2br w:val="nil"/>
                    <w:tr2bl w:val="nil"/>
                  </w:tcBorders>
                  <w:vAlign w:val="center"/>
                </w:tcPr>
                <w:p w14:paraId="3FA09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6AE43F7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tcBorders>
                    <w:tl2br w:val="nil"/>
                    <w:tr2bl w:val="nil"/>
                  </w:tcBorders>
                  <w:vAlign w:val="center"/>
                </w:tcPr>
                <w:p w14:paraId="6ED48F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5ADA687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C65875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654BA17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BBF1B15">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4A30F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07E3D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工服清洗</w:t>
                  </w:r>
                  <w:r>
                    <w:rPr>
                      <w:rFonts w:hint="eastAsia" w:cs="Times New Roman"/>
                      <w:b w:val="0"/>
                      <w:bCs/>
                      <w:color w:val="auto"/>
                      <w:spacing w:val="0"/>
                      <w:sz w:val="21"/>
                      <w:szCs w:val="21"/>
                      <w:highlight w:val="none"/>
                      <w:vertAlign w:val="baseline"/>
                      <w:lang w:val="en-US" w:eastAsia="zh-CN"/>
                    </w:rPr>
                    <w:t>、宠物毛毯清洗废水</w:t>
                  </w:r>
                </w:p>
              </w:tc>
              <w:tc>
                <w:tcPr>
                  <w:tcW w:w="363" w:type="pct"/>
                  <w:vMerge w:val="restart"/>
                  <w:tcBorders>
                    <w:tl2br w:val="nil"/>
                    <w:tr2bl w:val="nil"/>
                  </w:tcBorders>
                  <w:vAlign w:val="center"/>
                </w:tcPr>
                <w:p w14:paraId="300EB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78.84</w:t>
                  </w:r>
                </w:p>
              </w:tc>
              <w:tc>
                <w:tcPr>
                  <w:tcW w:w="408" w:type="pct"/>
                  <w:tcBorders>
                    <w:tl2br w:val="nil"/>
                    <w:tr2bl w:val="nil"/>
                  </w:tcBorders>
                  <w:shd w:val="clear" w:color="auto" w:fill="auto"/>
                  <w:vAlign w:val="center"/>
                </w:tcPr>
                <w:p w14:paraId="5FC193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A7959B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1484500A">
                  <w:pPr>
                    <w:keepNext w:val="0"/>
                    <w:keepLines w:val="0"/>
                    <w:widowControl/>
                    <w:suppressLineNumbers w:val="0"/>
                    <w:jc w:val="center"/>
                    <w:textAlignment w:val="center"/>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vAlign w:val="center"/>
                </w:tcPr>
                <w:p w14:paraId="029DAA63">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7194841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01E3B50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258810A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12CC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38DA35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02B88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18490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093E023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72" w:type="dxa"/>
                  <w:tcBorders>
                    <w:tl2br w:val="nil"/>
                    <w:tr2bl w:val="nil"/>
                  </w:tcBorders>
                  <w:vAlign w:val="center"/>
                </w:tcPr>
                <w:p w14:paraId="3EB9EEA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0.039 </w:t>
                  </w:r>
                </w:p>
              </w:tc>
              <w:tc>
                <w:tcPr>
                  <w:tcW w:w="1003" w:type="dxa"/>
                  <w:tcBorders>
                    <w:tl2br w:val="nil"/>
                    <w:tr2bl w:val="nil"/>
                  </w:tcBorders>
                  <w:vAlign w:val="center"/>
                </w:tcPr>
                <w:p w14:paraId="31BDED6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5F29B0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3B52898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13DC6AA0">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D02B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E96B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190A4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5CA50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0D5542C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72" w:type="dxa"/>
                  <w:tcBorders>
                    <w:tl2br w:val="nil"/>
                    <w:tr2bl w:val="nil"/>
                  </w:tcBorders>
                  <w:vAlign w:val="center"/>
                </w:tcPr>
                <w:p w14:paraId="59291BD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0.032 </w:t>
                  </w:r>
                </w:p>
              </w:tc>
              <w:tc>
                <w:tcPr>
                  <w:tcW w:w="1003" w:type="dxa"/>
                  <w:tcBorders>
                    <w:tl2br w:val="nil"/>
                    <w:tr2bl w:val="nil"/>
                  </w:tcBorders>
                  <w:vAlign w:val="center"/>
                </w:tcPr>
                <w:p w14:paraId="787A7D5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407C203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72E2AD1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31FBE67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883C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6B7016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3C9011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28C533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TP</w:t>
                  </w:r>
                </w:p>
              </w:tc>
              <w:tc>
                <w:tcPr>
                  <w:tcW w:w="1003" w:type="dxa"/>
                  <w:tcBorders>
                    <w:tl2br w:val="nil"/>
                    <w:tr2bl w:val="nil"/>
                  </w:tcBorders>
                  <w:vAlign w:val="center"/>
                </w:tcPr>
                <w:p w14:paraId="2D3EB2AA">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72" w:type="dxa"/>
                  <w:tcBorders>
                    <w:tl2br w:val="nil"/>
                    <w:tr2bl w:val="nil"/>
                  </w:tcBorders>
                  <w:vAlign w:val="center"/>
                </w:tcPr>
                <w:p w14:paraId="451272F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003" w:type="dxa"/>
                  <w:tcBorders>
                    <w:tl2br w:val="nil"/>
                    <w:tr2bl w:val="nil"/>
                  </w:tcBorders>
                  <w:vAlign w:val="center"/>
                </w:tcPr>
                <w:p w14:paraId="0B03A14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03FC7322">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3B13E276">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781CD2AF">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AE4E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36C9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C49C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48F5A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1FCB6AB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872" w:type="dxa"/>
                  <w:tcBorders>
                    <w:tl2br w:val="nil"/>
                    <w:tr2bl w:val="nil"/>
                  </w:tcBorders>
                  <w:vAlign w:val="center"/>
                </w:tcPr>
                <w:p w14:paraId="13DC79D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003" w:type="dxa"/>
                  <w:tcBorders>
                    <w:tl2br w:val="nil"/>
                    <w:tr2bl w:val="nil"/>
                  </w:tcBorders>
                  <w:vAlign w:val="center"/>
                </w:tcPr>
                <w:p w14:paraId="7A6B7CB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3" w:type="dxa"/>
                  <w:tcBorders>
                    <w:tl2br w:val="nil"/>
                    <w:tr2bl w:val="nil"/>
                  </w:tcBorders>
                  <w:vAlign w:val="center"/>
                </w:tcPr>
                <w:p w14:paraId="6FCA5309">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vAlign w:val="center"/>
                </w:tcPr>
                <w:p w14:paraId="6E1CF9C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11" w:type="dxa"/>
                  <w:tcBorders>
                    <w:tl2br w:val="nil"/>
                    <w:tr2bl w:val="nil"/>
                  </w:tcBorders>
                  <w:vAlign w:val="center"/>
                </w:tcPr>
                <w:p w14:paraId="5AF5CE2C">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A647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restart"/>
                  <w:tcBorders>
                    <w:tl2br w:val="nil"/>
                    <w:tr2bl w:val="nil"/>
                  </w:tcBorders>
                  <w:vAlign w:val="center"/>
                </w:tcPr>
                <w:p w14:paraId="0707B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综合废水</w:t>
                  </w:r>
                </w:p>
              </w:tc>
              <w:tc>
                <w:tcPr>
                  <w:tcW w:w="363" w:type="pct"/>
                  <w:vMerge w:val="restart"/>
                  <w:tcBorders>
                    <w:tl2br w:val="nil"/>
                    <w:tr2bl w:val="nil"/>
                  </w:tcBorders>
                  <w:vAlign w:val="center"/>
                </w:tcPr>
                <w:p w14:paraId="2CDF76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cs="Times New Roman"/>
                      <w:b w:val="0"/>
                      <w:bCs/>
                      <w:color w:val="auto"/>
                      <w:spacing w:val="0"/>
                      <w:sz w:val="21"/>
                      <w:szCs w:val="21"/>
                      <w:highlight w:val="none"/>
                      <w:vertAlign w:val="baseline"/>
                      <w:lang w:val="en-US" w:eastAsia="zh-CN"/>
                    </w:rPr>
                    <w:t>485.8515</w:t>
                  </w:r>
                </w:p>
              </w:tc>
              <w:tc>
                <w:tcPr>
                  <w:tcW w:w="408" w:type="pct"/>
                  <w:tcBorders>
                    <w:tl2br w:val="nil"/>
                    <w:tr2bl w:val="nil"/>
                  </w:tcBorders>
                  <w:shd w:val="clear" w:color="auto" w:fill="auto"/>
                  <w:vAlign w:val="center"/>
                </w:tcPr>
                <w:p w14:paraId="2226A6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pH</w:t>
                  </w:r>
                </w:p>
              </w:tc>
              <w:tc>
                <w:tcPr>
                  <w:tcW w:w="1003" w:type="dxa"/>
                  <w:tcBorders>
                    <w:tl2br w:val="nil"/>
                    <w:tr2bl w:val="nil"/>
                  </w:tcBorders>
                  <w:vAlign w:val="center"/>
                </w:tcPr>
                <w:p w14:paraId="79A4B99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2" w:type="dxa"/>
                  <w:tcBorders>
                    <w:tl2br w:val="nil"/>
                    <w:tr2bl w:val="nil"/>
                  </w:tcBorders>
                  <w:vAlign w:val="center"/>
                </w:tcPr>
                <w:p w14:paraId="7062C11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3" w:type="dxa"/>
                  <w:tcBorders>
                    <w:tl2br w:val="nil"/>
                    <w:tr2bl w:val="nil"/>
                  </w:tcBorders>
                  <w:shd w:val="clear" w:color="auto" w:fill="auto"/>
                  <w:vAlign w:val="center"/>
                </w:tcPr>
                <w:p w14:paraId="54F3C638">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63" w:type="dxa"/>
                  <w:tcBorders>
                    <w:tl2br w:val="nil"/>
                    <w:tr2bl w:val="nil"/>
                  </w:tcBorders>
                  <w:shd w:val="clear" w:color="auto" w:fill="auto"/>
                  <w:vAlign w:val="center"/>
                </w:tcPr>
                <w:p w14:paraId="266DE82B">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4" w:type="dxa"/>
                  <w:tcBorders>
                    <w:tl2br w:val="nil"/>
                    <w:tr2bl w:val="nil"/>
                  </w:tcBorders>
                  <w:shd w:val="clear" w:color="auto" w:fill="auto"/>
                  <w:vAlign w:val="center"/>
                </w:tcPr>
                <w:p w14:paraId="38B2A86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11" w:type="dxa"/>
                  <w:tcBorders>
                    <w:tl2br w:val="nil"/>
                    <w:tr2bl w:val="nil"/>
                  </w:tcBorders>
                  <w:shd w:val="clear" w:color="auto" w:fill="auto"/>
                  <w:vAlign w:val="center"/>
                </w:tcPr>
                <w:p w14:paraId="107CB6B5">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530A3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02E5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9DBE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3EFFA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COD</w:t>
                  </w:r>
                </w:p>
              </w:tc>
              <w:tc>
                <w:tcPr>
                  <w:tcW w:w="1003" w:type="dxa"/>
                  <w:tcBorders>
                    <w:tl2br w:val="nil"/>
                    <w:tr2bl w:val="nil"/>
                  </w:tcBorders>
                  <w:vAlign w:val="center"/>
                </w:tcPr>
                <w:p w14:paraId="67A48F1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872" w:type="dxa"/>
                  <w:tcBorders>
                    <w:tl2br w:val="nil"/>
                    <w:tr2bl w:val="nil"/>
                  </w:tcBorders>
                  <w:vAlign w:val="center"/>
                </w:tcPr>
                <w:p w14:paraId="6D0F6A4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0.202 </w:t>
                  </w:r>
                </w:p>
              </w:tc>
              <w:tc>
                <w:tcPr>
                  <w:tcW w:w="1003" w:type="dxa"/>
                  <w:tcBorders>
                    <w:tl2br w:val="nil"/>
                    <w:tr2bl w:val="nil"/>
                  </w:tcBorders>
                  <w:vAlign w:val="center"/>
                </w:tcPr>
                <w:p w14:paraId="01EEE2C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363" w:type="dxa"/>
                  <w:tcBorders>
                    <w:tl2br w:val="nil"/>
                    <w:tr2bl w:val="nil"/>
                  </w:tcBorders>
                  <w:vAlign w:val="center"/>
                </w:tcPr>
                <w:p w14:paraId="5ABF6A6D">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0.243 </w:t>
                  </w:r>
                </w:p>
              </w:tc>
              <w:tc>
                <w:tcPr>
                  <w:tcW w:w="1004" w:type="dxa"/>
                  <w:tcBorders>
                    <w:tl2br w:val="nil"/>
                    <w:tr2bl w:val="nil"/>
                  </w:tcBorders>
                  <w:vAlign w:val="center"/>
                </w:tcPr>
                <w:p w14:paraId="4C4C1F6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11" w:type="dxa"/>
                  <w:tcBorders>
                    <w:tl2br w:val="nil"/>
                    <w:tr2bl w:val="nil"/>
                  </w:tcBorders>
                  <w:vAlign w:val="center"/>
                </w:tcPr>
                <w:p w14:paraId="6ECCB52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43E31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06738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7DD5D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54D04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BOD</w:t>
                  </w:r>
                  <w:r>
                    <w:rPr>
                      <w:rFonts w:hint="default" w:ascii="Times New Roman" w:hAnsi="Times New Roman" w:cs="Times New Roman"/>
                      <w:b w:val="0"/>
                      <w:bCs/>
                      <w:color w:val="auto"/>
                      <w:spacing w:val="0"/>
                      <w:sz w:val="21"/>
                      <w:szCs w:val="21"/>
                      <w:highlight w:val="none"/>
                      <w:vertAlign w:val="subscript"/>
                      <w:lang w:val="en-US" w:eastAsia="zh-CN"/>
                    </w:rPr>
                    <w:t>5</w:t>
                  </w:r>
                </w:p>
              </w:tc>
              <w:tc>
                <w:tcPr>
                  <w:tcW w:w="1003" w:type="dxa"/>
                  <w:tcBorders>
                    <w:tl2br w:val="nil"/>
                    <w:tr2bl w:val="nil"/>
                  </w:tcBorders>
                  <w:vAlign w:val="center"/>
                </w:tcPr>
                <w:p w14:paraId="497C6BB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872" w:type="dxa"/>
                  <w:tcBorders>
                    <w:tl2br w:val="nil"/>
                    <w:tr2bl w:val="nil"/>
                  </w:tcBorders>
                  <w:vAlign w:val="center"/>
                </w:tcPr>
                <w:p w14:paraId="4E2D405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0.148 </w:t>
                  </w:r>
                </w:p>
              </w:tc>
              <w:tc>
                <w:tcPr>
                  <w:tcW w:w="1003" w:type="dxa"/>
                  <w:tcBorders>
                    <w:tl2br w:val="nil"/>
                    <w:tr2bl w:val="nil"/>
                  </w:tcBorders>
                  <w:vAlign w:val="center"/>
                </w:tcPr>
                <w:p w14:paraId="184EA3C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363" w:type="dxa"/>
                  <w:tcBorders>
                    <w:tl2br w:val="nil"/>
                    <w:tr2bl w:val="nil"/>
                  </w:tcBorders>
                  <w:vAlign w:val="center"/>
                </w:tcPr>
                <w:p w14:paraId="0DB5CB48">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0.146 </w:t>
                  </w:r>
                </w:p>
              </w:tc>
              <w:tc>
                <w:tcPr>
                  <w:tcW w:w="1004" w:type="dxa"/>
                  <w:tcBorders>
                    <w:tl2br w:val="nil"/>
                    <w:tr2bl w:val="nil"/>
                  </w:tcBorders>
                  <w:vAlign w:val="center"/>
                </w:tcPr>
                <w:p w14:paraId="01BF720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11" w:type="dxa"/>
                  <w:tcBorders>
                    <w:tl2br w:val="nil"/>
                    <w:tr2bl w:val="nil"/>
                  </w:tcBorders>
                  <w:vAlign w:val="center"/>
                </w:tcPr>
                <w:p w14:paraId="28B896A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028FC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41E0A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60D29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5D9FB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氨氮</w:t>
                  </w:r>
                </w:p>
              </w:tc>
              <w:tc>
                <w:tcPr>
                  <w:tcW w:w="1003" w:type="dxa"/>
                  <w:tcBorders>
                    <w:tl2br w:val="nil"/>
                    <w:tr2bl w:val="nil"/>
                  </w:tcBorders>
                  <w:vAlign w:val="center"/>
                </w:tcPr>
                <w:p w14:paraId="2DC7CF9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72" w:type="dxa"/>
                  <w:tcBorders>
                    <w:tl2br w:val="nil"/>
                    <w:tr2bl w:val="nil"/>
                  </w:tcBorders>
                  <w:vAlign w:val="center"/>
                </w:tcPr>
                <w:p w14:paraId="1F11E334">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1003" w:type="dxa"/>
                  <w:tcBorders>
                    <w:tl2br w:val="nil"/>
                    <w:tr2bl w:val="nil"/>
                  </w:tcBorders>
                  <w:vAlign w:val="center"/>
                </w:tcPr>
                <w:p w14:paraId="435A007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363" w:type="dxa"/>
                  <w:tcBorders>
                    <w:tl2br w:val="nil"/>
                    <w:tr2bl w:val="nil"/>
                  </w:tcBorders>
                  <w:vAlign w:val="center"/>
                </w:tcPr>
                <w:p w14:paraId="0B5C9457">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1004" w:type="dxa"/>
                  <w:tcBorders>
                    <w:tl2br w:val="nil"/>
                    <w:tr2bl w:val="nil"/>
                  </w:tcBorders>
                  <w:vAlign w:val="center"/>
                </w:tcPr>
                <w:p w14:paraId="74692DD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11" w:type="dxa"/>
                  <w:tcBorders>
                    <w:tl2br w:val="nil"/>
                    <w:tr2bl w:val="nil"/>
                  </w:tcBorders>
                  <w:vAlign w:val="center"/>
                </w:tcPr>
                <w:p w14:paraId="5C446C5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CFE7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C4A9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03C20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49AFF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SS</w:t>
                  </w:r>
                </w:p>
              </w:tc>
              <w:tc>
                <w:tcPr>
                  <w:tcW w:w="1003" w:type="dxa"/>
                  <w:tcBorders>
                    <w:tl2br w:val="nil"/>
                    <w:tr2bl w:val="nil"/>
                  </w:tcBorders>
                  <w:vAlign w:val="center"/>
                </w:tcPr>
                <w:p w14:paraId="4AAEFF01">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872" w:type="dxa"/>
                  <w:tcBorders>
                    <w:tl2br w:val="nil"/>
                    <w:tr2bl w:val="nil"/>
                  </w:tcBorders>
                  <w:vAlign w:val="center"/>
                </w:tcPr>
                <w:p w14:paraId="1F32AA0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0.160 </w:t>
                  </w:r>
                </w:p>
              </w:tc>
              <w:tc>
                <w:tcPr>
                  <w:tcW w:w="1003" w:type="dxa"/>
                  <w:tcBorders>
                    <w:tl2br w:val="nil"/>
                    <w:tr2bl w:val="nil"/>
                  </w:tcBorders>
                  <w:vAlign w:val="center"/>
                </w:tcPr>
                <w:p w14:paraId="2394C6AE">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363" w:type="dxa"/>
                  <w:tcBorders>
                    <w:tl2br w:val="nil"/>
                    <w:tr2bl w:val="nil"/>
                  </w:tcBorders>
                  <w:vAlign w:val="center"/>
                </w:tcPr>
                <w:p w14:paraId="7A01A0AE">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eastAsia="宋体" w:cs="Times New Roman"/>
                      <w:i w:val="0"/>
                      <w:iCs w:val="0"/>
                      <w:color w:val="auto"/>
                      <w:kern w:val="0"/>
                      <w:sz w:val="21"/>
                      <w:szCs w:val="21"/>
                      <w:u w:val="none"/>
                      <w:lang w:val="en-US" w:eastAsia="zh-CN" w:bidi="ar"/>
                    </w:rPr>
                    <w:t xml:space="preserve">0.194 </w:t>
                  </w:r>
                </w:p>
              </w:tc>
              <w:tc>
                <w:tcPr>
                  <w:tcW w:w="1004" w:type="dxa"/>
                  <w:tcBorders>
                    <w:tl2br w:val="nil"/>
                    <w:tr2bl w:val="nil"/>
                  </w:tcBorders>
                  <w:vAlign w:val="center"/>
                </w:tcPr>
                <w:p w14:paraId="3CFC9BF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11" w:type="dxa"/>
                  <w:tcBorders>
                    <w:tl2br w:val="nil"/>
                    <w:tr2bl w:val="nil"/>
                  </w:tcBorders>
                  <w:vAlign w:val="center"/>
                </w:tcPr>
                <w:p w14:paraId="6DB1A462">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2A3C0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7AF95B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7A131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7FC74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lang w:val="en-US" w:eastAsia="zh-CN"/>
                    </w:rPr>
                  </w:pPr>
                  <w:r>
                    <w:rPr>
                      <w:rFonts w:hint="default" w:ascii="Times New Roman" w:hAnsi="Times New Roman" w:cs="Times New Roman"/>
                      <w:b w:val="0"/>
                      <w:bCs/>
                      <w:color w:val="auto"/>
                      <w:spacing w:val="0"/>
                      <w:sz w:val="21"/>
                      <w:szCs w:val="21"/>
                      <w:highlight w:val="none"/>
                      <w:vertAlign w:val="baseline"/>
                      <w:lang w:val="en-US" w:eastAsia="zh-CN"/>
                    </w:rPr>
                    <w:t>TP</w:t>
                  </w:r>
                </w:p>
              </w:tc>
              <w:tc>
                <w:tcPr>
                  <w:tcW w:w="1003" w:type="dxa"/>
                  <w:tcBorders>
                    <w:tl2br w:val="nil"/>
                    <w:tr2bl w:val="nil"/>
                  </w:tcBorders>
                  <w:shd w:val="clear" w:color="auto" w:fill="auto"/>
                  <w:vAlign w:val="center"/>
                </w:tcPr>
                <w:p w14:paraId="5B21A311">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2" w:type="dxa"/>
                  <w:tcBorders>
                    <w:tl2br w:val="nil"/>
                    <w:tr2bl w:val="nil"/>
                  </w:tcBorders>
                  <w:vAlign w:val="center"/>
                </w:tcPr>
                <w:p w14:paraId="02E8A7C8">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003" w:type="dxa"/>
                  <w:tcBorders>
                    <w:tl2br w:val="nil"/>
                    <w:tr2bl w:val="nil"/>
                  </w:tcBorders>
                  <w:vAlign w:val="center"/>
                </w:tcPr>
                <w:p w14:paraId="4211EAD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63" w:type="dxa"/>
                  <w:tcBorders>
                    <w:tl2br w:val="nil"/>
                    <w:tr2bl w:val="nil"/>
                  </w:tcBorders>
                  <w:vAlign w:val="center"/>
                </w:tcPr>
                <w:p w14:paraId="3073EF26">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004" w:type="dxa"/>
                  <w:tcBorders>
                    <w:tl2br w:val="nil"/>
                    <w:tr2bl w:val="nil"/>
                  </w:tcBorders>
                  <w:vAlign w:val="center"/>
                </w:tcPr>
                <w:p w14:paraId="1B1DAEB7">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811" w:type="dxa"/>
                  <w:tcBorders>
                    <w:tl2br w:val="nil"/>
                    <w:tr2bl w:val="nil"/>
                  </w:tcBorders>
                  <w:vAlign w:val="center"/>
                </w:tcPr>
                <w:p w14:paraId="442F26AD">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48491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63" w:type="pct"/>
                  <w:vMerge w:val="continue"/>
                  <w:tcBorders>
                    <w:tl2br w:val="nil"/>
                    <w:tr2bl w:val="nil"/>
                  </w:tcBorders>
                  <w:vAlign w:val="center"/>
                </w:tcPr>
                <w:p w14:paraId="36335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4B85F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shd w:val="clear" w:color="auto" w:fill="auto"/>
                  <w:vAlign w:val="center"/>
                </w:tcPr>
                <w:p w14:paraId="09C65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default" w:ascii="Times New Roman" w:hAnsi="Times New Roman" w:cs="Times New Roman"/>
                      <w:b w:val="0"/>
                      <w:bCs/>
                      <w:color w:val="auto"/>
                      <w:spacing w:val="0"/>
                      <w:sz w:val="21"/>
                      <w:szCs w:val="21"/>
                      <w:highlight w:val="none"/>
                      <w:vertAlign w:val="baseline"/>
                      <w:lang w:val="en-US" w:eastAsia="zh-CN"/>
                    </w:rPr>
                    <w:t>粪大肠菌群</w:t>
                  </w:r>
                </w:p>
              </w:tc>
              <w:tc>
                <w:tcPr>
                  <w:tcW w:w="1003" w:type="dxa"/>
                  <w:tcBorders>
                    <w:tl2br w:val="nil"/>
                    <w:tr2bl w:val="nil"/>
                  </w:tcBorders>
                  <w:shd w:val="clear" w:color="auto" w:fill="auto"/>
                  <w:vAlign w:val="center"/>
                </w:tcPr>
                <w:p w14:paraId="63C0AA21">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797</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872" w:type="dxa"/>
                  <w:tcBorders>
                    <w:tl2br w:val="nil"/>
                    <w:tr2bl w:val="nil"/>
                  </w:tcBorders>
                  <w:vAlign w:val="center"/>
                </w:tcPr>
                <w:p w14:paraId="10FAC49D">
                  <w:pPr>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607" w:type="pct"/>
                  <w:tcBorders>
                    <w:tl2br w:val="nil"/>
                    <w:tr2bl w:val="nil"/>
                  </w:tcBorders>
                  <w:vAlign w:val="center"/>
                </w:tcPr>
                <w:p w14:paraId="0AFF06EA">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824" w:type="pct"/>
                  <w:tcBorders>
                    <w:tl2br w:val="nil"/>
                    <w:tr2bl w:val="nil"/>
                  </w:tcBorders>
                  <w:vAlign w:val="center"/>
                </w:tcPr>
                <w:p w14:paraId="49C89634">
                  <w:pPr>
                    <w:jc w:val="center"/>
                    <w:rPr>
                      <w:rFonts w:hint="default" w:ascii="Times New Roman" w:hAnsi="Times New Roman" w:cs="Times New Roman"/>
                      <w:b w:val="0"/>
                      <w:bCs/>
                      <w:color w:val="auto"/>
                      <w:spacing w:val="0"/>
                      <w:sz w:val="21"/>
                      <w:szCs w:val="21"/>
                      <w:highlight w:val="none"/>
                      <w:vertAlign w:val="baseline"/>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608" w:type="pct"/>
                  <w:tcBorders>
                    <w:tl2br w:val="nil"/>
                    <w:tr2bl w:val="nil"/>
                  </w:tcBorders>
                  <w:vAlign w:val="center"/>
                </w:tcPr>
                <w:p w14:paraId="4665D0CB">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488" w:type="pct"/>
                  <w:tcBorders>
                    <w:tl2br w:val="nil"/>
                    <w:tr2bl w:val="nil"/>
                  </w:tcBorders>
                  <w:vAlign w:val="center"/>
                </w:tcPr>
                <w:p w14:paraId="71D8D37F">
                  <w:pPr>
                    <w:jc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3.9</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r>
            <w:tr w14:paraId="201A7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Merge w:val="continue"/>
                  <w:tcBorders>
                    <w:tl2br w:val="nil"/>
                    <w:tr2bl w:val="nil"/>
                  </w:tcBorders>
                  <w:vAlign w:val="center"/>
                </w:tcPr>
                <w:p w14:paraId="22968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363" w:type="pct"/>
                  <w:vMerge w:val="continue"/>
                  <w:tcBorders>
                    <w:tl2br w:val="nil"/>
                    <w:tr2bl w:val="nil"/>
                  </w:tcBorders>
                  <w:vAlign w:val="center"/>
                </w:tcPr>
                <w:p w14:paraId="58A62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p>
              </w:tc>
              <w:tc>
                <w:tcPr>
                  <w:tcW w:w="408" w:type="pct"/>
                  <w:tcBorders>
                    <w:tl2br w:val="nil"/>
                    <w:tr2bl w:val="nil"/>
                  </w:tcBorders>
                  <w:vAlign w:val="center"/>
                </w:tcPr>
                <w:p w14:paraId="38C08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pacing w:val="0"/>
                      <w:sz w:val="21"/>
                      <w:szCs w:val="21"/>
                      <w:highlight w:val="none"/>
                      <w:vertAlign w:val="baseline"/>
                    </w:rPr>
                  </w:pPr>
                  <w:r>
                    <w:rPr>
                      <w:rFonts w:hint="default" w:ascii="Times New Roman" w:hAnsi="Times New Roman" w:cs="Times New Roman"/>
                      <w:b w:val="0"/>
                      <w:bCs/>
                      <w:color w:val="auto"/>
                      <w:spacing w:val="0"/>
                      <w:sz w:val="21"/>
                      <w:szCs w:val="21"/>
                      <w:highlight w:val="none"/>
                      <w:vertAlign w:val="baseline"/>
                      <w:lang w:val="en-US" w:eastAsia="zh-CN"/>
                    </w:rPr>
                    <w:t>LAS</w:t>
                  </w:r>
                </w:p>
              </w:tc>
              <w:tc>
                <w:tcPr>
                  <w:tcW w:w="1003" w:type="dxa"/>
                  <w:tcBorders>
                    <w:tl2br w:val="nil"/>
                    <w:tr2bl w:val="nil"/>
                  </w:tcBorders>
                  <w:vAlign w:val="center"/>
                </w:tcPr>
                <w:p w14:paraId="33625570">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72" w:type="dxa"/>
                  <w:tcBorders>
                    <w:tl2br w:val="nil"/>
                    <w:tr2bl w:val="nil"/>
                  </w:tcBorders>
                  <w:vAlign w:val="center"/>
                </w:tcPr>
                <w:p w14:paraId="66E569EF">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c>
                <w:tcPr>
                  <w:tcW w:w="1003" w:type="dxa"/>
                  <w:tcBorders>
                    <w:tl2br w:val="nil"/>
                    <w:tr2bl w:val="nil"/>
                  </w:tcBorders>
                  <w:vAlign w:val="center"/>
                </w:tcPr>
                <w:p w14:paraId="56E47C7C">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363" w:type="dxa"/>
                  <w:tcBorders>
                    <w:tl2br w:val="nil"/>
                    <w:tr2bl w:val="nil"/>
                  </w:tcBorders>
                  <w:vAlign w:val="center"/>
                </w:tcPr>
                <w:p w14:paraId="19A10BBB">
                  <w:pPr>
                    <w:keepNext w:val="0"/>
                    <w:keepLines w:val="0"/>
                    <w:widowControl/>
                    <w:suppressLineNumbers w:val="0"/>
                    <w:jc w:val="center"/>
                    <w:textAlignment w:val="center"/>
                    <w:rPr>
                      <w:rFonts w:hint="default" w:ascii="Times New Roman" w:hAnsi="Times New Roman" w:cs="Times New Roman"/>
                      <w:b w:val="0"/>
                      <w:bCs/>
                      <w:color w:val="auto"/>
                      <w:spacing w:val="0"/>
                      <w:sz w:val="21"/>
                      <w:szCs w:val="21"/>
                      <w:highlight w:val="none"/>
                      <w:vertAlign w:val="baseline"/>
                      <w:lang w:val="en-US"/>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004" w:type="dxa"/>
                  <w:tcBorders>
                    <w:tl2br w:val="nil"/>
                    <w:tr2bl w:val="nil"/>
                  </w:tcBorders>
                  <w:vAlign w:val="center"/>
                </w:tcPr>
                <w:p w14:paraId="789625C5">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11" w:type="dxa"/>
                  <w:tcBorders>
                    <w:tl2br w:val="nil"/>
                    <w:tr2bl w:val="nil"/>
                  </w:tcBorders>
                  <w:vAlign w:val="center"/>
                </w:tcPr>
                <w:p w14:paraId="1C769D33">
                  <w:pPr>
                    <w:keepNext w:val="0"/>
                    <w:keepLines w:val="0"/>
                    <w:widowControl/>
                    <w:suppressLineNumbers w:val="0"/>
                    <w:jc w:val="center"/>
                    <w:textAlignment w:val="center"/>
                    <w:rPr>
                      <w:rFonts w:hint="default" w:ascii="Times New Roman" w:hAnsi="Times New Roman" w:eastAsia="宋体" w:cs="Times New Roman"/>
                      <w:b w:val="0"/>
                      <w:bCs/>
                      <w:color w:val="auto"/>
                      <w:spacing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r>
            <w:tr w14:paraId="20DB5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tcBorders>
                    <w:tl2br w:val="nil"/>
                    <w:tr2bl w:val="nil"/>
                  </w:tcBorders>
                  <w:vAlign w:val="center"/>
                </w:tcPr>
                <w:p w14:paraId="66EF39F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000000" w:themeColor="text1"/>
                      <w:spacing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注</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总余氯在</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排放口进行控制，</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出水参照执行《医疗机构水污染物排放标准》</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预处理标准</w:t>
                  </w:r>
                  <w:r>
                    <w:rPr>
                      <w:rFonts w:hint="eastAsia"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综合废水排放口执行《污水综合排放标准》</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spacing w:val="0"/>
                      <w:sz w:val="21"/>
                      <w:szCs w:val="21"/>
                      <w:highlight w:val="none"/>
                      <w:vertAlign w:val="baseline"/>
                      <w14:textFill>
                        <w14:solidFill>
                          <w14:schemeClr w14:val="tx1"/>
                        </w14:solidFill>
                      </w14:textFill>
                    </w:rPr>
                    <w:t>三级标准</w:t>
                  </w:r>
                </w:p>
              </w:tc>
            </w:tr>
          </w:tbl>
          <w:p w14:paraId="0BCC4337">
            <w:pPr>
              <w:pStyle w:val="27"/>
              <w:rPr>
                <w:rFonts w:hint="default" w:ascii="Times New Roman" w:hAnsi="Times New Roman" w:cs="Times New Roman"/>
                <w:b w:val="0"/>
                <w:bCs/>
                <w:color w:val="FF0000"/>
                <w:spacing w:val="0"/>
                <w:sz w:val="24"/>
                <w:szCs w:val="24"/>
                <w:highlight w:val="none"/>
              </w:rPr>
            </w:pPr>
          </w:p>
        </w:tc>
      </w:tr>
    </w:tbl>
    <w:p w14:paraId="0278AF39">
      <w:pPr>
        <w:adjustRightInd w:val="0"/>
        <w:snapToGrid w:val="0"/>
        <w:spacing w:line="360" w:lineRule="auto"/>
        <w:rPr>
          <w:rFonts w:hint="default" w:ascii="Times New Roman" w:hAnsi="Times New Roman" w:cs="Times New Roman"/>
          <w:b/>
          <w:color w:val="FF000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2776"/>
      </w:tblGrid>
      <w:tr w14:paraId="2567F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3" w:hRule="atLeast"/>
        </w:trPr>
        <w:tc>
          <w:tcPr>
            <w:tcW w:w="171" w:type="pct"/>
            <w:tcBorders>
              <w:top w:val="single" w:color="auto" w:sz="8" w:space="0"/>
              <w:left w:val="single" w:color="auto" w:sz="8" w:space="0"/>
              <w:bottom w:val="single" w:color="auto" w:sz="8" w:space="0"/>
            </w:tcBorders>
            <w:vAlign w:val="center"/>
          </w:tcPr>
          <w:p w14:paraId="129E6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运营期环境影响和保护措施</w:t>
            </w:r>
          </w:p>
        </w:tc>
        <w:tc>
          <w:tcPr>
            <w:tcW w:w="4828" w:type="pct"/>
            <w:tcBorders>
              <w:top w:val="single" w:color="auto" w:sz="8" w:space="0"/>
              <w:bottom w:val="single" w:color="auto" w:sz="8" w:space="0"/>
              <w:right w:val="single" w:color="auto" w:sz="8" w:space="0"/>
            </w:tcBorders>
            <w:vAlign w:val="center"/>
          </w:tcPr>
          <w:p w14:paraId="6FE512D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4.2.2.2 废水污染物排放信息</w:t>
            </w:r>
          </w:p>
          <w:p w14:paraId="77D440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废水类别、污染物、产排情况及治理设施信息见表4.2-</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p>
          <w:p w14:paraId="3209BDB4">
            <w:pPr>
              <w:widowControl w:val="0"/>
              <w:spacing w:line="240" w:lineRule="auto"/>
              <w:ind w:firstLine="0" w:firstLineChars="0"/>
              <w:jc w:val="cente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表 4</w:t>
            </w:r>
            <w:r>
              <w:rPr>
                <w:rFonts w:hint="eastAsia" w:cs="Times New Roman"/>
                <w:b/>
                <w:bCs w:val="0"/>
                <w:color w:val="000000" w:themeColor="text1"/>
                <w:kern w:val="2"/>
                <w:sz w:val="24"/>
                <w:szCs w:val="24"/>
                <w:highlight w:val="none"/>
                <w:lang w:val="en-US" w:eastAsia="zh-CN" w:bidi="ar-SA"/>
                <w14:textFill>
                  <w14:solidFill>
                    <w14:schemeClr w14:val="tx1"/>
                  </w14:solidFill>
                </w14:textFill>
              </w:rPr>
              <w:t>.2-2</w:t>
            </w:r>
            <w:r>
              <w:rPr>
                <w:rFonts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 xml:space="preserve"> 废水类别、污染物及污染治理设施信息表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359"/>
              <w:gridCol w:w="1013"/>
              <w:gridCol w:w="1191"/>
              <w:gridCol w:w="1208"/>
              <w:gridCol w:w="1349"/>
              <w:gridCol w:w="1206"/>
              <w:gridCol w:w="1103"/>
              <w:gridCol w:w="1103"/>
              <w:gridCol w:w="2254"/>
            </w:tblGrid>
            <w:tr w14:paraId="71D83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restart"/>
                  <w:tcBorders>
                    <w:tl2br w:val="nil"/>
                    <w:tr2bl w:val="nil"/>
                  </w:tcBorders>
                  <w:vAlign w:val="center"/>
                </w:tcPr>
                <w:p w14:paraId="35C3841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废水</w:t>
                  </w:r>
                </w:p>
                <w:p w14:paraId="3CB5ED6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类别</w:t>
                  </w:r>
                </w:p>
              </w:tc>
              <w:tc>
                <w:tcPr>
                  <w:tcW w:w="542" w:type="pct"/>
                  <w:vMerge w:val="restart"/>
                  <w:tcBorders>
                    <w:tl2br w:val="nil"/>
                    <w:tr2bl w:val="nil"/>
                  </w:tcBorders>
                  <w:vAlign w:val="center"/>
                </w:tcPr>
                <w:p w14:paraId="4E35BE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污染物</w:t>
                  </w:r>
                </w:p>
                <w:p w14:paraId="78FE09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种类</w:t>
                  </w:r>
                </w:p>
              </w:tc>
              <w:tc>
                <w:tcPr>
                  <w:tcW w:w="404" w:type="pct"/>
                  <w:vMerge w:val="restart"/>
                  <w:tcBorders>
                    <w:tl2br w:val="nil"/>
                    <w:tr2bl w:val="nil"/>
                  </w:tcBorders>
                  <w:vAlign w:val="center"/>
                </w:tcPr>
                <w:p w14:paraId="3C0A7A0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w:t>
                  </w:r>
                </w:p>
                <w:p w14:paraId="215D6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去向</w:t>
                  </w:r>
                </w:p>
              </w:tc>
              <w:tc>
                <w:tcPr>
                  <w:tcW w:w="475" w:type="pct"/>
                  <w:vMerge w:val="restart"/>
                  <w:tcBorders>
                    <w:tl2br w:val="nil"/>
                    <w:tr2bl w:val="nil"/>
                  </w:tcBorders>
                  <w:vAlign w:val="center"/>
                </w:tcPr>
                <w:p w14:paraId="03D70D5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w:t>
                  </w:r>
                </w:p>
                <w:p w14:paraId="51DAEE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规律</w:t>
                  </w:r>
                </w:p>
              </w:tc>
              <w:tc>
                <w:tcPr>
                  <w:tcW w:w="1501" w:type="pct"/>
                  <w:gridSpan w:val="3"/>
                  <w:tcBorders>
                    <w:tl2br w:val="nil"/>
                    <w:tr2bl w:val="nil"/>
                  </w:tcBorders>
                  <w:vAlign w:val="center"/>
                </w:tcPr>
                <w:p w14:paraId="42672A7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w:t>
                  </w:r>
                </w:p>
              </w:tc>
              <w:tc>
                <w:tcPr>
                  <w:tcW w:w="440" w:type="pct"/>
                  <w:vMerge w:val="restart"/>
                  <w:tcBorders>
                    <w:tl2br w:val="nil"/>
                    <w:tr2bl w:val="nil"/>
                  </w:tcBorders>
                  <w:vAlign w:val="center"/>
                </w:tcPr>
                <w:p w14:paraId="70D66C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排放口编号</w:t>
                  </w:r>
                </w:p>
              </w:tc>
              <w:tc>
                <w:tcPr>
                  <w:tcW w:w="440" w:type="pct"/>
                  <w:vMerge w:val="restart"/>
                  <w:tcBorders>
                    <w:tl2br w:val="nil"/>
                    <w:tr2bl w:val="nil"/>
                  </w:tcBorders>
                  <w:vAlign w:val="center"/>
                </w:tcPr>
                <w:p w14:paraId="076E30B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排放口设置是否符合要求</w:t>
                  </w:r>
                </w:p>
              </w:tc>
              <w:tc>
                <w:tcPr>
                  <w:tcW w:w="899" w:type="pct"/>
                  <w:vMerge w:val="restart"/>
                  <w:tcBorders>
                    <w:tl2br w:val="nil"/>
                    <w:tr2bl w:val="nil"/>
                  </w:tcBorders>
                  <w:vAlign w:val="center"/>
                </w:tcPr>
                <w:p w14:paraId="1B9903A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排放口类型</w:t>
                  </w:r>
                </w:p>
              </w:tc>
            </w:tr>
            <w:tr w14:paraId="339D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vMerge w:val="continue"/>
                  <w:tcBorders>
                    <w:tl2br w:val="nil"/>
                    <w:tr2bl w:val="nil"/>
                  </w:tcBorders>
                  <w:vAlign w:val="center"/>
                </w:tcPr>
                <w:p w14:paraId="3C2DCC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542" w:type="pct"/>
                  <w:vMerge w:val="continue"/>
                  <w:tcBorders>
                    <w:tl2br w:val="nil"/>
                    <w:tr2bl w:val="nil"/>
                  </w:tcBorders>
                  <w:vAlign w:val="center"/>
                </w:tcPr>
                <w:p w14:paraId="26A5F54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04" w:type="pct"/>
                  <w:vMerge w:val="continue"/>
                  <w:tcBorders>
                    <w:tl2br w:val="nil"/>
                    <w:tr2bl w:val="nil"/>
                  </w:tcBorders>
                  <w:vAlign w:val="center"/>
                </w:tcPr>
                <w:p w14:paraId="3B81D38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75" w:type="pct"/>
                  <w:vMerge w:val="continue"/>
                  <w:tcBorders>
                    <w:tl2br w:val="nil"/>
                    <w:tr2bl w:val="nil"/>
                  </w:tcBorders>
                  <w:vAlign w:val="center"/>
                </w:tcPr>
                <w:p w14:paraId="4FDFB22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82" w:type="pct"/>
                  <w:tcBorders>
                    <w:tl2br w:val="nil"/>
                    <w:tr2bl w:val="nil"/>
                  </w:tcBorders>
                  <w:vAlign w:val="center"/>
                </w:tcPr>
                <w:p w14:paraId="76D0CEA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污染治理设施编号</w:t>
                  </w:r>
                </w:p>
              </w:tc>
              <w:tc>
                <w:tcPr>
                  <w:tcW w:w="538" w:type="pct"/>
                  <w:tcBorders>
                    <w:tl2br w:val="nil"/>
                    <w:tr2bl w:val="nil"/>
                  </w:tcBorders>
                  <w:vAlign w:val="center"/>
                </w:tcPr>
                <w:p w14:paraId="78020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污染治理设施名称</w:t>
                  </w:r>
                </w:p>
              </w:tc>
              <w:tc>
                <w:tcPr>
                  <w:tcW w:w="480" w:type="pct"/>
                  <w:tcBorders>
                    <w:tl2br w:val="nil"/>
                    <w:tr2bl w:val="nil"/>
                  </w:tcBorders>
                  <w:vAlign w:val="center"/>
                </w:tcPr>
                <w:p w14:paraId="47DB10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治理设施工艺</w:t>
                  </w:r>
                </w:p>
              </w:tc>
              <w:tc>
                <w:tcPr>
                  <w:tcW w:w="440" w:type="pct"/>
                  <w:vMerge w:val="continue"/>
                  <w:tcBorders>
                    <w:tl2br w:val="nil"/>
                    <w:tr2bl w:val="nil"/>
                  </w:tcBorders>
                  <w:vAlign w:val="center"/>
                </w:tcPr>
                <w:p w14:paraId="555EB3F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40" w:type="pct"/>
                  <w:vMerge w:val="continue"/>
                  <w:tcBorders>
                    <w:tl2br w:val="nil"/>
                    <w:tr2bl w:val="nil"/>
                  </w:tcBorders>
                  <w:vAlign w:val="center"/>
                </w:tcPr>
                <w:p w14:paraId="5D15525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899" w:type="pct"/>
                  <w:vMerge w:val="continue"/>
                  <w:tcBorders>
                    <w:tl2br w:val="nil"/>
                    <w:tr2bl w:val="nil"/>
                  </w:tcBorders>
                  <w:vAlign w:val="center"/>
                </w:tcPr>
                <w:p w14:paraId="0BB30F9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r>
            <w:tr w14:paraId="1518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vAlign w:val="center"/>
                </w:tcPr>
                <w:p w14:paraId="1BEABDCE">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综合废水</w:t>
                  </w:r>
                </w:p>
              </w:tc>
              <w:tc>
                <w:tcPr>
                  <w:tcW w:w="542" w:type="pct"/>
                  <w:tcBorders>
                    <w:tl2br w:val="nil"/>
                    <w:tr2bl w:val="nil"/>
                  </w:tcBorders>
                  <w:vAlign w:val="center"/>
                </w:tcPr>
                <w:p w14:paraId="4E0E4750">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pH、</w:t>
                  </w:r>
                </w:p>
                <w:p w14:paraId="577FDE1B">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COD、</w:t>
                  </w:r>
                </w:p>
                <w:p w14:paraId="77D631D2">
                  <w:pPr>
                    <w:widowControl w:val="0"/>
                    <w:snapToGrid w:val="0"/>
                    <w:spacing w:line="240" w:lineRule="auto"/>
                    <w:ind w:left="-105" w:leftChars="-50" w:right="-105" w:rightChars="-5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SS、BOD</w:t>
                  </w:r>
                  <w:r>
                    <w:rPr>
                      <w:color w:val="000000" w:themeColor="text1"/>
                      <w:kern w:val="0"/>
                      <w:sz w:val="21"/>
                      <w:szCs w:val="21"/>
                      <w:highlight w:val="none"/>
                      <w:vertAlign w:val="subscript"/>
                      <w14:textFill>
                        <w14:solidFill>
                          <w14:schemeClr w14:val="tx1"/>
                        </w14:solidFill>
                      </w14:textFill>
                    </w:rPr>
                    <w:t>5</w:t>
                  </w:r>
                  <w:r>
                    <w:rPr>
                      <w:color w:val="000000" w:themeColor="text1"/>
                      <w:kern w:val="0"/>
                      <w:sz w:val="21"/>
                      <w:szCs w:val="21"/>
                      <w:highlight w:val="none"/>
                      <w14:textFill>
                        <w14:solidFill>
                          <w14:schemeClr w14:val="tx1"/>
                        </w14:solidFill>
                      </w14:textFill>
                    </w:rPr>
                    <w:t>、</w:t>
                  </w:r>
                </w:p>
                <w:p w14:paraId="41C2C747">
                  <w:pPr>
                    <w:widowControl w:val="0"/>
                    <w:snapToGrid w:val="0"/>
                    <w:spacing w:line="240" w:lineRule="auto"/>
                    <w:ind w:left="-105" w:leftChars="-50" w:right="-105" w:rightChars="-50" w:firstLine="0" w:firstLineChars="0"/>
                    <w:jc w:val="center"/>
                    <w:rPr>
                      <w:rFonts w:hint="eastAsia"/>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氨氮</w:t>
                  </w:r>
                  <w:r>
                    <w:rPr>
                      <w:rFonts w:hint="eastAsia"/>
                      <w:color w:val="000000" w:themeColor="text1"/>
                      <w:kern w:val="0"/>
                      <w:sz w:val="21"/>
                      <w:szCs w:val="21"/>
                      <w:highlight w:val="none"/>
                      <w14:textFill>
                        <w14:solidFill>
                          <w14:schemeClr w14:val="tx1"/>
                        </w14:solidFill>
                      </w14:textFill>
                    </w:rPr>
                    <w:t>、L</w:t>
                  </w:r>
                  <w:r>
                    <w:rPr>
                      <w:color w:val="000000" w:themeColor="text1"/>
                      <w:kern w:val="0"/>
                      <w:sz w:val="21"/>
                      <w:szCs w:val="21"/>
                      <w:highlight w:val="none"/>
                      <w14:textFill>
                        <w14:solidFill>
                          <w14:schemeClr w14:val="tx1"/>
                        </w14:solidFill>
                      </w14:textFill>
                    </w:rPr>
                    <w:t>AS</w:t>
                  </w:r>
                  <w:r>
                    <w:rPr>
                      <w:rFonts w:hint="eastAsia"/>
                      <w:color w:val="000000" w:themeColor="text1"/>
                      <w:kern w:val="0"/>
                      <w:sz w:val="21"/>
                      <w:szCs w:val="21"/>
                      <w:highlight w:val="none"/>
                      <w:lang w:eastAsia="zh-CN"/>
                      <w14:textFill>
                        <w14:solidFill>
                          <w14:schemeClr w14:val="tx1"/>
                        </w14:solidFill>
                      </w14:textFill>
                    </w:rPr>
                    <w:t>、</w:t>
                  </w:r>
                </w:p>
                <w:p w14:paraId="47425185">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T</w:t>
                  </w:r>
                  <w:r>
                    <w:rPr>
                      <w:color w:val="000000" w:themeColor="text1"/>
                      <w:kern w:val="0"/>
                      <w:sz w:val="21"/>
                      <w:szCs w:val="21"/>
                      <w:highlight w:val="none"/>
                      <w14:textFill>
                        <w14:solidFill>
                          <w14:schemeClr w14:val="tx1"/>
                        </w14:solidFill>
                      </w14:textFill>
                    </w:rPr>
                    <w:t>P</w:t>
                  </w:r>
                  <w:r>
                    <w:rPr>
                      <w:rFonts w:hint="eastAsia"/>
                      <w:color w:val="000000" w:themeColor="text1"/>
                      <w:kern w:val="0"/>
                      <w:sz w:val="21"/>
                      <w:szCs w:val="21"/>
                      <w:highlight w:val="none"/>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粪大肠菌群</w:t>
                  </w:r>
                </w:p>
              </w:tc>
              <w:tc>
                <w:tcPr>
                  <w:tcW w:w="404" w:type="pct"/>
                  <w:tcBorders>
                    <w:tl2br w:val="nil"/>
                    <w:tr2bl w:val="nil"/>
                  </w:tcBorders>
                  <w:vAlign w:val="center"/>
                </w:tcPr>
                <w:p w14:paraId="07088567">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彩云湖污水处理厂</w:t>
                  </w:r>
                </w:p>
              </w:tc>
              <w:tc>
                <w:tcPr>
                  <w:tcW w:w="475" w:type="pct"/>
                  <w:tcBorders>
                    <w:tl2br w:val="nil"/>
                    <w:tr2bl w:val="nil"/>
                  </w:tcBorders>
                  <w:vAlign w:val="center"/>
                </w:tcPr>
                <w:p w14:paraId="4BA36E7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间断排放，流量不稳定无规律</w:t>
                  </w:r>
                </w:p>
              </w:tc>
              <w:tc>
                <w:tcPr>
                  <w:tcW w:w="482" w:type="pct"/>
                  <w:tcBorders>
                    <w:tl2br w:val="nil"/>
                    <w:tr2bl w:val="nil"/>
                  </w:tcBorders>
                  <w:vAlign w:val="center"/>
                </w:tcPr>
                <w:p w14:paraId="5366ECEA">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TW001</w:t>
                  </w:r>
                </w:p>
              </w:tc>
              <w:tc>
                <w:tcPr>
                  <w:tcW w:w="538" w:type="pct"/>
                  <w:tcBorders>
                    <w:tl2br w:val="nil"/>
                    <w:tr2bl w:val="nil"/>
                  </w:tcBorders>
                  <w:vAlign w:val="center"/>
                </w:tcPr>
                <w:p w14:paraId="1DFD248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生化池</w:t>
                  </w:r>
                </w:p>
              </w:tc>
              <w:tc>
                <w:tcPr>
                  <w:tcW w:w="480" w:type="pct"/>
                  <w:tcBorders>
                    <w:tl2br w:val="nil"/>
                    <w:tr2bl w:val="nil"/>
                  </w:tcBorders>
                  <w:vAlign w:val="center"/>
                </w:tcPr>
                <w:p w14:paraId="61965475">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厌氧</w:t>
                  </w:r>
                </w:p>
              </w:tc>
              <w:tc>
                <w:tcPr>
                  <w:tcW w:w="440" w:type="pct"/>
                  <w:tcBorders>
                    <w:tl2br w:val="nil"/>
                    <w:tr2bl w:val="nil"/>
                  </w:tcBorders>
                  <w:shd w:val="clear" w:color="auto" w:fill="auto"/>
                  <w:vAlign w:val="center"/>
                </w:tcPr>
                <w:p w14:paraId="05F441C8">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DW00</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1</w:t>
                  </w:r>
                </w:p>
              </w:tc>
              <w:tc>
                <w:tcPr>
                  <w:tcW w:w="440" w:type="pct"/>
                  <w:tcBorders>
                    <w:tl2br w:val="nil"/>
                    <w:tr2bl w:val="nil"/>
                  </w:tcBorders>
                  <w:shd w:val="clear" w:color="auto" w:fill="auto"/>
                  <w:vAlign w:val="center"/>
                </w:tcPr>
                <w:p w14:paraId="2C34D67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是</w:t>
                  </w:r>
                </w:p>
                <w:p w14:paraId="206B828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否</w:t>
                  </w:r>
                </w:p>
              </w:tc>
              <w:tc>
                <w:tcPr>
                  <w:tcW w:w="899" w:type="pct"/>
                  <w:tcBorders>
                    <w:tl2br w:val="nil"/>
                    <w:tr2bl w:val="nil"/>
                  </w:tcBorders>
                  <w:shd w:val="clear" w:color="auto" w:fill="auto"/>
                  <w:vAlign w:val="center"/>
                </w:tcPr>
                <w:p w14:paraId="7F16A75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企业总排</w:t>
                  </w:r>
                </w:p>
                <w:p w14:paraId="37A5DEB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雨水排放</w:t>
                  </w:r>
                </w:p>
                <w:p w14:paraId="3E8FCBF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清净下水排放</w:t>
                  </w:r>
                </w:p>
                <w:p w14:paraId="4B3D9FE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温排水排放</w:t>
                  </w:r>
                </w:p>
                <w:p w14:paraId="7EDE2E1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车间或车间处理设施排放</w:t>
                  </w:r>
                </w:p>
              </w:tc>
            </w:tr>
            <w:tr w14:paraId="67E27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vAlign w:val="center"/>
                </w:tcPr>
                <w:p w14:paraId="2456AE1E">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医疗废水</w:t>
                  </w:r>
                </w:p>
              </w:tc>
              <w:tc>
                <w:tcPr>
                  <w:tcW w:w="542" w:type="pct"/>
                  <w:tcBorders>
                    <w:tl2br w:val="nil"/>
                    <w:tr2bl w:val="nil"/>
                  </w:tcBorders>
                  <w:vAlign w:val="center"/>
                </w:tcPr>
                <w:p w14:paraId="0AD38C3C">
                  <w:pPr>
                    <w:widowControl w:val="0"/>
                    <w:snapToGrid w:val="0"/>
                    <w:spacing w:line="240" w:lineRule="auto"/>
                    <w:ind w:left="-105" w:leftChars="-50" w:right="-105" w:rightChars="-50" w:firstLine="0" w:firstLineChars="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粪大肠菌群、总余氯</w:t>
                  </w:r>
                </w:p>
              </w:tc>
              <w:tc>
                <w:tcPr>
                  <w:tcW w:w="404" w:type="pct"/>
                  <w:tcBorders>
                    <w:tl2br w:val="nil"/>
                    <w:tr2bl w:val="nil"/>
                  </w:tcBorders>
                  <w:vAlign w:val="center"/>
                </w:tcPr>
                <w:p w14:paraId="01D199FA">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生化池</w:t>
                  </w:r>
                </w:p>
              </w:tc>
              <w:tc>
                <w:tcPr>
                  <w:tcW w:w="475" w:type="pct"/>
                  <w:tcBorders>
                    <w:tl2br w:val="nil"/>
                    <w:tr2bl w:val="nil"/>
                  </w:tcBorders>
                  <w:vAlign w:val="center"/>
                </w:tcPr>
                <w:p w14:paraId="23FAD9E5">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间断排放，流量不稳定无规律</w:t>
                  </w:r>
                </w:p>
              </w:tc>
              <w:tc>
                <w:tcPr>
                  <w:tcW w:w="482" w:type="pct"/>
                  <w:tcBorders>
                    <w:tl2br w:val="nil"/>
                    <w:tr2bl w:val="nil"/>
                  </w:tcBorders>
                  <w:vAlign w:val="center"/>
                </w:tcPr>
                <w:p w14:paraId="4788B112">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TW002</w:t>
                  </w:r>
                </w:p>
              </w:tc>
              <w:tc>
                <w:tcPr>
                  <w:tcW w:w="538" w:type="pct"/>
                  <w:tcBorders>
                    <w:tl2br w:val="nil"/>
                    <w:tr2bl w:val="nil"/>
                  </w:tcBorders>
                  <w:vAlign w:val="center"/>
                </w:tcPr>
                <w:p w14:paraId="567F185D">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消毒设施</w:t>
                  </w:r>
                </w:p>
              </w:tc>
              <w:tc>
                <w:tcPr>
                  <w:tcW w:w="480" w:type="pct"/>
                  <w:tcBorders>
                    <w:tl2br w:val="nil"/>
                    <w:tr2bl w:val="nil"/>
                  </w:tcBorders>
                  <w:vAlign w:val="center"/>
                </w:tcPr>
                <w:p w14:paraId="59B70C5C">
                  <w:pPr>
                    <w:widowControl w:val="0"/>
                    <w:snapToGrid w:val="0"/>
                    <w:spacing w:line="240" w:lineRule="auto"/>
                    <w:ind w:left="-105" w:leftChars="-50" w:right="-105" w:rightChars="-50" w:firstLine="0" w:firstLineChars="0"/>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二氧化氯</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消毒片</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消毒</w:t>
                  </w:r>
                </w:p>
              </w:tc>
              <w:tc>
                <w:tcPr>
                  <w:tcW w:w="440" w:type="pct"/>
                  <w:tcBorders>
                    <w:tl2br w:val="nil"/>
                    <w:tr2bl w:val="nil"/>
                  </w:tcBorders>
                  <w:shd w:val="clear" w:color="auto" w:fill="auto"/>
                  <w:vAlign w:val="center"/>
                </w:tcPr>
                <w:p w14:paraId="55512322">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w:t>
                  </w:r>
                </w:p>
              </w:tc>
              <w:tc>
                <w:tcPr>
                  <w:tcW w:w="440" w:type="pct"/>
                  <w:tcBorders>
                    <w:tl2br w:val="nil"/>
                    <w:tr2bl w:val="nil"/>
                  </w:tcBorders>
                  <w:shd w:val="clear" w:color="auto" w:fill="auto"/>
                  <w:vAlign w:val="center"/>
                </w:tcPr>
                <w:p w14:paraId="4D35CEB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是</w:t>
                  </w:r>
                </w:p>
                <w:p w14:paraId="04C2693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否</w:t>
                  </w:r>
                </w:p>
              </w:tc>
              <w:tc>
                <w:tcPr>
                  <w:tcW w:w="899" w:type="pct"/>
                  <w:tcBorders>
                    <w:tl2br w:val="nil"/>
                    <w:tr2bl w:val="nil"/>
                  </w:tcBorders>
                  <w:shd w:val="clear" w:color="auto" w:fill="auto"/>
                  <w:vAlign w:val="center"/>
                </w:tcPr>
                <w:p w14:paraId="1380AC3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企业总排</w:t>
                  </w:r>
                </w:p>
                <w:p w14:paraId="3B5F130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雨水排放</w:t>
                  </w:r>
                </w:p>
                <w:p w14:paraId="1B6021D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清净下水排放</w:t>
                  </w:r>
                </w:p>
                <w:p w14:paraId="08719F5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A8"/>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温排水排放</w:t>
                  </w:r>
                </w:p>
                <w:p w14:paraId="531AB32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sym w:font="Wingdings" w:char="00FE"/>
                  </w:r>
                  <w:r>
                    <w:rPr>
                      <w:rFonts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车间或车间处理设施排放</w:t>
                  </w:r>
                </w:p>
              </w:tc>
            </w:tr>
          </w:tbl>
          <w:p w14:paraId="765D4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3</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废水间接排放口基本情况表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186"/>
              <w:gridCol w:w="1536"/>
              <w:gridCol w:w="1721"/>
              <w:gridCol w:w="1214"/>
              <w:gridCol w:w="858"/>
              <w:gridCol w:w="858"/>
              <w:gridCol w:w="960"/>
              <w:gridCol w:w="788"/>
              <w:gridCol w:w="858"/>
              <w:gridCol w:w="2042"/>
            </w:tblGrid>
            <w:tr w14:paraId="66A90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restart"/>
                  <w:tcBorders>
                    <w:tl2br w:val="nil"/>
                    <w:tr2bl w:val="nil"/>
                  </w:tcBorders>
                  <w:vAlign w:val="center"/>
                </w:tcPr>
                <w:p w14:paraId="10036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序号</w:t>
                  </w:r>
                </w:p>
              </w:tc>
              <w:tc>
                <w:tcPr>
                  <w:tcW w:w="511" w:type="pct"/>
                  <w:vMerge w:val="restart"/>
                  <w:tcBorders>
                    <w:tl2br w:val="nil"/>
                    <w:tr2bl w:val="nil"/>
                  </w:tcBorders>
                  <w:vAlign w:val="center"/>
                </w:tcPr>
                <w:p w14:paraId="0B77D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排放口编号</w:t>
                  </w:r>
                </w:p>
              </w:tc>
              <w:tc>
                <w:tcPr>
                  <w:tcW w:w="1100" w:type="pct"/>
                  <w:gridSpan w:val="2"/>
                  <w:tcBorders>
                    <w:tl2br w:val="nil"/>
                    <w:tr2bl w:val="nil"/>
                  </w:tcBorders>
                  <w:vAlign w:val="center"/>
                </w:tcPr>
                <w:p w14:paraId="27DFE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排放口经纬度</w:t>
                  </w:r>
                </w:p>
              </w:tc>
              <w:tc>
                <w:tcPr>
                  <w:tcW w:w="380" w:type="pct"/>
                  <w:vMerge w:val="restart"/>
                  <w:tcBorders>
                    <w:tl2br w:val="nil"/>
                    <w:tr2bl w:val="nil"/>
                  </w:tcBorders>
                  <w:vAlign w:val="center"/>
                </w:tcPr>
                <w:p w14:paraId="14C48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default" w:ascii="Times New Roman" w:hAnsi="Times New Roman" w:cs="Times New Roman"/>
                      <w:b w:val="0"/>
                      <w:bCs/>
                      <w:color w:val="auto"/>
                      <w:kern w:val="0"/>
                      <w:sz w:val="21"/>
                      <w:szCs w:val="21"/>
                      <w:highlight w:val="none"/>
                      <w:vertAlign w:val="baseline"/>
                      <w:lang w:val="en-US" w:eastAsia="zh-CN"/>
                    </w:rPr>
                    <w:t>废水排放量（万t/a）</w:t>
                  </w:r>
                </w:p>
              </w:tc>
              <w:tc>
                <w:tcPr>
                  <w:tcW w:w="380" w:type="pct"/>
                  <w:vMerge w:val="restart"/>
                  <w:tcBorders>
                    <w:tl2br w:val="nil"/>
                    <w:tr2bl w:val="nil"/>
                  </w:tcBorders>
                  <w:vAlign w:val="center"/>
                </w:tcPr>
                <w:p w14:paraId="501321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排放去向</w:t>
                  </w:r>
                </w:p>
              </w:tc>
              <w:tc>
                <w:tcPr>
                  <w:tcW w:w="380" w:type="pct"/>
                  <w:vMerge w:val="restart"/>
                  <w:tcBorders>
                    <w:tl2br w:val="nil"/>
                    <w:tr2bl w:val="nil"/>
                  </w:tcBorders>
                  <w:vAlign w:val="center"/>
                </w:tcPr>
                <w:p w14:paraId="43797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规律</w:t>
                  </w:r>
                </w:p>
              </w:tc>
              <w:tc>
                <w:tcPr>
                  <w:tcW w:w="393" w:type="pct"/>
                  <w:vMerge w:val="restart"/>
                  <w:tcBorders>
                    <w:tl2br w:val="nil"/>
                    <w:tr2bl w:val="nil"/>
                  </w:tcBorders>
                  <w:vAlign w:val="center"/>
                </w:tcPr>
                <w:p w14:paraId="7B17C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间歇排放时段</w:t>
                  </w:r>
                </w:p>
              </w:tc>
              <w:tc>
                <w:tcPr>
                  <w:tcW w:w="1612" w:type="pct"/>
                  <w:gridSpan w:val="3"/>
                  <w:tcBorders>
                    <w:tl2br w:val="nil"/>
                    <w:tr2bl w:val="nil"/>
                  </w:tcBorders>
                  <w:vAlign w:val="center"/>
                </w:tcPr>
                <w:p w14:paraId="7903FF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受纳污水处理厂信息</w:t>
                  </w:r>
                </w:p>
              </w:tc>
            </w:tr>
            <w:tr w14:paraId="0FA29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74F52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511" w:type="pct"/>
                  <w:vMerge w:val="continue"/>
                  <w:tcBorders>
                    <w:tl2br w:val="nil"/>
                    <w:tr2bl w:val="nil"/>
                  </w:tcBorders>
                  <w:vAlign w:val="center"/>
                </w:tcPr>
                <w:p w14:paraId="198810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571" w:type="pct"/>
                  <w:tcBorders>
                    <w:tl2br w:val="nil"/>
                    <w:tr2bl w:val="nil"/>
                  </w:tcBorders>
                  <w:vAlign w:val="center"/>
                </w:tcPr>
                <w:p w14:paraId="54E56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经度</w:t>
                  </w:r>
                </w:p>
              </w:tc>
              <w:tc>
                <w:tcPr>
                  <w:tcW w:w="529" w:type="pct"/>
                  <w:tcBorders>
                    <w:tl2br w:val="nil"/>
                    <w:tr2bl w:val="nil"/>
                  </w:tcBorders>
                  <w:vAlign w:val="center"/>
                </w:tcPr>
                <w:p w14:paraId="52B436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纬度</w:t>
                  </w:r>
                </w:p>
              </w:tc>
              <w:tc>
                <w:tcPr>
                  <w:tcW w:w="380" w:type="pct"/>
                  <w:vMerge w:val="continue"/>
                  <w:tcBorders>
                    <w:tl2br w:val="nil"/>
                    <w:tr2bl w:val="nil"/>
                  </w:tcBorders>
                  <w:vAlign w:val="center"/>
                </w:tcPr>
                <w:p w14:paraId="0BD7A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vertAlign w:val="baseline"/>
                    </w:rPr>
                  </w:pPr>
                </w:p>
              </w:tc>
              <w:tc>
                <w:tcPr>
                  <w:tcW w:w="380" w:type="pct"/>
                  <w:vMerge w:val="continue"/>
                  <w:tcBorders>
                    <w:tl2br w:val="nil"/>
                    <w:tr2bl w:val="nil"/>
                  </w:tcBorders>
                  <w:vAlign w:val="center"/>
                </w:tcPr>
                <w:p w14:paraId="5F902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A185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0981F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tcBorders>
                    <w:tl2br w:val="nil"/>
                    <w:tr2bl w:val="nil"/>
                  </w:tcBorders>
                  <w:vAlign w:val="center"/>
                </w:tcPr>
                <w:p w14:paraId="118E06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名称</w:t>
                  </w:r>
                </w:p>
              </w:tc>
              <w:tc>
                <w:tcPr>
                  <w:tcW w:w="380" w:type="pct"/>
                  <w:tcBorders>
                    <w:tl2br w:val="nil"/>
                    <w:tr2bl w:val="nil"/>
                  </w:tcBorders>
                  <w:vAlign w:val="center"/>
                </w:tcPr>
                <w:p w14:paraId="73E9E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污染物种类</w:t>
                  </w:r>
                </w:p>
              </w:tc>
              <w:tc>
                <w:tcPr>
                  <w:tcW w:w="852" w:type="pct"/>
                  <w:tcBorders>
                    <w:tl2br w:val="nil"/>
                    <w:tr2bl w:val="nil"/>
                  </w:tcBorders>
                  <w:vAlign w:val="center"/>
                </w:tcPr>
                <w:p w14:paraId="39EAA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彩云湖污水处理厂出水水质标准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mg/L</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p>
              </w:tc>
            </w:tr>
            <w:tr w14:paraId="5855D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restart"/>
                  <w:tcBorders>
                    <w:tl2br w:val="nil"/>
                    <w:tr2bl w:val="nil"/>
                  </w:tcBorders>
                  <w:shd w:val="clear" w:color="auto" w:fill="auto"/>
                  <w:vAlign w:val="center"/>
                </w:tcPr>
                <w:p w14:paraId="7BCDF6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1</w:t>
                  </w:r>
                </w:p>
              </w:tc>
              <w:tc>
                <w:tcPr>
                  <w:tcW w:w="511" w:type="pct"/>
                  <w:vMerge w:val="restart"/>
                  <w:tcBorders>
                    <w:tl2br w:val="nil"/>
                    <w:tr2bl w:val="nil"/>
                  </w:tcBorders>
                  <w:shd w:val="clear" w:color="auto" w:fill="auto"/>
                  <w:vAlign w:val="center"/>
                </w:tcPr>
                <w:p w14:paraId="11240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DW001</w:t>
                  </w:r>
                </w:p>
              </w:tc>
              <w:tc>
                <w:tcPr>
                  <w:tcW w:w="571" w:type="pct"/>
                  <w:vMerge w:val="restart"/>
                  <w:tcBorders>
                    <w:tl2br w:val="nil"/>
                    <w:tr2bl w:val="nil"/>
                  </w:tcBorders>
                  <w:vAlign w:val="center"/>
                </w:tcPr>
                <w:p w14:paraId="2DE7135F">
                  <w:pPr>
                    <w:pStyle w:val="41"/>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baseline"/>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106°27′52.180″</w:t>
                  </w:r>
                </w:p>
              </w:tc>
              <w:tc>
                <w:tcPr>
                  <w:tcW w:w="529" w:type="pct"/>
                  <w:vMerge w:val="restart"/>
                  <w:tcBorders>
                    <w:tl2br w:val="nil"/>
                    <w:tr2bl w:val="nil"/>
                  </w:tcBorders>
                  <w:vAlign w:val="center"/>
                </w:tcPr>
                <w:p w14:paraId="59965EBF">
                  <w:pPr>
                    <w:pStyle w:val="41"/>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baseline"/>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29°30′21.984</w:t>
                  </w: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c>
                <w:tcPr>
                  <w:tcW w:w="380" w:type="pct"/>
                  <w:vMerge w:val="restart"/>
                  <w:tcBorders>
                    <w:tl2br w:val="nil"/>
                    <w:tr2bl w:val="nil"/>
                  </w:tcBorders>
                  <w:vAlign w:val="center"/>
                </w:tcPr>
                <w:p w14:paraId="75262A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vertAlign w:val="baseline"/>
                      <w:lang w:val="en-US"/>
                    </w:rPr>
                  </w:pPr>
                  <w:r>
                    <w:rPr>
                      <w:rFonts w:hint="eastAsia" w:cs="Times New Roman"/>
                      <w:b w:val="0"/>
                      <w:bCs/>
                      <w:color w:val="auto"/>
                      <w:spacing w:val="0"/>
                      <w:sz w:val="21"/>
                      <w:szCs w:val="21"/>
                      <w:highlight w:val="none"/>
                      <w:vertAlign w:val="baseline"/>
                      <w:lang w:val="en-US" w:eastAsia="zh-CN"/>
                    </w:rPr>
                    <w:t>0.04891356</w:t>
                  </w:r>
                </w:p>
              </w:tc>
              <w:tc>
                <w:tcPr>
                  <w:tcW w:w="380" w:type="pct"/>
                  <w:vMerge w:val="restart"/>
                  <w:tcBorders>
                    <w:tl2br w:val="nil"/>
                    <w:tr2bl w:val="nil"/>
                  </w:tcBorders>
                  <w:vAlign w:val="center"/>
                </w:tcPr>
                <w:p w14:paraId="78699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市政污水管网→</w:t>
                  </w:r>
                  <w:r>
                    <w:rPr>
                      <w:rFonts w:hint="eastAsia" w:cs="Times New Roman"/>
                      <w:color w:val="000000" w:themeColor="text1"/>
                      <w:sz w:val="21"/>
                      <w:szCs w:val="21"/>
                      <w:highlight w:val="none"/>
                      <w:lang w:val="en-US" w:eastAsia="zh-CN"/>
                      <w14:textFill>
                        <w14:solidFill>
                          <w14:schemeClr w14:val="tx1"/>
                        </w14:solidFill>
                      </w14:textFill>
                    </w:rPr>
                    <w:t>彩云湖污水处理厂</w:t>
                  </w:r>
                </w:p>
                <w:p w14:paraId="6979C5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→彩云湖湿地公园和桃花溪景观补水→</w:t>
                  </w: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长江</w:t>
                  </w:r>
                </w:p>
              </w:tc>
              <w:tc>
                <w:tcPr>
                  <w:tcW w:w="380" w:type="pct"/>
                  <w:vMerge w:val="restart"/>
                  <w:tcBorders>
                    <w:tl2br w:val="nil"/>
                    <w:tr2bl w:val="nil"/>
                  </w:tcBorders>
                  <w:vAlign w:val="center"/>
                </w:tcPr>
                <w:p w14:paraId="2BE5E4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间断排</w:t>
                  </w:r>
                </w:p>
                <w:p w14:paraId="2C0AA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放，排放期间流量不稳定，但有规律且不属于非周期性</w:t>
                  </w:r>
                </w:p>
                <w:p w14:paraId="01FF4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规律</w:t>
                  </w:r>
                </w:p>
              </w:tc>
              <w:tc>
                <w:tcPr>
                  <w:tcW w:w="393" w:type="pct"/>
                  <w:vMerge w:val="restart"/>
                  <w:tcBorders>
                    <w:tl2br w:val="nil"/>
                    <w:tr2bl w:val="nil"/>
                  </w:tcBorders>
                  <w:vAlign w:val="center"/>
                </w:tcPr>
                <w:p w14:paraId="0CF87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0：00~24：00</w:t>
                  </w:r>
                </w:p>
              </w:tc>
              <w:tc>
                <w:tcPr>
                  <w:tcW w:w="380" w:type="pct"/>
                  <w:vMerge w:val="restart"/>
                  <w:tcBorders>
                    <w:tl2br w:val="nil"/>
                    <w:tr2bl w:val="nil"/>
                  </w:tcBorders>
                  <w:shd w:val="clear" w:color="auto" w:fill="auto"/>
                  <w:vAlign w:val="center"/>
                </w:tcPr>
                <w:p w14:paraId="309BF8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彩云湖污水处理厂</w:t>
                  </w:r>
                </w:p>
              </w:tc>
              <w:tc>
                <w:tcPr>
                  <w:tcW w:w="380" w:type="pct"/>
                  <w:tcBorders>
                    <w:tl2br w:val="nil"/>
                    <w:tr2bl w:val="nil"/>
                  </w:tcBorders>
                  <w:shd w:val="clear" w:color="auto" w:fill="auto"/>
                  <w:vAlign w:val="center"/>
                </w:tcPr>
                <w:p w14:paraId="7DC45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pH</w:t>
                  </w:r>
                </w:p>
              </w:tc>
              <w:tc>
                <w:tcPr>
                  <w:tcW w:w="852" w:type="pct"/>
                  <w:tcBorders>
                    <w:tl2br w:val="nil"/>
                    <w:tr2bl w:val="nil"/>
                  </w:tcBorders>
                  <w:shd w:val="clear" w:color="auto" w:fill="auto"/>
                  <w:vAlign w:val="center"/>
                </w:tcPr>
                <w:p w14:paraId="0F20F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6~-9</w:t>
                  </w:r>
                </w:p>
              </w:tc>
            </w:tr>
            <w:tr w14:paraId="23246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3D6B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6571A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C882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194CF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0B9CC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180907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2AA7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E4D49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13876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31F674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852" w:type="pct"/>
                  <w:tcBorders>
                    <w:tl2br w:val="nil"/>
                    <w:tr2bl w:val="nil"/>
                  </w:tcBorders>
                  <w:shd w:val="clear" w:color="auto" w:fill="auto"/>
                  <w:vAlign w:val="center"/>
                </w:tcPr>
                <w:p w14:paraId="138A5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30</w:t>
                  </w:r>
                </w:p>
              </w:tc>
            </w:tr>
            <w:tr w14:paraId="750BF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6592A2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7ABB0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421B9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E39E7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6FE66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B877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729A9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731D4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70C53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693FB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852" w:type="pct"/>
                  <w:tcBorders>
                    <w:tl2br w:val="nil"/>
                    <w:tr2bl w:val="nil"/>
                  </w:tcBorders>
                  <w:shd w:val="clear" w:color="auto" w:fill="auto"/>
                  <w:vAlign w:val="center"/>
                </w:tcPr>
                <w:p w14:paraId="7F3BE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6</w:t>
                  </w:r>
                </w:p>
              </w:tc>
            </w:tr>
            <w:tr w14:paraId="27CBC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DA21A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3C09F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5696F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4133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5107F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1397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BD91A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71AAF2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DF6A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4CADC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852" w:type="pct"/>
                  <w:tcBorders>
                    <w:tl2br w:val="nil"/>
                    <w:tr2bl w:val="nil"/>
                  </w:tcBorders>
                  <w:shd w:val="clear" w:color="auto" w:fill="auto"/>
                  <w:vAlign w:val="center"/>
                </w:tcPr>
                <w:p w14:paraId="1685E3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1.5</w:t>
                  </w:r>
                </w:p>
              </w:tc>
            </w:tr>
            <w:tr w14:paraId="77A8F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C572A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25794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5637B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4B7FD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61A98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14185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31391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40D35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3D814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19836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852" w:type="pct"/>
                  <w:tcBorders>
                    <w:tl2br w:val="nil"/>
                    <w:tr2bl w:val="nil"/>
                  </w:tcBorders>
                  <w:shd w:val="clear" w:color="auto" w:fill="auto"/>
                  <w:vAlign w:val="center"/>
                </w:tcPr>
                <w:p w14:paraId="722D6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w:t>
                  </w:r>
                </w:p>
              </w:tc>
            </w:tr>
            <w:tr w14:paraId="4CBA4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0461B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5F7351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3A301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B866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58BD4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0637A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B391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4273F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7CE311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600B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852" w:type="pct"/>
                  <w:tcBorders>
                    <w:tl2br w:val="nil"/>
                    <w:tr2bl w:val="nil"/>
                  </w:tcBorders>
                  <w:shd w:val="clear" w:color="auto" w:fill="auto"/>
                  <w:vAlign w:val="center"/>
                </w:tcPr>
                <w:p w14:paraId="66F2B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w:t>
                  </w:r>
                </w:p>
              </w:tc>
            </w:tr>
            <w:tr w14:paraId="770B7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762B0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4DAD3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79E1C9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5AB22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2A37A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5BEAC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024A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1059E7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579EE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BFC3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852" w:type="pct"/>
                  <w:tcBorders>
                    <w:tl2br w:val="nil"/>
                    <w:tr2bl w:val="nil"/>
                  </w:tcBorders>
                  <w:shd w:val="clear" w:color="auto" w:fill="auto"/>
                  <w:vAlign w:val="center"/>
                </w:tcPr>
                <w:p w14:paraId="45B7B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1000个/L</w:t>
                  </w:r>
                </w:p>
              </w:tc>
            </w:tr>
            <w:tr w14:paraId="47AE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4BDA27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4027FE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28970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89B9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0F898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6030E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266814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54414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3CC33F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380" w:type="pct"/>
                  <w:tcBorders>
                    <w:tl2br w:val="nil"/>
                    <w:tr2bl w:val="nil"/>
                  </w:tcBorders>
                  <w:shd w:val="clear" w:color="auto" w:fill="auto"/>
                  <w:vAlign w:val="center"/>
                </w:tcPr>
                <w:p w14:paraId="5E828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852" w:type="pct"/>
                  <w:tcBorders>
                    <w:tl2br w:val="nil"/>
                    <w:tr2bl w:val="nil"/>
                  </w:tcBorders>
                  <w:shd w:val="clear" w:color="auto" w:fill="auto"/>
                  <w:vAlign w:val="center"/>
                </w:tcPr>
                <w:p w14:paraId="0F5B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0.5</w:t>
                  </w:r>
                </w:p>
              </w:tc>
            </w:tr>
            <w:tr w14:paraId="2954A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 w:type="pct"/>
                  <w:vMerge w:val="continue"/>
                  <w:tcBorders>
                    <w:tl2br w:val="nil"/>
                    <w:tr2bl w:val="nil"/>
                  </w:tcBorders>
                  <w:vAlign w:val="center"/>
                </w:tcPr>
                <w:p w14:paraId="2B610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11" w:type="pct"/>
                  <w:vMerge w:val="continue"/>
                  <w:tcBorders>
                    <w:tl2br w:val="nil"/>
                    <w:tr2bl w:val="nil"/>
                  </w:tcBorders>
                  <w:vAlign w:val="center"/>
                </w:tcPr>
                <w:p w14:paraId="2463D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571" w:type="pct"/>
                  <w:vMerge w:val="continue"/>
                  <w:tcBorders>
                    <w:tl2br w:val="nil"/>
                    <w:tr2bl w:val="nil"/>
                  </w:tcBorders>
                  <w:vAlign w:val="center"/>
                </w:tcPr>
                <w:p w14:paraId="1B70E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529" w:type="pct"/>
                  <w:vMerge w:val="continue"/>
                  <w:tcBorders>
                    <w:tl2br w:val="nil"/>
                    <w:tr2bl w:val="nil"/>
                  </w:tcBorders>
                  <w:vAlign w:val="center"/>
                </w:tcPr>
                <w:p w14:paraId="6C6A4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p>
              </w:tc>
              <w:tc>
                <w:tcPr>
                  <w:tcW w:w="380" w:type="pct"/>
                  <w:vMerge w:val="continue"/>
                  <w:tcBorders>
                    <w:tl2br w:val="nil"/>
                    <w:tr2bl w:val="nil"/>
                  </w:tcBorders>
                  <w:vAlign w:val="center"/>
                </w:tcPr>
                <w:p w14:paraId="4AFC8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3F7E3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vAlign w:val="center"/>
                </w:tcPr>
                <w:p w14:paraId="4B0EA2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93" w:type="pct"/>
                  <w:vMerge w:val="continue"/>
                  <w:tcBorders>
                    <w:tl2br w:val="nil"/>
                    <w:tr2bl w:val="nil"/>
                  </w:tcBorders>
                  <w:vAlign w:val="center"/>
                </w:tcPr>
                <w:p w14:paraId="1EA0C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380" w:type="pct"/>
                  <w:vMerge w:val="continue"/>
                  <w:tcBorders>
                    <w:tl2br w:val="nil"/>
                    <w:tr2bl w:val="nil"/>
                  </w:tcBorders>
                  <w:shd w:val="clear" w:color="auto" w:fill="auto"/>
                  <w:vAlign w:val="center"/>
                </w:tcPr>
                <w:p w14:paraId="17C2C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380" w:type="pct"/>
                  <w:tcBorders>
                    <w:tl2br w:val="nil"/>
                    <w:tr2bl w:val="nil"/>
                  </w:tcBorders>
                  <w:shd w:val="clear" w:color="auto" w:fill="auto"/>
                  <w:vAlign w:val="center"/>
                </w:tcPr>
                <w:p w14:paraId="6DC88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852" w:type="pct"/>
                  <w:tcBorders>
                    <w:tl2br w:val="nil"/>
                    <w:tr2bl w:val="nil"/>
                  </w:tcBorders>
                  <w:shd w:val="clear" w:color="auto" w:fill="auto"/>
                  <w:vAlign w:val="center"/>
                </w:tcPr>
                <w:p w14:paraId="2E0B7C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w:t>
                  </w:r>
                </w:p>
              </w:tc>
            </w:tr>
          </w:tbl>
          <w:p w14:paraId="71EC4F20">
            <w:pPr>
              <w:pStyle w:val="49"/>
              <w:spacing w:before="0" w:after="60"/>
              <w:jc w:val="cente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表4</w:t>
            </w:r>
            <w:r>
              <w:rPr>
                <w:rFonts w:hint="eastAsia"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vertAlign w:val="baseline"/>
                <w:lang w:val="en-US" w:eastAsia="zh-CN" w:bidi="ar-SA"/>
                <w14:textFill>
                  <w14:solidFill>
                    <w14:schemeClr w14:val="tx1"/>
                  </w14:solidFill>
                </w14:textFill>
              </w:rPr>
              <w:t>2</w:t>
            </w:r>
            <w:r>
              <w:rPr>
                <w:rFonts w:hint="eastAsia"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w:t>
            </w:r>
            <w:r>
              <w:rPr>
                <w:rFonts w:hint="eastAsia" w:ascii="Times New Roman" w:hAnsi="Times New Roman" w:cs="Times New Roman"/>
                <w:b/>
                <w:bCs w:val="0"/>
                <w:color w:val="000000" w:themeColor="text1"/>
                <w:kern w:val="0"/>
                <w:sz w:val="24"/>
                <w:szCs w:val="24"/>
                <w:highlight w:val="none"/>
                <w:vertAlign w:val="baseline"/>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0"/>
                <w:sz w:val="24"/>
                <w:szCs w:val="24"/>
                <w:highlight w:val="none"/>
                <w:vertAlign w:val="baseline"/>
                <w:lang w:val="en-US" w:eastAsia="zh-CN" w:bidi="ar-SA"/>
                <w14:textFill>
                  <w14:solidFill>
                    <w14:schemeClr w14:val="tx1"/>
                  </w14:solidFill>
                </w14:textFill>
              </w:rPr>
              <w:t>废水污染物排放信息表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53"/>
              <w:gridCol w:w="2040"/>
              <w:gridCol w:w="1988"/>
              <w:gridCol w:w="2517"/>
              <w:gridCol w:w="2273"/>
              <w:gridCol w:w="2459"/>
            </w:tblGrid>
            <w:tr w14:paraId="502AD8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tcBorders>
                    <w:tl2br w:val="nil"/>
                    <w:tr2bl w:val="nil"/>
                  </w:tcBorders>
                  <w:noWrap w:val="0"/>
                  <w:vAlign w:val="center"/>
                </w:tcPr>
                <w:p w14:paraId="48EE624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序号</w:t>
                  </w:r>
                </w:p>
              </w:tc>
              <w:tc>
                <w:tcPr>
                  <w:tcW w:w="814" w:type="pct"/>
                  <w:tcBorders>
                    <w:tl2br w:val="nil"/>
                    <w:tr2bl w:val="nil"/>
                  </w:tcBorders>
                  <w:noWrap w:val="0"/>
                  <w:vAlign w:val="center"/>
                </w:tcPr>
                <w:p w14:paraId="11C5C30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排放口编号</w:t>
                  </w:r>
                </w:p>
              </w:tc>
              <w:tc>
                <w:tcPr>
                  <w:tcW w:w="793" w:type="pct"/>
                  <w:tcBorders>
                    <w:tl2br w:val="nil"/>
                    <w:tr2bl w:val="nil"/>
                  </w:tcBorders>
                  <w:noWrap w:val="0"/>
                  <w:vAlign w:val="center"/>
                </w:tcPr>
                <w:p w14:paraId="301BD56D">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污染物种类</w:t>
                  </w:r>
                </w:p>
              </w:tc>
              <w:tc>
                <w:tcPr>
                  <w:tcW w:w="1004" w:type="pct"/>
                  <w:tcBorders>
                    <w:tl2br w:val="nil"/>
                    <w:tr2bl w:val="nil"/>
                  </w:tcBorders>
                  <w:noWrap w:val="0"/>
                  <w:vAlign w:val="center"/>
                </w:tcPr>
                <w:p w14:paraId="7907B21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排放浓度（mg/L）</w:t>
                  </w:r>
                </w:p>
              </w:tc>
              <w:tc>
                <w:tcPr>
                  <w:tcW w:w="907" w:type="pct"/>
                  <w:tcBorders>
                    <w:tl2br w:val="nil"/>
                    <w:tr2bl w:val="nil"/>
                  </w:tcBorders>
                  <w:noWrap w:val="0"/>
                  <w:vAlign w:val="center"/>
                </w:tcPr>
                <w:p w14:paraId="12CD7491">
                  <w:pPr>
                    <w:pStyle w:val="41"/>
                    <w:spacing w:beforeLines="0" w:afterLines="0" w:line="240" w:lineRule="auto"/>
                    <w:jc w:val="both"/>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日排放量（t/d）</w:t>
                  </w:r>
                </w:p>
              </w:tc>
              <w:tc>
                <w:tcPr>
                  <w:tcW w:w="981" w:type="pct"/>
                  <w:tcBorders>
                    <w:tl2br w:val="nil"/>
                    <w:tr2bl w:val="nil"/>
                  </w:tcBorders>
                  <w:noWrap w:val="0"/>
                  <w:vAlign w:val="center"/>
                </w:tcPr>
                <w:p w14:paraId="078750B9">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年排放量（t/a）</w:t>
                  </w:r>
                </w:p>
              </w:tc>
            </w:tr>
            <w:tr w14:paraId="7ED32B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restart"/>
                  <w:tcBorders>
                    <w:tl2br w:val="nil"/>
                    <w:tr2bl w:val="nil"/>
                  </w:tcBorders>
                  <w:noWrap w:val="0"/>
                  <w:vAlign w:val="center"/>
                </w:tcPr>
                <w:p w14:paraId="22B5D20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1</w:t>
                  </w:r>
                </w:p>
              </w:tc>
              <w:tc>
                <w:tcPr>
                  <w:tcW w:w="814" w:type="pct"/>
                  <w:vMerge w:val="restart"/>
                  <w:tcBorders>
                    <w:tl2br w:val="nil"/>
                    <w:tr2bl w:val="nil"/>
                  </w:tcBorders>
                  <w:noWrap w:val="0"/>
                  <w:vAlign w:val="center"/>
                </w:tcPr>
                <w:p w14:paraId="46AA6FA2">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bidi="ar-SA"/>
                      <w14:textFill>
                        <w14:solidFill>
                          <w14:schemeClr w14:val="tx1"/>
                        </w14:solidFill>
                      </w14:textFill>
                    </w:rPr>
                    <w:t>彩云湖污水处理厂</w:t>
                  </w: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w:t>
                  </w:r>
                </w:p>
              </w:tc>
              <w:tc>
                <w:tcPr>
                  <w:tcW w:w="793" w:type="pct"/>
                  <w:tcBorders>
                    <w:tl2br w:val="nil"/>
                    <w:tr2bl w:val="nil"/>
                  </w:tcBorders>
                  <w:noWrap w:val="0"/>
                  <w:vAlign w:val="center"/>
                </w:tcPr>
                <w:p w14:paraId="4EA816AD">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pH</w:t>
                  </w:r>
                </w:p>
              </w:tc>
              <w:tc>
                <w:tcPr>
                  <w:tcW w:w="1004" w:type="pct"/>
                  <w:tcBorders>
                    <w:tl2br w:val="nil"/>
                    <w:tr2bl w:val="nil"/>
                  </w:tcBorders>
                  <w:noWrap w:val="0"/>
                  <w:vAlign w:val="center"/>
                </w:tcPr>
                <w:p w14:paraId="039E8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6~-9</w:t>
                  </w:r>
                </w:p>
              </w:tc>
              <w:tc>
                <w:tcPr>
                  <w:tcW w:w="907" w:type="pct"/>
                  <w:tcBorders>
                    <w:tl2br w:val="nil"/>
                    <w:tr2bl w:val="nil"/>
                  </w:tcBorders>
                  <w:noWrap w:val="0"/>
                  <w:vAlign w:val="center"/>
                </w:tcPr>
                <w:p w14:paraId="76EAF49F">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p>
              </w:tc>
              <w:tc>
                <w:tcPr>
                  <w:tcW w:w="981" w:type="pct"/>
                  <w:tcBorders>
                    <w:tl2br w:val="nil"/>
                    <w:tr2bl w:val="nil"/>
                  </w:tcBorders>
                  <w:noWrap w:val="0"/>
                  <w:vAlign w:val="center"/>
                </w:tcPr>
                <w:p w14:paraId="32421AE3">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w:t>
                  </w:r>
                </w:p>
              </w:tc>
            </w:tr>
            <w:tr w14:paraId="03B23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500" w:type="pct"/>
                  <w:vMerge w:val="continue"/>
                  <w:tcBorders>
                    <w:tl2br w:val="nil"/>
                    <w:tr2bl w:val="nil"/>
                  </w:tcBorders>
                  <w:noWrap w:val="0"/>
                  <w:vAlign w:val="center"/>
                </w:tcPr>
                <w:p w14:paraId="7B54EC03">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274D100C">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36AB8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1004" w:type="pct"/>
                  <w:tcBorders>
                    <w:tl2br w:val="nil"/>
                    <w:tr2bl w:val="nil"/>
                  </w:tcBorders>
                  <w:noWrap w:val="0"/>
                  <w:vAlign w:val="center"/>
                </w:tcPr>
                <w:p w14:paraId="7DA99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30</w:t>
                  </w:r>
                </w:p>
              </w:tc>
              <w:tc>
                <w:tcPr>
                  <w:tcW w:w="907" w:type="pct"/>
                  <w:tcBorders>
                    <w:tl2br w:val="nil"/>
                    <w:tr2bl w:val="nil"/>
                  </w:tcBorders>
                  <w:noWrap w:val="0"/>
                  <w:vAlign w:val="center"/>
                </w:tcPr>
                <w:p w14:paraId="07B420E9">
                  <w:pPr>
                    <w:bidi w:val="0"/>
                    <w:jc w:val="center"/>
                    <w:rPr>
                      <w:rFonts w:hint="default"/>
                      <w:lang w:val="en-US" w:eastAsia="zh-CN"/>
                    </w:rPr>
                  </w:pPr>
                  <w:r>
                    <w:rPr>
                      <w:rFonts w:hint="eastAsia"/>
                      <w:lang w:val="en-US" w:eastAsia="zh-CN"/>
                    </w:rPr>
                    <w:t>0.000039933</w:t>
                  </w:r>
                </w:p>
              </w:tc>
              <w:tc>
                <w:tcPr>
                  <w:tcW w:w="981" w:type="pct"/>
                  <w:tcBorders>
                    <w:tl2br w:val="nil"/>
                    <w:tr2bl w:val="nil"/>
                  </w:tcBorders>
                  <w:noWrap w:val="0"/>
                  <w:vAlign w:val="center"/>
                </w:tcPr>
                <w:p w14:paraId="6F70A945">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549BA2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continue"/>
                  <w:tcBorders>
                    <w:tl2br w:val="nil"/>
                    <w:tr2bl w:val="nil"/>
                  </w:tcBorders>
                  <w:noWrap w:val="0"/>
                  <w:vAlign w:val="center"/>
                </w:tcPr>
                <w:p w14:paraId="52EA2C72">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07E54B9F">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AE55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1004" w:type="pct"/>
                  <w:tcBorders>
                    <w:tl2br w:val="nil"/>
                    <w:tr2bl w:val="nil"/>
                  </w:tcBorders>
                  <w:noWrap w:val="0"/>
                  <w:vAlign w:val="center"/>
                </w:tcPr>
                <w:p w14:paraId="76DDE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907" w:type="pct"/>
                  <w:tcBorders>
                    <w:tl2br w:val="nil"/>
                    <w:tr2bl w:val="nil"/>
                  </w:tcBorders>
                  <w:noWrap w:val="0"/>
                  <w:vAlign w:val="center"/>
                </w:tcPr>
                <w:p w14:paraId="240E6260">
                  <w:pPr>
                    <w:bidi w:val="0"/>
                    <w:jc w:val="center"/>
                    <w:rPr>
                      <w:rFonts w:hint="default"/>
                      <w:lang w:val="en-US" w:eastAsia="zh-CN"/>
                    </w:rPr>
                  </w:pPr>
                  <w:r>
                    <w:rPr>
                      <w:rFonts w:hint="eastAsia"/>
                      <w:lang w:val="en-US" w:eastAsia="zh-CN"/>
                    </w:rPr>
                    <w:t>7.9866E-06</w:t>
                  </w:r>
                </w:p>
              </w:tc>
              <w:tc>
                <w:tcPr>
                  <w:tcW w:w="981" w:type="pct"/>
                  <w:tcBorders>
                    <w:tl2br w:val="nil"/>
                    <w:tr2bl w:val="nil"/>
                  </w:tcBorders>
                  <w:noWrap w:val="0"/>
                  <w:vAlign w:val="center"/>
                </w:tcPr>
                <w:p w14:paraId="7D02083D">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685AF4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500" w:type="pct"/>
                  <w:vMerge w:val="continue"/>
                  <w:tcBorders>
                    <w:tl2br w:val="nil"/>
                    <w:tr2bl w:val="nil"/>
                  </w:tcBorders>
                  <w:noWrap w:val="0"/>
                  <w:vAlign w:val="center"/>
                </w:tcPr>
                <w:p w14:paraId="0CBB56A0">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2B1BAABA">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01160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1004" w:type="pct"/>
                  <w:tcBorders>
                    <w:tl2br w:val="nil"/>
                    <w:tr2bl w:val="nil"/>
                  </w:tcBorders>
                  <w:noWrap w:val="0"/>
                  <w:vAlign w:val="center"/>
                </w:tcPr>
                <w:p w14:paraId="652D5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1.5</w:t>
                  </w:r>
                </w:p>
              </w:tc>
              <w:tc>
                <w:tcPr>
                  <w:tcW w:w="907" w:type="pct"/>
                  <w:tcBorders>
                    <w:tl2br w:val="nil"/>
                    <w:tr2bl w:val="nil"/>
                  </w:tcBorders>
                  <w:noWrap w:val="0"/>
                  <w:vAlign w:val="center"/>
                </w:tcPr>
                <w:p w14:paraId="154F6139">
                  <w:pPr>
                    <w:bidi w:val="0"/>
                    <w:jc w:val="center"/>
                    <w:rPr>
                      <w:rFonts w:hint="default"/>
                      <w:lang w:val="en-US" w:eastAsia="zh-CN"/>
                    </w:rPr>
                  </w:pPr>
                  <w:r>
                    <w:rPr>
                      <w:rFonts w:hint="eastAsia"/>
                      <w:lang w:val="en-US" w:eastAsia="zh-CN"/>
                    </w:rPr>
                    <w:t>1.99665E-06</w:t>
                  </w:r>
                </w:p>
              </w:tc>
              <w:tc>
                <w:tcPr>
                  <w:tcW w:w="981" w:type="pct"/>
                  <w:tcBorders>
                    <w:tl2br w:val="nil"/>
                    <w:tr2bl w:val="nil"/>
                  </w:tcBorders>
                  <w:noWrap w:val="0"/>
                  <w:vAlign w:val="center"/>
                </w:tcPr>
                <w:p w14:paraId="0AE9D63A">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AFF0A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500" w:type="pct"/>
                  <w:vMerge w:val="continue"/>
                  <w:tcBorders>
                    <w:tl2br w:val="nil"/>
                    <w:tr2bl w:val="nil"/>
                  </w:tcBorders>
                  <w:noWrap w:val="0"/>
                  <w:vAlign w:val="center"/>
                </w:tcPr>
                <w:p w14:paraId="204C352E">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6E753AF3">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7DA0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1004" w:type="pct"/>
                  <w:tcBorders>
                    <w:tl2br w:val="nil"/>
                    <w:tr2bl w:val="nil"/>
                  </w:tcBorders>
                  <w:noWrap w:val="0"/>
                  <w:vAlign w:val="center"/>
                </w:tcPr>
                <w:p w14:paraId="7E2C7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w:t>
                  </w:r>
                </w:p>
              </w:tc>
              <w:tc>
                <w:tcPr>
                  <w:tcW w:w="907" w:type="pct"/>
                  <w:tcBorders>
                    <w:tl2br w:val="nil"/>
                    <w:tr2bl w:val="nil"/>
                  </w:tcBorders>
                  <w:noWrap w:val="0"/>
                  <w:vAlign w:val="center"/>
                </w:tcPr>
                <w:p w14:paraId="34E4FDAA">
                  <w:pPr>
                    <w:bidi w:val="0"/>
                    <w:jc w:val="center"/>
                    <w:rPr>
                      <w:rFonts w:hint="default"/>
                      <w:lang w:val="en-US" w:eastAsia="zh-CN"/>
                    </w:rPr>
                  </w:pPr>
                  <w:r>
                    <w:rPr>
                      <w:rFonts w:hint="eastAsia"/>
                      <w:lang w:val="en-US" w:eastAsia="zh-CN"/>
                    </w:rPr>
                    <w:t>0.000013311</w:t>
                  </w:r>
                </w:p>
              </w:tc>
              <w:tc>
                <w:tcPr>
                  <w:tcW w:w="981" w:type="pct"/>
                  <w:tcBorders>
                    <w:tl2br w:val="nil"/>
                    <w:tr2bl w:val="nil"/>
                  </w:tcBorders>
                  <w:noWrap w:val="0"/>
                  <w:vAlign w:val="center"/>
                </w:tcPr>
                <w:p w14:paraId="32BA6EA3">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266FEA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500" w:type="pct"/>
                  <w:vMerge w:val="continue"/>
                  <w:tcBorders>
                    <w:tl2br w:val="nil"/>
                    <w:tr2bl w:val="nil"/>
                  </w:tcBorders>
                  <w:noWrap w:val="0"/>
                  <w:vAlign w:val="center"/>
                </w:tcPr>
                <w:p w14:paraId="77C464B6">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403C09EF">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2B6BA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1004" w:type="pct"/>
                  <w:tcBorders>
                    <w:tl2br w:val="nil"/>
                    <w:tr2bl w:val="nil"/>
                  </w:tcBorders>
                  <w:noWrap w:val="0"/>
                  <w:vAlign w:val="center"/>
                </w:tcPr>
                <w:p w14:paraId="71801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0.</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3</w:t>
                  </w:r>
                </w:p>
              </w:tc>
              <w:tc>
                <w:tcPr>
                  <w:tcW w:w="907" w:type="pct"/>
                  <w:tcBorders>
                    <w:tl2br w:val="nil"/>
                    <w:tr2bl w:val="nil"/>
                  </w:tcBorders>
                  <w:noWrap w:val="0"/>
                  <w:vAlign w:val="center"/>
                </w:tcPr>
                <w:p w14:paraId="1AC9391F">
                  <w:pPr>
                    <w:bidi w:val="0"/>
                    <w:jc w:val="center"/>
                    <w:rPr>
                      <w:rFonts w:hint="default"/>
                      <w:lang w:val="en-US" w:eastAsia="zh-CN"/>
                    </w:rPr>
                  </w:pPr>
                  <w:r>
                    <w:rPr>
                      <w:rFonts w:hint="eastAsia"/>
                      <w:lang w:val="en-US" w:eastAsia="zh-CN"/>
                    </w:rPr>
                    <w:t>3.9933E-07</w:t>
                  </w:r>
                </w:p>
              </w:tc>
              <w:tc>
                <w:tcPr>
                  <w:tcW w:w="981" w:type="pct"/>
                  <w:tcBorders>
                    <w:tl2br w:val="nil"/>
                    <w:tr2bl w:val="nil"/>
                  </w:tcBorders>
                  <w:noWrap w:val="0"/>
                  <w:vAlign w:val="center"/>
                </w:tcPr>
                <w:p w14:paraId="3E6D4B2B">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0DFAD6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500" w:type="pct"/>
                  <w:vMerge w:val="continue"/>
                  <w:tcBorders>
                    <w:tl2br w:val="nil"/>
                    <w:tr2bl w:val="nil"/>
                  </w:tcBorders>
                  <w:noWrap w:val="0"/>
                  <w:vAlign w:val="center"/>
                </w:tcPr>
                <w:p w14:paraId="05CAF3FA">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64AD5F4E">
                  <w:pPr>
                    <w:pStyle w:val="41"/>
                    <w:spacing w:beforeLines="0" w:afterLines="0" w:line="240" w:lineRule="auto"/>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6CEDC2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1004" w:type="pct"/>
                  <w:tcBorders>
                    <w:tl2br w:val="nil"/>
                    <w:tr2bl w:val="nil"/>
                  </w:tcBorders>
                  <w:noWrap w:val="0"/>
                  <w:vAlign w:val="center"/>
                </w:tcPr>
                <w:p w14:paraId="2D9A5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1000个/L</w:t>
                  </w:r>
                </w:p>
              </w:tc>
              <w:tc>
                <w:tcPr>
                  <w:tcW w:w="907" w:type="pct"/>
                  <w:tcBorders>
                    <w:tl2br w:val="nil"/>
                    <w:tr2bl w:val="nil"/>
                  </w:tcBorders>
                  <w:noWrap w:val="0"/>
                  <w:vAlign w:val="center"/>
                </w:tcPr>
                <w:p w14:paraId="782C94AD">
                  <w:pPr>
                    <w:bidi w:val="0"/>
                    <w:jc w:val="center"/>
                    <w:rPr>
                      <w:rFonts w:hint="default"/>
                      <w:lang w:val="en-US" w:eastAsia="zh-CN"/>
                    </w:rPr>
                  </w:pPr>
                  <w:r>
                    <w:rPr>
                      <w:rFonts w:hint="eastAsia" w:cs="Times New Roman"/>
                      <w:b w:val="0"/>
                      <w:bCs/>
                      <w:color w:val="auto"/>
                      <w:spacing w:val="0"/>
                      <w:sz w:val="21"/>
                      <w:szCs w:val="21"/>
                      <w:highlight w:val="none"/>
                      <w:vertAlign w:val="baseline"/>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×10</w:t>
                  </w:r>
                  <w:r>
                    <w:rPr>
                      <w:rFonts w:hint="eastAsia" w:cs="Times New Roman"/>
                      <w:i w:val="0"/>
                      <w:iCs w:val="0"/>
                      <w:color w:val="auto"/>
                      <w:kern w:val="0"/>
                      <w:sz w:val="21"/>
                      <w:szCs w:val="21"/>
                      <w:u w:val="none"/>
                      <w:vertAlign w:val="superscript"/>
                      <w:lang w:val="en-US" w:eastAsia="zh-CN" w:bidi="ar"/>
                    </w:rPr>
                    <w:t>6</w:t>
                  </w:r>
                  <w:r>
                    <w:rPr>
                      <w:rFonts w:hint="eastAsia" w:ascii="宋体" w:hAnsi="宋体" w:eastAsia="宋体" w:cs="宋体"/>
                      <w:i w:val="0"/>
                      <w:iCs w:val="0"/>
                      <w:color w:val="auto"/>
                      <w:kern w:val="0"/>
                      <w:sz w:val="21"/>
                      <w:szCs w:val="21"/>
                      <w:u w:val="none"/>
                      <w:lang w:val="en-US" w:eastAsia="zh-CN" w:bidi="ar"/>
                    </w:rPr>
                    <w:t>个</w:t>
                  </w:r>
                  <w:r>
                    <w:rPr>
                      <w:rStyle w:val="63"/>
                      <w:rFonts w:eastAsia="宋体"/>
                      <w:color w:val="auto"/>
                      <w:lang w:val="en-US" w:eastAsia="zh-CN" w:bidi="ar"/>
                    </w:rPr>
                    <w:t>/L</w:t>
                  </w:r>
                </w:p>
              </w:tc>
              <w:tc>
                <w:tcPr>
                  <w:tcW w:w="981" w:type="pct"/>
                  <w:tcBorders>
                    <w:tl2br w:val="nil"/>
                    <w:tr2bl w:val="nil"/>
                  </w:tcBorders>
                  <w:noWrap w:val="0"/>
                  <w:vAlign w:val="center"/>
                </w:tcPr>
                <w:p w14:paraId="3089D8E1">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666CC2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500" w:type="pct"/>
                  <w:vMerge w:val="continue"/>
                  <w:tcBorders>
                    <w:tl2br w:val="nil"/>
                    <w:tr2bl w:val="nil"/>
                  </w:tcBorders>
                  <w:noWrap w:val="0"/>
                  <w:vAlign w:val="center"/>
                </w:tcPr>
                <w:p w14:paraId="7BC5DEAD">
                  <w:pPr>
                    <w:adjustRightInd w:val="0"/>
                    <w:snapToGrid w:val="0"/>
                    <w:jc w:val="center"/>
                    <w:rPr>
                      <w:color w:val="000000" w:themeColor="text1"/>
                      <w:sz w:val="21"/>
                      <w:szCs w:val="21"/>
                      <w14:textFill>
                        <w14:solidFill>
                          <w14:schemeClr w14:val="tx1"/>
                        </w14:solidFill>
                      </w14:textFill>
                    </w:rPr>
                  </w:pPr>
                </w:p>
              </w:tc>
              <w:tc>
                <w:tcPr>
                  <w:tcW w:w="814" w:type="pct"/>
                  <w:vMerge w:val="continue"/>
                  <w:tcBorders>
                    <w:tl2br w:val="nil"/>
                    <w:tr2bl w:val="nil"/>
                  </w:tcBorders>
                  <w:noWrap w:val="0"/>
                  <w:vAlign w:val="center"/>
                </w:tcPr>
                <w:p w14:paraId="4164843C">
                  <w:pPr>
                    <w:adjustRightInd w:val="0"/>
                    <w:snapToGrid w:val="0"/>
                    <w:jc w:val="center"/>
                    <w:rPr>
                      <w:color w:val="000000" w:themeColor="text1"/>
                      <w:sz w:val="21"/>
                      <w:szCs w:val="21"/>
                      <w14:textFill>
                        <w14:solidFill>
                          <w14:schemeClr w14:val="tx1"/>
                        </w14:solidFill>
                      </w14:textFill>
                    </w:rPr>
                  </w:pPr>
                </w:p>
              </w:tc>
              <w:tc>
                <w:tcPr>
                  <w:tcW w:w="793" w:type="pct"/>
                  <w:tcBorders>
                    <w:tl2br w:val="nil"/>
                    <w:tr2bl w:val="nil"/>
                  </w:tcBorders>
                  <w:noWrap w:val="0"/>
                  <w:vAlign w:val="center"/>
                </w:tcPr>
                <w:p w14:paraId="22ACD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1004" w:type="pct"/>
                  <w:tcBorders>
                    <w:tl2br w:val="nil"/>
                    <w:tr2bl w:val="nil"/>
                  </w:tcBorders>
                  <w:noWrap w:val="0"/>
                  <w:vAlign w:val="center"/>
                </w:tcPr>
                <w:p w14:paraId="47FB0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0.5</w:t>
                  </w:r>
                </w:p>
              </w:tc>
              <w:tc>
                <w:tcPr>
                  <w:tcW w:w="907" w:type="pct"/>
                  <w:tcBorders>
                    <w:tl2br w:val="nil"/>
                    <w:tr2bl w:val="nil"/>
                  </w:tcBorders>
                  <w:shd w:val="clear" w:color="auto" w:fill="auto"/>
                  <w:noWrap w:val="0"/>
                  <w:vAlign w:val="center"/>
                </w:tcPr>
                <w:p w14:paraId="651154CD">
                  <w:pPr>
                    <w:bidi w:val="0"/>
                    <w:jc w:val="center"/>
                    <w:rPr>
                      <w:rFonts w:hint="default"/>
                      <w:lang w:val="en-US" w:eastAsia="zh-CN"/>
                    </w:rPr>
                  </w:pPr>
                  <w:r>
                    <w:rPr>
                      <w:rFonts w:hint="eastAsia"/>
                      <w:lang w:val="en-US" w:eastAsia="zh-CN"/>
                    </w:rPr>
                    <w:t>6.6555E-07</w:t>
                  </w:r>
                </w:p>
              </w:tc>
              <w:tc>
                <w:tcPr>
                  <w:tcW w:w="981" w:type="pct"/>
                  <w:tcBorders>
                    <w:tl2br w:val="nil"/>
                    <w:tr2bl w:val="nil"/>
                  </w:tcBorders>
                  <w:noWrap w:val="0"/>
                  <w:vAlign w:val="center"/>
                </w:tcPr>
                <w:p w14:paraId="104480A2">
                  <w:pPr>
                    <w:keepNext w:val="0"/>
                    <w:keepLines w:val="0"/>
                    <w:widowControl/>
                    <w:suppressLineNumbers w:val="0"/>
                    <w:jc w:val="center"/>
                    <w:textAlignment w:val="center"/>
                    <w:rPr>
                      <w:rFonts w:hint="default"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0E43EB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 w:hRule="atLeast"/>
                <w:jc w:val="center"/>
              </w:trPr>
              <w:tc>
                <w:tcPr>
                  <w:tcW w:w="500" w:type="pct"/>
                  <w:vMerge w:val="continue"/>
                  <w:tcBorders>
                    <w:tl2br w:val="nil"/>
                    <w:tr2bl w:val="nil"/>
                  </w:tcBorders>
                  <w:noWrap w:val="0"/>
                  <w:vAlign w:val="center"/>
                </w:tcPr>
                <w:p w14:paraId="67E72242">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814" w:type="pct"/>
                  <w:vMerge w:val="continue"/>
                  <w:tcBorders>
                    <w:tl2br w:val="nil"/>
                    <w:tr2bl w:val="nil"/>
                  </w:tcBorders>
                  <w:noWrap w:val="0"/>
                  <w:vAlign w:val="center"/>
                </w:tcPr>
                <w:p w14:paraId="1F64876C">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793" w:type="pct"/>
                  <w:tcBorders>
                    <w:tl2br w:val="nil"/>
                    <w:tr2bl w:val="nil"/>
                  </w:tcBorders>
                  <w:noWrap w:val="0"/>
                  <w:vAlign w:val="center"/>
                </w:tcPr>
                <w:p w14:paraId="5720FF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1004" w:type="pct"/>
                  <w:tcBorders>
                    <w:tl2br w:val="nil"/>
                    <w:tr2bl w:val="nil"/>
                  </w:tcBorders>
                  <w:noWrap w:val="0"/>
                  <w:vAlign w:val="center"/>
                </w:tcPr>
                <w:p w14:paraId="7EC4D7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907" w:type="pct"/>
                  <w:tcBorders>
                    <w:tl2br w:val="nil"/>
                    <w:tr2bl w:val="nil"/>
                  </w:tcBorders>
                  <w:noWrap w:val="0"/>
                  <w:vAlign w:val="center"/>
                </w:tcPr>
                <w:p w14:paraId="2CC57624">
                  <w:pPr>
                    <w:adjustRightInd w:val="0"/>
                    <w:snapToGrid w:val="0"/>
                    <w:jc w:val="center"/>
                    <w:rPr>
                      <w:rFonts w:hint="default"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bidi="ar-SA"/>
                      <w14:textFill>
                        <w14:solidFill>
                          <w14:schemeClr w14:val="tx1"/>
                        </w14:solidFill>
                      </w14:textFill>
                    </w:rPr>
                    <w:t>/</w:t>
                  </w:r>
                </w:p>
              </w:tc>
              <w:tc>
                <w:tcPr>
                  <w:tcW w:w="981" w:type="pct"/>
                  <w:tcBorders>
                    <w:tl2br w:val="nil"/>
                    <w:tr2bl w:val="nil"/>
                  </w:tcBorders>
                  <w:noWrap w:val="0"/>
                  <w:vAlign w:val="center"/>
                </w:tcPr>
                <w:p w14:paraId="1142A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w:t>
                  </w:r>
                </w:p>
              </w:tc>
            </w:tr>
            <w:tr w14:paraId="21AD6D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restart"/>
                  <w:tcBorders>
                    <w:tl2br w:val="nil"/>
                    <w:tr2bl w:val="nil"/>
                  </w:tcBorders>
                  <w:noWrap w:val="0"/>
                  <w:vAlign w:val="center"/>
                </w:tcPr>
                <w:p w14:paraId="3BE64CE8">
                  <w:pPr>
                    <w:pStyle w:val="41"/>
                    <w:spacing w:beforeLines="0" w:afterLines="0" w:line="240" w:lineRule="auto"/>
                    <w:ind w:left="0" w:leftChars="0" w:firstLine="0" w:firstLineChars="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排放口合计</w:t>
                  </w:r>
                </w:p>
              </w:tc>
              <w:tc>
                <w:tcPr>
                  <w:tcW w:w="2704" w:type="pct"/>
                  <w:gridSpan w:val="3"/>
                  <w:tcBorders>
                    <w:tl2br w:val="nil"/>
                    <w:tr2bl w:val="nil"/>
                  </w:tcBorders>
                  <w:noWrap w:val="0"/>
                  <w:vAlign w:val="center"/>
                </w:tcPr>
                <w:p w14:paraId="0F0C2529">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pH</w:t>
                  </w:r>
                </w:p>
              </w:tc>
              <w:tc>
                <w:tcPr>
                  <w:tcW w:w="981" w:type="pct"/>
                  <w:tcBorders>
                    <w:tl2br w:val="nil"/>
                    <w:tr2bl w:val="nil"/>
                  </w:tcBorders>
                  <w:noWrap w:val="0"/>
                  <w:vAlign w:val="center"/>
                </w:tcPr>
                <w:p w14:paraId="7ACB4C63">
                  <w:pPr>
                    <w:adjustRightInd w:val="0"/>
                    <w:snapToGrid w:val="0"/>
                    <w:jc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p>
              </w:tc>
            </w:tr>
            <w:tr w14:paraId="096115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2034BACF">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2B277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2459" w:type="dxa"/>
                  <w:tcBorders>
                    <w:tl2br w:val="nil"/>
                    <w:tr2bl w:val="nil"/>
                  </w:tcBorders>
                  <w:noWrap w:val="0"/>
                  <w:vAlign w:val="center"/>
                </w:tcPr>
                <w:p w14:paraId="71A712F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606728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32F49C8E">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5B2E5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2459" w:type="dxa"/>
                  <w:tcBorders>
                    <w:tl2br w:val="nil"/>
                    <w:tr2bl w:val="nil"/>
                  </w:tcBorders>
                  <w:noWrap w:val="0"/>
                  <w:vAlign w:val="center"/>
                </w:tcPr>
                <w:p w14:paraId="3BA2F80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6EFEE0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64280BF1">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6E1AF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2459" w:type="dxa"/>
                  <w:tcBorders>
                    <w:tl2br w:val="nil"/>
                    <w:tr2bl w:val="nil"/>
                  </w:tcBorders>
                  <w:noWrap w:val="0"/>
                  <w:vAlign w:val="center"/>
                </w:tcPr>
                <w:p w14:paraId="117ECB7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607A0F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361B0D7A">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7BD69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2459" w:type="dxa"/>
                  <w:tcBorders>
                    <w:tl2br w:val="nil"/>
                    <w:tr2bl w:val="nil"/>
                  </w:tcBorders>
                  <w:noWrap w:val="0"/>
                  <w:vAlign w:val="center"/>
                </w:tcPr>
                <w:p w14:paraId="117D580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020833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314" w:type="pct"/>
                  <w:gridSpan w:val="2"/>
                  <w:vMerge w:val="continue"/>
                  <w:tcBorders>
                    <w:tl2br w:val="nil"/>
                    <w:tr2bl w:val="nil"/>
                  </w:tcBorders>
                  <w:noWrap w:val="0"/>
                  <w:vAlign w:val="center"/>
                </w:tcPr>
                <w:p w14:paraId="4AD40E9B">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1D568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TP</w:t>
                  </w:r>
                </w:p>
              </w:tc>
              <w:tc>
                <w:tcPr>
                  <w:tcW w:w="2459" w:type="dxa"/>
                  <w:tcBorders>
                    <w:tl2br w:val="nil"/>
                    <w:tr2bl w:val="nil"/>
                  </w:tcBorders>
                  <w:noWrap w:val="0"/>
                  <w:vAlign w:val="center"/>
                </w:tcPr>
                <w:p w14:paraId="40A0ACF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63F3B7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0CA35A4D">
                  <w:pPr>
                    <w:pStyle w:val="41"/>
                    <w:spacing w:beforeLines="0" w:afterLines="0" w:line="240" w:lineRule="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4EE25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粪大肠菌群</w:t>
                  </w:r>
                </w:p>
              </w:tc>
              <w:tc>
                <w:tcPr>
                  <w:tcW w:w="2459" w:type="dxa"/>
                  <w:tcBorders>
                    <w:tl2br w:val="nil"/>
                    <w:tr2bl w:val="nil"/>
                  </w:tcBorders>
                  <w:noWrap w:val="0"/>
                  <w:vAlign w:val="center"/>
                </w:tcPr>
                <w:p w14:paraId="51A6A6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08F381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7D50D95B">
                  <w:pPr>
                    <w:adjustRightInd w:val="0"/>
                    <w:snapToGrid w:val="0"/>
                    <w:jc w:val="center"/>
                    <w:rPr>
                      <w:color w:val="000000" w:themeColor="text1"/>
                      <w14:textFill>
                        <w14:solidFill>
                          <w14:schemeClr w14:val="tx1"/>
                        </w14:solidFill>
                      </w14:textFill>
                    </w:rPr>
                  </w:pPr>
                </w:p>
              </w:tc>
              <w:tc>
                <w:tcPr>
                  <w:tcW w:w="2704" w:type="pct"/>
                  <w:gridSpan w:val="3"/>
                  <w:tcBorders>
                    <w:tl2br w:val="nil"/>
                    <w:tr2bl w:val="nil"/>
                  </w:tcBorders>
                  <w:noWrap w:val="0"/>
                  <w:vAlign w:val="center"/>
                </w:tcPr>
                <w:p w14:paraId="71C9D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LAS</w:t>
                  </w:r>
                </w:p>
              </w:tc>
              <w:tc>
                <w:tcPr>
                  <w:tcW w:w="2459" w:type="dxa"/>
                  <w:tcBorders>
                    <w:tl2br w:val="nil"/>
                    <w:tr2bl w:val="nil"/>
                  </w:tcBorders>
                  <w:noWrap w:val="0"/>
                  <w:vAlign w:val="center"/>
                </w:tcPr>
                <w:p w14:paraId="4B7972A0">
                  <w:pPr>
                    <w:keepNext w:val="0"/>
                    <w:keepLines w:val="0"/>
                    <w:widowControl/>
                    <w:suppressLineNumbers w:val="0"/>
                    <w:jc w:val="center"/>
                    <w:textAlignment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41C014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4" w:hRule="atLeast"/>
                <w:jc w:val="center"/>
              </w:trPr>
              <w:tc>
                <w:tcPr>
                  <w:tcW w:w="1314" w:type="pct"/>
                  <w:gridSpan w:val="2"/>
                  <w:vMerge w:val="continue"/>
                  <w:tcBorders>
                    <w:tl2br w:val="nil"/>
                    <w:tr2bl w:val="nil"/>
                  </w:tcBorders>
                  <w:noWrap w:val="0"/>
                  <w:vAlign w:val="center"/>
                </w:tcPr>
                <w:p w14:paraId="69153752">
                  <w:pPr>
                    <w:adjustRightInd w:val="0"/>
                    <w:snapToGrid w:val="0"/>
                    <w:jc w:val="center"/>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2704" w:type="pct"/>
                  <w:gridSpan w:val="3"/>
                  <w:tcBorders>
                    <w:tl2br w:val="nil"/>
                    <w:tr2bl w:val="nil"/>
                  </w:tcBorders>
                  <w:noWrap w:val="0"/>
                  <w:vAlign w:val="center"/>
                </w:tcPr>
                <w:p w14:paraId="6C246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总余氯</w:t>
                  </w:r>
                </w:p>
              </w:tc>
              <w:tc>
                <w:tcPr>
                  <w:tcW w:w="981" w:type="pct"/>
                  <w:tcBorders>
                    <w:tl2br w:val="nil"/>
                    <w:tr2bl w:val="nil"/>
                  </w:tcBorders>
                  <w:noWrap w:val="0"/>
                  <w:vAlign w:val="center"/>
                </w:tcPr>
                <w:p w14:paraId="7C08C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w:t>
                  </w:r>
                </w:p>
              </w:tc>
            </w:tr>
          </w:tbl>
          <w:p w14:paraId="70BE5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FF0000"/>
                <w:kern w:val="0"/>
                <w:sz w:val="24"/>
                <w:szCs w:val="24"/>
                <w:highlight w:val="none"/>
                <w:vertAlign w:val="baseline"/>
              </w:rPr>
            </w:pPr>
          </w:p>
        </w:tc>
      </w:tr>
    </w:tbl>
    <w:p w14:paraId="145885CF">
      <w:pPr>
        <w:adjustRightInd w:val="0"/>
        <w:snapToGrid w:val="0"/>
        <w:spacing w:line="360" w:lineRule="auto"/>
        <w:rPr>
          <w:rFonts w:hint="default" w:ascii="Times New Roman" w:hAnsi="Times New Roman" w:cs="Times New Roman"/>
          <w:b/>
          <w:color w:val="FF0000"/>
          <w:kern w:val="0"/>
          <w:sz w:val="28"/>
          <w:szCs w:val="28"/>
          <w:highlight w:val="none"/>
        </w:rPr>
        <w:sectPr>
          <w:footerReference r:id="rId8" w:type="default"/>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568"/>
      </w:tblGrid>
      <w:tr w14:paraId="76B33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03" w:hRule="atLeast"/>
        </w:trPr>
        <w:tc>
          <w:tcPr>
            <w:tcW w:w="272" w:type="pct"/>
            <w:tcBorders>
              <w:top w:val="single" w:color="auto" w:sz="8" w:space="0"/>
              <w:left w:val="single" w:color="auto" w:sz="8" w:space="0"/>
              <w:bottom w:val="single" w:color="auto" w:sz="8" w:space="0"/>
            </w:tcBorders>
            <w:vAlign w:val="center"/>
          </w:tcPr>
          <w:p w14:paraId="4E011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FF0000"/>
                <w:kern w:val="0"/>
                <w:sz w:val="21"/>
                <w:szCs w:val="21"/>
                <w:highlight w:val="none"/>
                <w:vertAlign w:val="baseline"/>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运营期环境影响和保护措施</w:t>
            </w:r>
          </w:p>
        </w:tc>
        <w:tc>
          <w:tcPr>
            <w:tcW w:w="4727" w:type="pct"/>
            <w:tcBorders>
              <w:top w:val="single" w:color="auto" w:sz="8" w:space="0"/>
              <w:bottom w:val="single" w:color="auto" w:sz="8" w:space="0"/>
              <w:right w:val="single" w:color="auto" w:sz="8" w:space="0"/>
            </w:tcBorders>
            <w:vAlign w:val="center"/>
          </w:tcPr>
          <w:p w14:paraId="0D9F7BB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4.2.2.3 排放标准</w:t>
            </w:r>
          </w:p>
          <w:p w14:paraId="4C38B6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废水污染物排放执行标准见表4.2</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p>
          <w:p w14:paraId="02848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废水综合污染物排放执行标准一览表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593"/>
              <w:gridCol w:w="1593"/>
              <w:gridCol w:w="1942"/>
              <w:gridCol w:w="1604"/>
            </w:tblGrid>
            <w:tr w14:paraId="79032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4B305C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排放口编号</w:t>
                  </w:r>
                </w:p>
              </w:tc>
              <w:tc>
                <w:tcPr>
                  <w:tcW w:w="957" w:type="pct"/>
                  <w:vMerge w:val="restart"/>
                  <w:tcBorders>
                    <w:tl2br w:val="nil"/>
                    <w:tr2bl w:val="nil"/>
                  </w:tcBorders>
                  <w:vAlign w:val="center"/>
                </w:tcPr>
                <w:p w14:paraId="0030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排放口名称</w:t>
                  </w:r>
                </w:p>
              </w:tc>
              <w:tc>
                <w:tcPr>
                  <w:tcW w:w="957" w:type="pct"/>
                  <w:vMerge w:val="restart"/>
                  <w:tcBorders>
                    <w:tl2br w:val="nil"/>
                    <w:tr2bl w:val="nil"/>
                  </w:tcBorders>
                  <w:vAlign w:val="center"/>
                </w:tcPr>
                <w:p w14:paraId="541DC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污染物种类</w:t>
                  </w:r>
                </w:p>
              </w:tc>
              <w:tc>
                <w:tcPr>
                  <w:tcW w:w="2130" w:type="pct"/>
                  <w:gridSpan w:val="2"/>
                  <w:tcBorders>
                    <w:tl2br w:val="nil"/>
                    <w:tr2bl w:val="nil"/>
                  </w:tcBorders>
                  <w:vAlign w:val="center"/>
                </w:tcPr>
                <w:p w14:paraId="573FE1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国家或地方污染物排放标准</w:t>
                  </w:r>
                </w:p>
              </w:tc>
            </w:tr>
            <w:tr w14:paraId="17DD6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955" w:type="pct"/>
                  <w:vMerge w:val="continue"/>
                  <w:tcBorders>
                    <w:tl2br w:val="nil"/>
                    <w:tr2bl w:val="nil"/>
                  </w:tcBorders>
                  <w:vAlign w:val="center"/>
                </w:tcPr>
                <w:p w14:paraId="2ACA6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3DF897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200C8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1166" w:type="pct"/>
                  <w:vMerge w:val="restart"/>
                  <w:tcBorders>
                    <w:tl2br w:val="nil"/>
                    <w:tr2bl w:val="nil"/>
                  </w:tcBorders>
                  <w:vAlign w:val="center"/>
                </w:tcPr>
                <w:p w14:paraId="38EE1C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排放标准及标准号</w:t>
                  </w:r>
                </w:p>
              </w:tc>
              <w:tc>
                <w:tcPr>
                  <w:tcW w:w="963" w:type="pct"/>
                  <w:tcBorders>
                    <w:tl2br w:val="nil"/>
                    <w:tr2bl w:val="nil"/>
                  </w:tcBorders>
                  <w:vAlign w:val="center"/>
                </w:tcPr>
                <w:p w14:paraId="37A3C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浓度限值（mg/L）</w:t>
                  </w:r>
                </w:p>
              </w:tc>
            </w:tr>
            <w:tr w14:paraId="71EFA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5E091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DW001</w:t>
                  </w:r>
                </w:p>
              </w:tc>
              <w:tc>
                <w:tcPr>
                  <w:tcW w:w="957" w:type="pct"/>
                  <w:vMerge w:val="restart"/>
                  <w:tcBorders>
                    <w:tl2br w:val="nil"/>
                    <w:tr2bl w:val="nil"/>
                  </w:tcBorders>
                  <w:vAlign w:val="center"/>
                </w:tcPr>
                <w:p w14:paraId="4FAF93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生化池排放口</w:t>
                  </w:r>
                </w:p>
              </w:tc>
              <w:tc>
                <w:tcPr>
                  <w:tcW w:w="957" w:type="pct"/>
                  <w:tcBorders>
                    <w:tl2br w:val="nil"/>
                    <w:tr2bl w:val="nil"/>
                  </w:tcBorders>
                  <w:shd w:val="clear" w:color="auto" w:fill="auto"/>
                  <w:vAlign w:val="center"/>
                </w:tcPr>
                <w:p w14:paraId="65539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pH</w:t>
                  </w:r>
                </w:p>
              </w:tc>
              <w:tc>
                <w:tcPr>
                  <w:tcW w:w="1166" w:type="pct"/>
                  <w:vMerge w:val="restart"/>
                  <w:tcBorders>
                    <w:tl2br w:val="nil"/>
                    <w:tr2bl w:val="nil"/>
                  </w:tcBorders>
                  <w:vAlign w:val="center"/>
                </w:tcPr>
                <w:p w14:paraId="5EC865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《污水综合排放标准》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三级标准</w:t>
                  </w:r>
                </w:p>
              </w:tc>
              <w:tc>
                <w:tcPr>
                  <w:tcW w:w="963" w:type="pct"/>
                  <w:tcBorders>
                    <w:tl2br w:val="nil"/>
                    <w:tr2bl w:val="nil"/>
                  </w:tcBorders>
                  <w:shd w:val="clear" w:color="auto" w:fill="auto"/>
                  <w:vAlign w:val="center"/>
                </w:tcPr>
                <w:p w14:paraId="6822D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6~9</w:t>
                  </w:r>
                </w:p>
              </w:tc>
            </w:tr>
            <w:tr w14:paraId="0E793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54B0C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D55C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3562C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COD</w:t>
                  </w:r>
                </w:p>
              </w:tc>
              <w:tc>
                <w:tcPr>
                  <w:tcW w:w="1166" w:type="pct"/>
                  <w:vMerge w:val="continue"/>
                  <w:tcBorders>
                    <w:tl2br w:val="nil"/>
                    <w:tr2bl w:val="nil"/>
                  </w:tcBorders>
                  <w:vAlign w:val="center"/>
                </w:tcPr>
                <w:p w14:paraId="0277F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5614C1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w:t>
                  </w:r>
                </w:p>
              </w:tc>
            </w:tr>
            <w:tr w14:paraId="4D061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044E4D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CF06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0F6A8F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BOD</w:t>
                  </w:r>
                  <w:r>
                    <w:rPr>
                      <w:rFonts w:hint="default" w:ascii="Times New Roman" w:hAnsi="Times New Roman" w:cs="Times New Roman"/>
                      <w:b w:val="0"/>
                      <w:bCs/>
                      <w:color w:val="000000" w:themeColor="text1"/>
                      <w:spacing w:val="0"/>
                      <w:sz w:val="21"/>
                      <w:szCs w:val="21"/>
                      <w:highlight w:val="none"/>
                      <w:vertAlign w:val="subscript"/>
                      <w:lang w:val="en-US" w:eastAsia="zh-CN"/>
                      <w14:textFill>
                        <w14:solidFill>
                          <w14:schemeClr w14:val="tx1"/>
                        </w14:solidFill>
                      </w14:textFill>
                    </w:rPr>
                    <w:t>5</w:t>
                  </w:r>
                </w:p>
              </w:tc>
              <w:tc>
                <w:tcPr>
                  <w:tcW w:w="1166" w:type="pct"/>
                  <w:vMerge w:val="continue"/>
                  <w:tcBorders>
                    <w:tl2br w:val="nil"/>
                    <w:tr2bl w:val="nil"/>
                  </w:tcBorders>
                  <w:vAlign w:val="center"/>
                </w:tcPr>
                <w:p w14:paraId="66E52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31749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300</w:t>
                  </w:r>
                </w:p>
              </w:tc>
            </w:tr>
            <w:tr w14:paraId="380B2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00C56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792D5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3CEDE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SS</w:t>
                  </w:r>
                </w:p>
              </w:tc>
              <w:tc>
                <w:tcPr>
                  <w:tcW w:w="1166" w:type="pct"/>
                  <w:vMerge w:val="continue"/>
                  <w:tcBorders>
                    <w:tl2br w:val="nil"/>
                    <w:tr2bl w:val="nil"/>
                  </w:tcBorders>
                  <w:vAlign w:val="center"/>
                </w:tcPr>
                <w:p w14:paraId="4C153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12809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400</w:t>
                  </w:r>
                </w:p>
              </w:tc>
            </w:tr>
            <w:tr w14:paraId="6CC1B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7B77F1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0C336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250D3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氨氮</w:t>
                  </w:r>
                </w:p>
              </w:tc>
              <w:tc>
                <w:tcPr>
                  <w:tcW w:w="1166" w:type="pct"/>
                  <w:vMerge w:val="continue"/>
                  <w:tcBorders>
                    <w:tl2br w:val="nil"/>
                    <w:tr2bl w:val="nil"/>
                  </w:tcBorders>
                  <w:vAlign w:val="center"/>
                </w:tcPr>
                <w:p w14:paraId="153CF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77772C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45*</w:t>
                  </w:r>
                </w:p>
              </w:tc>
            </w:tr>
            <w:tr w14:paraId="72773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44E6F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1545E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248E3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总磷</w:t>
                  </w:r>
                </w:p>
              </w:tc>
              <w:tc>
                <w:tcPr>
                  <w:tcW w:w="1166" w:type="pct"/>
                  <w:vMerge w:val="continue"/>
                  <w:tcBorders>
                    <w:tl2br w:val="nil"/>
                    <w:tr2bl w:val="nil"/>
                  </w:tcBorders>
                  <w:vAlign w:val="center"/>
                </w:tcPr>
                <w:p w14:paraId="1F2FC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4E58D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8*</w:t>
                  </w:r>
                </w:p>
              </w:tc>
            </w:tr>
            <w:tr w14:paraId="47FC7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5C4068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144BD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6AB4D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t>LAS</w:t>
                  </w:r>
                </w:p>
              </w:tc>
              <w:tc>
                <w:tcPr>
                  <w:tcW w:w="1166" w:type="pct"/>
                  <w:vMerge w:val="continue"/>
                  <w:tcBorders>
                    <w:tl2br w:val="nil"/>
                    <w:tr2bl w:val="nil"/>
                  </w:tcBorders>
                  <w:vAlign w:val="center"/>
                </w:tcPr>
                <w:p w14:paraId="7FC50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588EF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20</w:t>
                  </w:r>
                </w:p>
              </w:tc>
            </w:tr>
            <w:tr w14:paraId="31AFA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75EA0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4B24E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vAlign w:val="center"/>
                </w:tcPr>
                <w:p w14:paraId="054BC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粪大肠菌群</w:t>
                  </w:r>
                </w:p>
              </w:tc>
              <w:tc>
                <w:tcPr>
                  <w:tcW w:w="1166" w:type="pct"/>
                  <w:vMerge w:val="continue"/>
                  <w:tcBorders>
                    <w:tl2br w:val="nil"/>
                    <w:tr2bl w:val="nil"/>
                  </w:tcBorders>
                  <w:vAlign w:val="center"/>
                </w:tcPr>
                <w:p w14:paraId="5C4D9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p>
              </w:tc>
              <w:tc>
                <w:tcPr>
                  <w:tcW w:w="963" w:type="pct"/>
                  <w:tcBorders>
                    <w:tl2br w:val="nil"/>
                    <w:tr2bl w:val="nil"/>
                  </w:tcBorders>
                  <w:shd w:val="clear" w:color="auto" w:fill="auto"/>
                  <w:vAlign w:val="center"/>
                </w:tcPr>
                <w:p w14:paraId="2A1A4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5000个/L</w:t>
                  </w:r>
                </w:p>
              </w:tc>
            </w:tr>
            <w:tr w14:paraId="7D974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restart"/>
                  <w:tcBorders>
                    <w:tl2br w:val="nil"/>
                    <w:tr2bl w:val="nil"/>
                  </w:tcBorders>
                  <w:vAlign w:val="center"/>
                </w:tcPr>
                <w:p w14:paraId="143CC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957" w:type="pct"/>
                  <w:vMerge w:val="restart"/>
                  <w:tcBorders>
                    <w:tl2br w:val="nil"/>
                    <w:tr2bl w:val="nil"/>
                  </w:tcBorders>
                  <w:vAlign w:val="center"/>
                </w:tcPr>
                <w:p w14:paraId="58C4AD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排放口</w:t>
                  </w:r>
                </w:p>
              </w:tc>
              <w:tc>
                <w:tcPr>
                  <w:tcW w:w="957" w:type="pct"/>
                  <w:tcBorders>
                    <w:tl2br w:val="nil"/>
                    <w:tr2bl w:val="nil"/>
                  </w:tcBorders>
                  <w:shd w:val="clear" w:color="auto" w:fill="auto"/>
                  <w:vAlign w:val="center"/>
                </w:tcPr>
                <w:p w14:paraId="3A1564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粪大肠菌群</w:t>
                  </w:r>
                </w:p>
              </w:tc>
              <w:tc>
                <w:tcPr>
                  <w:tcW w:w="1166" w:type="pct"/>
                  <w:vMerge w:val="restart"/>
                  <w:tcBorders>
                    <w:tl2br w:val="nil"/>
                    <w:tr2bl w:val="nil"/>
                  </w:tcBorders>
                  <w:vAlign w:val="center"/>
                </w:tcPr>
                <w:p w14:paraId="234C7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医疗机构水污染物排放标准》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预处理标准</w:t>
                  </w:r>
                </w:p>
              </w:tc>
              <w:tc>
                <w:tcPr>
                  <w:tcW w:w="963" w:type="pct"/>
                  <w:tcBorders>
                    <w:tl2br w:val="nil"/>
                    <w:tr2bl w:val="nil"/>
                  </w:tcBorders>
                  <w:vAlign w:val="center"/>
                </w:tcPr>
                <w:p w14:paraId="73836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5000个/L</w:t>
                  </w:r>
                </w:p>
              </w:tc>
            </w:tr>
            <w:tr w14:paraId="3B09B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5" w:type="pct"/>
                  <w:vMerge w:val="continue"/>
                  <w:tcBorders>
                    <w:tl2br w:val="nil"/>
                    <w:tr2bl w:val="nil"/>
                  </w:tcBorders>
                  <w:vAlign w:val="center"/>
                </w:tcPr>
                <w:p w14:paraId="4B448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vMerge w:val="continue"/>
                  <w:tcBorders>
                    <w:tl2br w:val="nil"/>
                    <w:tr2bl w:val="nil"/>
                  </w:tcBorders>
                  <w:vAlign w:val="center"/>
                </w:tcPr>
                <w:p w14:paraId="324CE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57" w:type="pct"/>
                  <w:tcBorders>
                    <w:tl2br w:val="nil"/>
                    <w:tr2bl w:val="nil"/>
                  </w:tcBorders>
                  <w:shd w:val="clear" w:color="auto" w:fill="auto"/>
                  <w:vAlign w:val="center"/>
                </w:tcPr>
                <w:p w14:paraId="5127A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总余氯</w:t>
                  </w:r>
                </w:p>
              </w:tc>
              <w:tc>
                <w:tcPr>
                  <w:tcW w:w="1166" w:type="pct"/>
                  <w:vMerge w:val="continue"/>
                  <w:tcBorders>
                    <w:tl2br w:val="nil"/>
                    <w:tr2bl w:val="nil"/>
                  </w:tcBorders>
                  <w:vAlign w:val="center"/>
                </w:tcPr>
                <w:p w14:paraId="1408D9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p>
              </w:tc>
              <w:tc>
                <w:tcPr>
                  <w:tcW w:w="963" w:type="pct"/>
                  <w:tcBorders>
                    <w:tl2br w:val="nil"/>
                    <w:tr2bl w:val="nil"/>
                  </w:tcBorders>
                  <w:vAlign w:val="center"/>
                </w:tcPr>
                <w:p w14:paraId="01FBE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2~8</w:t>
                  </w:r>
                  <w:r>
                    <w:rPr>
                      <w:rFonts w:hint="eastAsia" w:cs="Times New Roman"/>
                      <w:b w:val="0"/>
                      <w:bCs/>
                      <w:color w:val="000000" w:themeColor="text1"/>
                      <w:kern w:val="0"/>
                      <w:sz w:val="21"/>
                      <w:szCs w:val="21"/>
                      <w:highlight w:val="none"/>
                      <w:vertAlign w:val="superscript"/>
                      <w:lang w:val="en-US" w:eastAsia="zh-CN"/>
                      <w14:textFill>
                        <w14:solidFill>
                          <w14:schemeClr w14:val="tx1"/>
                        </w14:solidFill>
                      </w14:textFill>
                    </w:rPr>
                    <w:t>②</w:t>
                  </w:r>
                </w:p>
              </w:tc>
            </w:tr>
            <w:tr w14:paraId="16153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01879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注：①*：氨氮、TP 执行《污水排入城镇下水道水质标准》（GB/T31962-2015）B级标</w:t>
                  </w:r>
                </w:p>
                <w:p w14:paraId="54608EF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准</w:t>
                  </w: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w:t>
                  </w:r>
                </w:p>
                <w:p w14:paraId="76CAC7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14:textFill>
                        <w14:solidFill>
                          <w14:schemeClr w14:val="tx1"/>
                        </w14:solidFill>
                      </w14:textFill>
                    </w:rPr>
                    <w:t>②</w:t>
                  </w:r>
                  <w:r>
                    <w:rPr>
                      <w:rFonts w:hint="default" w:ascii="Times New Roman" w:hAnsi="Times New Roman" w:cs="Times New Roman"/>
                      <w:b w:val="0"/>
                      <w:bCs w:val="0"/>
                      <w:color w:val="000000" w:themeColor="text1"/>
                      <w:kern w:val="0"/>
                      <w:sz w:val="21"/>
                      <w:szCs w:val="21"/>
                      <w:highlight w:val="none"/>
                      <w:vertAlign w:val="baseline"/>
                      <w:lang w:val="en-US" w:eastAsia="zh-CN"/>
                      <w14:textFill>
                        <w14:solidFill>
                          <w14:schemeClr w14:val="tx1"/>
                        </w14:solidFill>
                      </w14:textFill>
                    </w:rPr>
                    <w:t>注：含氯消毒剂消毒的工艺控制要求为：排放标准：消毒接触池接触时间≥1h，接触池出口总余氯3~10mgL。预处理标准：消毒接触池接触时间≥1h，接触池出口总余氯2~8mg/L。</w:t>
                  </w:r>
                </w:p>
              </w:tc>
            </w:tr>
          </w:tbl>
          <w:p w14:paraId="5DF0DC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4</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 xml:space="preserve"> 监测要求</w:t>
            </w:r>
          </w:p>
          <w:p w14:paraId="291CB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《排污许可证申请与核发技术规范医疗机构》</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HJ1105-2020</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适用于指导医疗机构排污单位在全国排污许可证管理信息平台填报相关申请信息，适用于指导核发机关审核确定医疗机构排污许可证许可事项。适用于医疗机构排污单位排放的大气污染物、水污染物以及产生的危险废物的排污许可管理。根据《固定污染源排污许可分类管理名录</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2019年版</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》，项目不属于该名录规定的排污单位，无需纳入排污许可管理。因此，根据项目实际情况，结合项目特点，项目参照《排污单位自行监测技术指南 总则》</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HJ819-2017</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进行执行，</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本项目医疗废水经医疗废水预处理设施预处理后排入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生化池</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进行处理，环保责任主体为重庆致兴物业服务有限公司，同时本项目污废水产生量小，对生化池的冲击不大，故项目对生化池不作监测要求。</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项目废水监测要求见下表。</w:t>
            </w:r>
          </w:p>
          <w:p w14:paraId="67854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 xml:space="preserve">6 </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废水污染物监测要求一览表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80"/>
              <w:gridCol w:w="2081"/>
              <w:gridCol w:w="2081"/>
            </w:tblGrid>
            <w:tr w14:paraId="65292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vAlign w:val="center"/>
                </w:tcPr>
                <w:p w14:paraId="6E4B5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监测点位</w:t>
                  </w:r>
                </w:p>
              </w:tc>
              <w:tc>
                <w:tcPr>
                  <w:tcW w:w="1249" w:type="pct"/>
                  <w:tcBorders>
                    <w:tl2br w:val="nil"/>
                    <w:tr2bl w:val="nil"/>
                  </w:tcBorders>
                  <w:vAlign w:val="center"/>
                </w:tcPr>
                <w:p w14:paraId="611B0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监测因子</w:t>
                  </w:r>
                </w:p>
              </w:tc>
              <w:tc>
                <w:tcPr>
                  <w:tcW w:w="1250" w:type="pct"/>
                  <w:tcBorders>
                    <w:tl2br w:val="nil"/>
                    <w:tr2bl w:val="nil"/>
                  </w:tcBorders>
                  <w:vAlign w:val="center"/>
                </w:tcPr>
                <w:p w14:paraId="078BD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监测频率</w:t>
                  </w:r>
                </w:p>
              </w:tc>
              <w:tc>
                <w:tcPr>
                  <w:tcW w:w="1250" w:type="pct"/>
                  <w:tcBorders>
                    <w:tl2br w:val="nil"/>
                    <w:tr2bl w:val="nil"/>
                  </w:tcBorders>
                  <w:vAlign w:val="center"/>
                </w:tcPr>
                <w:p w14:paraId="6028E6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执行标准</w:t>
                  </w:r>
                </w:p>
              </w:tc>
            </w:tr>
            <w:tr w14:paraId="19493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tcBorders>
                    <w:tl2br w:val="nil"/>
                    <w:tr2bl w:val="nil"/>
                  </w:tcBorders>
                  <w:vAlign w:val="center"/>
                </w:tcPr>
                <w:p w14:paraId="053F0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排放口</w:t>
                  </w:r>
                </w:p>
              </w:tc>
              <w:tc>
                <w:tcPr>
                  <w:tcW w:w="1249" w:type="pct"/>
                  <w:tcBorders>
                    <w:tl2br w:val="nil"/>
                    <w:tr2bl w:val="nil"/>
                  </w:tcBorders>
                  <w:vAlign w:val="center"/>
                </w:tcPr>
                <w:p w14:paraId="5A303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粪大肠菌群、总余氯</w:t>
                  </w:r>
                </w:p>
              </w:tc>
              <w:tc>
                <w:tcPr>
                  <w:tcW w:w="1250" w:type="pct"/>
                  <w:tcBorders>
                    <w:tl2br w:val="nil"/>
                    <w:tr2bl w:val="nil"/>
                  </w:tcBorders>
                  <w:vAlign w:val="center"/>
                </w:tcPr>
                <w:p w14:paraId="226F0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验收时监测一次</w:t>
                  </w:r>
                </w:p>
              </w:tc>
              <w:tc>
                <w:tcPr>
                  <w:tcW w:w="1250" w:type="pct"/>
                  <w:tcBorders>
                    <w:tl2br w:val="nil"/>
                    <w:tr2bl w:val="nil"/>
                  </w:tcBorders>
                  <w:vAlign w:val="center"/>
                </w:tcPr>
                <w:p w14:paraId="66FDB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《医疗机构水污染物排放标准》</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GB18466-2005</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14:textFill>
                        <w14:solidFill>
                          <w14:schemeClr w14:val="tx1"/>
                        </w14:solidFill>
                      </w14:textFill>
                    </w:rPr>
                    <w:t>预</w:t>
                  </w: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处理标准</w:t>
                  </w:r>
                </w:p>
              </w:tc>
            </w:tr>
          </w:tbl>
          <w:p w14:paraId="1173D6C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4.2.2.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5</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 xml:space="preserve"> </w:t>
            </w:r>
            <w:r>
              <w:rPr>
                <w:rFonts w:hint="eastAsia" w:cs="Times New Roman"/>
                <w:b/>
                <w:bCs w:val="0"/>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bCs w:val="0"/>
                <w:color w:val="000000" w:themeColor="text1"/>
                <w:kern w:val="0"/>
                <w:sz w:val="24"/>
                <w:szCs w:val="24"/>
                <w:highlight w:val="none"/>
                <w:vertAlign w:val="baseline"/>
                <w14:textFill>
                  <w14:solidFill>
                    <w14:schemeClr w14:val="tx1"/>
                  </w14:solidFill>
                </w14:textFill>
              </w:rPr>
              <w:t>可行性分析</w:t>
            </w:r>
          </w:p>
          <w:p w14:paraId="6A4999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val="en-US" w:eastAsia="zh-CN"/>
                <w14:textFill>
                  <w14:solidFill>
                    <w14:schemeClr w14:val="tx1"/>
                  </w14:solidFill>
                </w14:textFill>
              </w:rPr>
              <w:t>1</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项目废水水质分析</w:t>
            </w:r>
          </w:p>
          <w:p w14:paraId="713FD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根据前述分析，项目营运期废水主要包括医疗废水、生活污水及</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其它废水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。医疗废水成分复杂，废水中因沾染血、尿、便等具有传染性，必须经消毒杀菌后才能排放，参照《医疗废物管理条例</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2011修订</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第二十条 医疗卫生机构产生的污水、传染病病人或者疑似传染病病人的排泄物，应当按照国家规定严格消毒</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达到国家规定的排放标准后，方可排入污水处理系统。</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和《动物诊疗机构管理办法》</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中华人民共和国农业农村部令 2022年第5号</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中</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第二十六条..动物诊疗机构应当参照《医疗废物管理条例》的有关规定处理诊疗废弃物，不得随意丢弃诊疗废弃物，排放未经无害化处理的</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化验废水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项目设</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有2</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台</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，动物诊疗过程</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宠物笼及手术器械清洗过程产生的废水</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隔离室产生的洗手废水</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均经</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消毒设施消毒</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后</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排入生化池。</w:t>
            </w:r>
          </w:p>
          <w:p w14:paraId="4C8AA6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项目扩建后，整个宠物医院废水排放量为</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1.3311</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m</w:t>
            </w:r>
            <w:r>
              <w:rPr>
                <w:rFonts w:hint="default" w:ascii="Times New Roman" w:hAnsi="Times New Roman" w:cs="Times New Roman"/>
                <w:b w:val="0"/>
                <w:bCs/>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/d，依托</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弘悦101已建生化池</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处理达《污水综合排放标准》</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GB8978-1996</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三级标准，排入市政污水管网，然后进入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彩云湖污水处理厂</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深度处理达彩云湖污水处理厂出水水质标准后作为彩云湖湿地公园和桃花溪景观补水，最终排入长江。</w:t>
            </w:r>
          </w:p>
          <w:p w14:paraId="392BAC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14:textFill>
                  <w14:solidFill>
                    <w14:schemeClr w14:val="tx1"/>
                  </w14:solidFill>
                </w14:textFill>
              </w:rPr>
              <w:t>医疗废水治理措施可行性分析</w:t>
            </w:r>
          </w:p>
          <w:p w14:paraId="4E6193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项目设置</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有2</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台</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通过投加</w:t>
            </w:r>
            <w:r>
              <w:rPr>
                <w:rFonts w:hint="eastAsia" w:cs="Times New Roman"/>
                <w:color w:val="000000" w:themeColor="text1"/>
                <w:kern w:val="0"/>
                <w:sz w:val="24"/>
                <w:szCs w:val="24"/>
                <w:highlight w:val="none"/>
                <w:vertAlign w:val="baseline"/>
                <w:lang w:val="en-US" w:eastAsia="zh-CN" w:bidi="ar"/>
                <w14:textFill>
                  <w14:solidFill>
                    <w14:schemeClr w14:val="tx1"/>
                  </w14:solidFill>
                </w14:textFill>
              </w:rPr>
              <w:t>二氧化氯</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消毒片</w:t>
            </w:r>
            <w:r>
              <w:rPr>
                <w:rFonts w:hint="eastAsia" w:cs="Times New Roman"/>
                <w:color w:val="000000" w:themeColor="text1"/>
                <w:kern w:val="0"/>
                <w:sz w:val="24"/>
                <w:szCs w:val="24"/>
                <w:highlight w:val="none"/>
                <w:vertAlign w:val="baseline"/>
                <w:lang w:val="en-US" w:eastAsia="zh-CN" w:bidi="ar"/>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color w:val="000000" w:themeColor="text1"/>
                <w:kern w:val="0"/>
                <w:sz w:val="24"/>
                <w:szCs w:val="24"/>
                <w:highlight w:val="none"/>
                <w:vertAlign w:val="baseline"/>
                <w:lang w:val="en-US" w:eastAsia="zh-CN" w:bidi="ar"/>
                <w14:textFill>
                  <w14:solidFill>
                    <w14:schemeClr w14:val="tx1"/>
                  </w14:solidFill>
                </w14:textFill>
              </w:rPr>
              <w:t>消毒，是目前国内比较常用的消毒方式，不仅价格优廉，而且使用方便，适用于项目废水消毒</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。医疗废水经</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消毒设施</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处理后同生活污水、</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其他废水</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一起进入生化池处理，随后经市政管网进入污水处理厂处理达标排放。</w:t>
            </w:r>
          </w:p>
          <w:p w14:paraId="529332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根据《排污许可证申请与核发技术规范 医疗机构》（HJ1105-2020）表A2 医疗机构排水单位污水治理可行技术参照表。具体可行技术见下表。</w:t>
            </w:r>
          </w:p>
          <w:p w14:paraId="7DC8E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t>表4.2-</w:t>
            </w:r>
            <w:r>
              <w:rPr>
                <w:rFonts w:hint="eastAsia" w:cs="Times New Roman"/>
                <w:b/>
                <w:bCs w:val="0"/>
                <w:color w:val="000000" w:themeColor="text1"/>
                <w:kern w:val="0"/>
                <w:sz w:val="24"/>
                <w:szCs w:val="24"/>
                <w:highlight w:val="none"/>
                <w:vertAlign w:val="baseline"/>
                <w:lang w:val="en-US" w:eastAsia="zh-CN"/>
                <w14:textFill>
                  <w14:solidFill>
                    <w14:schemeClr w14:val="tx1"/>
                  </w14:solidFill>
                </w14:textFill>
              </w:rPr>
              <w:t>7</w:t>
            </w:r>
            <w:r>
              <w:rPr>
                <w:rFonts w:hint="default" w:ascii="Times New Roman" w:hAnsi="Times New Roman" w:cs="Times New Roman"/>
                <w:b/>
                <w:bCs w:val="0"/>
                <w:color w:val="000000" w:themeColor="text1"/>
                <w:kern w:val="0"/>
                <w:sz w:val="24"/>
                <w:szCs w:val="24"/>
                <w:highlight w:val="none"/>
                <w:vertAlign w:val="baseline"/>
                <w:lang w:eastAsia="zh-CN"/>
                <w14:textFill>
                  <w14:solidFill>
                    <w14:schemeClr w14:val="tx1"/>
                  </w14:solidFill>
                </w14:textFill>
              </w:rPr>
              <w:t xml:space="preserve"> 医疗机构排污单位水污染可行技术参照表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122"/>
              <w:gridCol w:w="1377"/>
              <w:gridCol w:w="2786"/>
            </w:tblGrid>
            <w:tr w14:paraId="154AE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6BD31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污水类别</w:t>
                  </w:r>
                </w:p>
              </w:tc>
              <w:tc>
                <w:tcPr>
                  <w:tcW w:w="1875" w:type="pct"/>
                  <w:tcBorders>
                    <w:tl2br w:val="nil"/>
                    <w:tr2bl w:val="nil"/>
                  </w:tcBorders>
                  <w:vAlign w:val="center"/>
                </w:tcPr>
                <w:p w14:paraId="7DE4B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污染物种类</w:t>
                  </w:r>
                </w:p>
              </w:tc>
              <w:tc>
                <w:tcPr>
                  <w:tcW w:w="827" w:type="pct"/>
                  <w:tcBorders>
                    <w:tl2br w:val="nil"/>
                    <w:tr2bl w:val="nil"/>
                  </w:tcBorders>
                  <w:vAlign w:val="center"/>
                </w:tcPr>
                <w:p w14:paraId="0B8E7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排放去向</w:t>
                  </w:r>
                </w:p>
              </w:tc>
              <w:tc>
                <w:tcPr>
                  <w:tcW w:w="1673" w:type="pct"/>
                  <w:tcBorders>
                    <w:tl2br w:val="nil"/>
                    <w:tr2bl w:val="nil"/>
                  </w:tcBorders>
                  <w:vAlign w:val="center"/>
                </w:tcPr>
                <w:p w14:paraId="37F78D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可行技术</w:t>
                  </w:r>
                </w:p>
              </w:tc>
            </w:tr>
            <w:tr w14:paraId="3B671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2EE57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医疗废水</w:t>
                  </w:r>
                </w:p>
              </w:tc>
              <w:tc>
                <w:tcPr>
                  <w:tcW w:w="1875" w:type="pct"/>
                  <w:tcBorders>
                    <w:tl2br w:val="nil"/>
                    <w:tr2bl w:val="nil"/>
                  </w:tcBorders>
                  <w:vAlign w:val="center"/>
                </w:tcPr>
                <w:p w14:paraId="65A70C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粪大肠菌群数、肠道致病菌、肠道病毒化学需氧量、氨氮、pH值、悬浮物、五日生化需氧量、动植物油、石油类、阴离子表面活性剂、挥发酚、色度、总氰化物、总余氯</w:t>
                  </w:r>
                </w:p>
              </w:tc>
              <w:tc>
                <w:tcPr>
                  <w:tcW w:w="827" w:type="pct"/>
                  <w:tcBorders>
                    <w:tl2br w:val="nil"/>
                    <w:tr2bl w:val="nil"/>
                  </w:tcBorders>
                  <w:vAlign w:val="center"/>
                </w:tcPr>
                <w:p w14:paraId="111CF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排入城镇污水处理</w:t>
                  </w: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厂</w:t>
                  </w:r>
                </w:p>
              </w:tc>
              <w:tc>
                <w:tcPr>
                  <w:tcW w:w="1673" w:type="pct"/>
                  <w:tcBorders>
                    <w:tl2br w:val="nil"/>
                    <w:tr2bl w:val="nil"/>
                  </w:tcBorders>
                  <w:vAlign w:val="center"/>
                </w:tcPr>
                <w:p w14:paraId="0134C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一级处理/一级强化处理+消毒工艺。一级处理包括：筛滤法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沉淀法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气浮法</w:t>
                  </w:r>
                  <w:r>
                    <w:rPr>
                      <w:rFonts w:hint="eastAsia" w:cs="Times New Roman"/>
                      <w:b w:val="0"/>
                      <w:bCs/>
                      <w:color w:val="000000" w:themeColor="text1"/>
                      <w:kern w:val="0"/>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1"/>
                      <w:szCs w:val="21"/>
                      <w:highlight w:val="none"/>
                      <w:vertAlign w:val="baseline"/>
                      <w:lang w:eastAsia="zh-CN"/>
                      <w14:textFill>
                        <w14:solidFill>
                          <w14:schemeClr w14:val="tx1"/>
                        </w14:solidFill>
                      </w14:textFill>
                    </w:rPr>
                    <w:t>预曝气法。一级强化处理包括：化学混凝处理、机械过滤或不完全生物处理。消毒工艺：加氯消毒，臭氧法消毒次氯酸钠法、二氧化氯法消毒、紫外线消毒等</w:t>
                  </w:r>
                </w:p>
              </w:tc>
            </w:tr>
          </w:tbl>
          <w:p w14:paraId="7B854E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项目通过投加</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二氧化氯</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消毒片</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eastAsia" w:ascii="Times New Roman" w:hAnsi="Times New Roman" w:eastAsia="宋体" w:cs="Times New Roman"/>
                <w:b w:val="0"/>
                <w:color w:val="auto"/>
                <w:sz w:val="24"/>
                <w:szCs w:val="24"/>
                <w:lang w:val="en-US" w:eastAsia="zh-CN" w:bidi="ar-SA"/>
              </w:rPr>
              <w:t>三氯异氰尿酸消毒片</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进行消毒处理符合医疗机构排污单位水污染可行技术要求。</w:t>
            </w:r>
          </w:p>
          <w:p w14:paraId="73108F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kern w:val="0"/>
                <w:sz w:val="24"/>
                <w:szCs w:val="24"/>
                <w:highlight w:val="none"/>
                <w:vertAlign w:val="baseline"/>
                <w:lang w:eastAsia="zh-CN"/>
              </w:rPr>
            </w:pPr>
            <w:r>
              <w:rPr>
                <w:rFonts w:hint="default" w:ascii="Times New Roman" w:hAnsi="Times New Roman" w:cs="Times New Roman"/>
                <w:b w:val="0"/>
                <w:bCs/>
                <w:color w:val="auto"/>
                <w:kern w:val="0"/>
                <w:sz w:val="24"/>
                <w:szCs w:val="24"/>
                <w:highlight w:val="none"/>
                <w:vertAlign w:val="baseline"/>
                <w:lang w:eastAsia="zh-CN"/>
              </w:rPr>
              <w:t>项目设置</w:t>
            </w:r>
            <w:r>
              <w:rPr>
                <w:rFonts w:hint="eastAsia" w:cs="Times New Roman"/>
                <w:b w:val="0"/>
                <w:bCs/>
                <w:color w:val="auto"/>
                <w:kern w:val="0"/>
                <w:sz w:val="24"/>
                <w:szCs w:val="24"/>
                <w:highlight w:val="none"/>
                <w:vertAlign w:val="baseline"/>
                <w:lang w:val="en-US" w:eastAsia="zh-CN"/>
              </w:rPr>
              <w:t>有2</w:t>
            </w:r>
            <w:r>
              <w:rPr>
                <w:rFonts w:hint="default" w:ascii="Times New Roman" w:hAnsi="Times New Roman" w:cs="Times New Roman"/>
                <w:b w:val="0"/>
                <w:bCs/>
                <w:color w:val="auto"/>
                <w:kern w:val="0"/>
                <w:sz w:val="24"/>
                <w:szCs w:val="24"/>
                <w:highlight w:val="none"/>
                <w:vertAlign w:val="baseline"/>
                <w:lang w:eastAsia="zh-CN"/>
              </w:rPr>
              <w:t>台</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val="en-US" w:eastAsia="zh-CN"/>
              </w:rPr>
              <w:t>分别</w:t>
            </w:r>
            <w:r>
              <w:rPr>
                <w:rFonts w:hint="default" w:ascii="Times New Roman" w:hAnsi="Times New Roman" w:cs="Times New Roman"/>
                <w:b w:val="0"/>
                <w:bCs/>
                <w:color w:val="auto"/>
                <w:kern w:val="0"/>
                <w:sz w:val="24"/>
                <w:szCs w:val="24"/>
                <w:highlight w:val="none"/>
                <w:vertAlign w:val="baseline"/>
                <w:lang w:eastAsia="zh-CN"/>
              </w:rPr>
              <w:t>位于</w:t>
            </w:r>
            <w:r>
              <w:rPr>
                <w:rFonts w:hint="eastAsia" w:cs="Times New Roman"/>
                <w:b w:val="0"/>
                <w:bCs/>
                <w:color w:val="auto"/>
                <w:sz w:val="24"/>
                <w:szCs w:val="24"/>
                <w:highlight w:val="none"/>
                <w:lang w:val="en-US" w:eastAsia="zh-CN"/>
              </w:rPr>
              <w:t>手术室洗手台、中央处置台</w:t>
            </w:r>
            <w:r>
              <w:rPr>
                <w:rFonts w:hint="eastAsia" w:ascii="Times New Roman" w:hAnsi="Times New Roman" w:eastAsia="宋体" w:cs="Times New Roman"/>
                <w:b w:val="0"/>
                <w:bCs/>
                <w:color w:val="auto"/>
                <w:sz w:val="24"/>
                <w:szCs w:val="24"/>
                <w:highlight w:val="none"/>
                <w:lang w:val="en-US" w:eastAsia="zh-CN"/>
              </w:rPr>
              <w:t>下方</w:t>
            </w:r>
            <w:r>
              <w:rPr>
                <w:rFonts w:hint="default" w:ascii="Times New Roman" w:hAnsi="Times New Roman" w:cs="Times New Roman"/>
                <w:b w:val="0"/>
                <w:bCs/>
                <w:color w:val="auto"/>
                <w:kern w:val="0"/>
                <w:sz w:val="24"/>
                <w:szCs w:val="24"/>
                <w:highlight w:val="none"/>
                <w:vertAlign w:val="baseline"/>
                <w:lang w:eastAsia="zh-CN"/>
              </w:rPr>
              <w:t>。项目</w:t>
            </w:r>
            <w:r>
              <w:rPr>
                <w:rFonts w:hint="eastAsia" w:cs="Times New Roman"/>
                <w:b w:val="0"/>
                <w:bCs/>
                <w:color w:val="auto"/>
                <w:kern w:val="0"/>
                <w:sz w:val="24"/>
                <w:szCs w:val="24"/>
                <w:highlight w:val="none"/>
                <w:vertAlign w:val="baseline"/>
                <w:lang w:eastAsia="zh-CN"/>
              </w:rPr>
              <w:t>消毒设施</w:t>
            </w:r>
            <w:r>
              <w:rPr>
                <w:rFonts w:hint="eastAsia" w:cs="Times New Roman"/>
                <w:b w:val="0"/>
                <w:bCs/>
                <w:color w:val="auto"/>
                <w:kern w:val="0"/>
                <w:sz w:val="24"/>
                <w:szCs w:val="24"/>
                <w:highlight w:val="none"/>
                <w:vertAlign w:val="baseline"/>
                <w:lang w:val="en-US" w:eastAsia="zh-CN"/>
              </w:rPr>
              <w:t>有效容积分别为20L、50L</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接触消毒时长不低于1h</w:t>
            </w:r>
            <w:r>
              <w:rPr>
                <w:rFonts w:hint="eastAsia" w:cs="Times New Roman"/>
                <w:b w:val="0"/>
                <w:bCs/>
                <w:color w:val="auto"/>
                <w:kern w:val="0"/>
                <w:sz w:val="24"/>
                <w:szCs w:val="24"/>
                <w:highlight w:val="none"/>
                <w:vertAlign w:val="baseline"/>
                <w:lang w:eastAsia="zh-CN"/>
              </w:rPr>
              <w:t>，</w:t>
            </w:r>
            <w:r>
              <w:rPr>
                <w:rFonts w:hint="eastAsia" w:cs="Times New Roman"/>
                <w:snapToGrid w:val="0"/>
                <w:color w:val="auto"/>
                <w:kern w:val="0"/>
                <w:sz w:val="24"/>
                <w:highlight w:val="none"/>
                <w:lang w:val="en-US" w:eastAsia="zh-CN"/>
              </w:rPr>
              <w:t>每日多次使用可满足项目需求</w:t>
            </w:r>
            <w:r>
              <w:rPr>
                <w:rFonts w:hint="default" w:ascii="Times New Roman" w:hAnsi="Times New Roman" w:cs="Times New Roman"/>
                <w:b w:val="0"/>
                <w:bCs/>
                <w:color w:val="auto"/>
                <w:kern w:val="0"/>
                <w:sz w:val="24"/>
                <w:szCs w:val="24"/>
                <w:highlight w:val="none"/>
                <w:vertAlign w:val="baseline"/>
                <w:lang w:eastAsia="zh-CN"/>
              </w:rPr>
              <w:t>。</w:t>
            </w:r>
            <w:r>
              <w:rPr>
                <w:rFonts w:hint="eastAsia" w:cs="Times New Roman"/>
                <w:b w:val="0"/>
                <w:bCs/>
                <w:color w:val="auto"/>
                <w:kern w:val="0"/>
                <w:sz w:val="24"/>
                <w:szCs w:val="24"/>
                <w:highlight w:val="none"/>
                <w:vertAlign w:val="baseline"/>
                <w:lang w:val="en-US" w:eastAsia="zh-CN"/>
              </w:rPr>
              <w:t>项目医疗废水排入消毒设施处理，消毒设施容量达80%后停止使用，人工将消毒设施上盖打开后投加二氧化氯消毒片、</w:t>
            </w:r>
            <w:r>
              <w:rPr>
                <w:rFonts w:hint="eastAsia" w:ascii="Times New Roman" w:hAnsi="Times New Roman" w:eastAsia="宋体" w:cs="Times New Roman"/>
                <w:b w:val="0"/>
                <w:color w:val="auto"/>
                <w:sz w:val="24"/>
                <w:szCs w:val="24"/>
                <w:lang w:val="en-US" w:eastAsia="zh-CN" w:bidi="ar-SA"/>
              </w:rPr>
              <w:t>三氯异氰尿酸消毒片</w:t>
            </w:r>
            <w:r>
              <w:rPr>
                <w:rFonts w:hint="eastAsia" w:cs="Times New Roman"/>
                <w:b w:val="0"/>
                <w:bCs/>
                <w:color w:val="auto"/>
                <w:kern w:val="0"/>
                <w:sz w:val="24"/>
                <w:szCs w:val="24"/>
                <w:highlight w:val="none"/>
                <w:vertAlign w:val="baseline"/>
                <w:lang w:val="en-US" w:eastAsia="zh-CN"/>
              </w:rPr>
              <w:t>，静置1h，使消毒片充分反应，之后打开排水阀门，医疗废水排入生化池。</w:t>
            </w:r>
            <w:r>
              <w:rPr>
                <w:rFonts w:hint="default" w:ascii="Times New Roman" w:hAnsi="Times New Roman" w:cs="Times New Roman"/>
                <w:b w:val="0"/>
                <w:bCs/>
                <w:color w:val="auto"/>
                <w:kern w:val="0"/>
                <w:sz w:val="24"/>
                <w:szCs w:val="24"/>
                <w:highlight w:val="none"/>
                <w:vertAlign w:val="baseline"/>
                <w:lang w:eastAsia="zh-CN"/>
              </w:rPr>
              <w:t>项目</w:t>
            </w:r>
            <w:r>
              <w:rPr>
                <w:rFonts w:hint="eastAsia" w:cs="Times New Roman"/>
                <w:b w:val="0"/>
                <w:bCs/>
                <w:color w:val="auto"/>
                <w:kern w:val="0"/>
                <w:sz w:val="24"/>
                <w:szCs w:val="24"/>
                <w:highlight w:val="none"/>
                <w:vertAlign w:val="baseline"/>
                <w:lang w:val="en-US" w:eastAsia="zh-CN"/>
              </w:rPr>
              <w:t>化验废水、宠物笼清洗废水</w:t>
            </w:r>
            <w:r>
              <w:rPr>
                <w:rFonts w:hint="default" w:ascii="Times New Roman" w:hAnsi="Times New Roman" w:cs="Times New Roman"/>
                <w:b w:val="0"/>
                <w:bCs/>
                <w:color w:val="auto"/>
                <w:kern w:val="0"/>
                <w:sz w:val="24"/>
                <w:szCs w:val="24"/>
                <w:highlight w:val="none"/>
                <w:vertAlign w:val="baseline"/>
                <w:lang w:eastAsia="zh-CN"/>
              </w:rPr>
              <w:t>最大产生量约为</w:t>
            </w:r>
            <w:r>
              <w:rPr>
                <w:rFonts w:hint="eastAsia" w:cs="Times New Roman"/>
                <w:b w:val="0"/>
                <w:bCs/>
                <w:color w:val="auto"/>
                <w:kern w:val="0"/>
                <w:sz w:val="24"/>
                <w:szCs w:val="24"/>
                <w:highlight w:val="none"/>
                <w:vertAlign w:val="baseline"/>
                <w:lang w:val="en-US" w:eastAsia="zh-CN"/>
              </w:rPr>
              <w:t>0.2205</w:t>
            </w:r>
            <w:r>
              <w:rPr>
                <w:rFonts w:hint="default" w:ascii="Times New Roman" w:hAnsi="Times New Roman" w:cs="Times New Roman"/>
                <w:b w:val="0"/>
                <w:bCs/>
                <w:color w:val="auto"/>
                <w:kern w:val="0"/>
                <w:sz w:val="24"/>
                <w:szCs w:val="24"/>
                <w:highlight w:val="none"/>
                <w:vertAlign w:val="baseline"/>
                <w:lang w:eastAsia="zh-CN"/>
              </w:rPr>
              <w:t>m</w:t>
            </w:r>
            <w:r>
              <w:rPr>
                <w:rFonts w:hint="default" w:ascii="Times New Roman" w:hAnsi="Times New Roman" w:cs="Times New Roman"/>
                <w:b w:val="0"/>
                <w:bCs/>
                <w:color w:val="auto"/>
                <w:kern w:val="0"/>
                <w:sz w:val="24"/>
                <w:szCs w:val="24"/>
                <w:highlight w:val="none"/>
                <w:vertAlign w:val="superscript"/>
                <w:lang w:eastAsia="zh-CN"/>
              </w:rPr>
              <w:t>3</w:t>
            </w:r>
            <w:r>
              <w:rPr>
                <w:rFonts w:hint="default" w:ascii="Times New Roman" w:hAnsi="Times New Roman" w:cs="Times New Roman"/>
                <w:b w:val="0"/>
                <w:bCs/>
                <w:color w:val="auto"/>
                <w:kern w:val="0"/>
                <w:sz w:val="24"/>
                <w:szCs w:val="24"/>
                <w:highlight w:val="none"/>
                <w:vertAlign w:val="baseline"/>
                <w:lang w:eastAsia="zh-CN"/>
              </w:rPr>
              <w:t>/d，</w:t>
            </w:r>
            <w:r>
              <w:rPr>
                <w:rFonts w:hint="eastAsia" w:cs="Times New Roman"/>
                <w:b w:val="0"/>
                <w:bCs/>
                <w:color w:val="auto"/>
                <w:kern w:val="0"/>
                <w:sz w:val="24"/>
                <w:szCs w:val="24"/>
                <w:highlight w:val="none"/>
                <w:vertAlign w:val="baseline"/>
                <w:lang w:val="en-US" w:eastAsia="zh-CN"/>
              </w:rPr>
              <w:t>手术器械清洗废水</w:t>
            </w:r>
            <w:r>
              <w:rPr>
                <w:rFonts w:hint="default" w:ascii="Times New Roman" w:hAnsi="Times New Roman" w:cs="Times New Roman"/>
                <w:b w:val="0"/>
                <w:bCs/>
                <w:color w:val="auto"/>
                <w:kern w:val="0"/>
                <w:sz w:val="24"/>
                <w:szCs w:val="24"/>
                <w:highlight w:val="none"/>
                <w:vertAlign w:val="baseline"/>
                <w:lang w:eastAsia="zh-CN"/>
              </w:rPr>
              <w:t>最大产生量约为</w:t>
            </w:r>
            <w:r>
              <w:rPr>
                <w:rFonts w:hint="eastAsia" w:cs="Times New Roman"/>
                <w:b w:val="0"/>
                <w:bCs/>
                <w:color w:val="auto"/>
                <w:kern w:val="0"/>
                <w:sz w:val="24"/>
                <w:szCs w:val="24"/>
                <w:highlight w:val="none"/>
                <w:vertAlign w:val="baseline"/>
                <w:lang w:val="en-US" w:eastAsia="zh-CN"/>
              </w:rPr>
              <w:t>0.018</w:t>
            </w:r>
            <w:r>
              <w:rPr>
                <w:rFonts w:hint="default" w:ascii="Times New Roman" w:hAnsi="Times New Roman" w:cs="Times New Roman"/>
                <w:b w:val="0"/>
                <w:bCs/>
                <w:color w:val="auto"/>
                <w:kern w:val="0"/>
                <w:sz w:val="24"/>
                <w:szCs w:val="24"/>
                <w:highlight w:val="none"/>
                <w:vertAlign w:val="baseline"/>
                <w:lang w:eastAsia="zh-CN"/>
              </w:rPr>
              <w:t>m</w:t>
            </w:r>
            <w:r>
              <w:rPr>
                <w:rFonts w:hint="default" w:ascii="Times New Roman" w:hAnsi="Times New Roman" w:cs="Times New Roman"/>
                <w:b w:val="0"/>
                <w:bCs/>
                <w:color w:val="auto"/>
                <w:kern w:val="0"/>
                <w:sz w:val="24"/>
                <w:szCs w:val="24"/>
                <w:highlight w:val="none"/>
                <w:vertAlign w:val="superscript"/>
                <w:lang w:eastAsia="zh-CN"/>
              </w:rPr>
              <w:t>3</w:t>
            </w:r>
            <w:r>
              <w:rPr>
                <w:rFonts w:hint="default" w:ascii="Times New Roman" w:hAnsi="Times New Roman" w:cs="Times New Roman"/>
                <w:b w:val="0"/>
                <w:bCs/>
                <w:color w:val="auto"/>
                <w:kern w:val="0"/>
                <w:sz w:val="24"/>
                <w:szCs w:val="24"/>
                <w:highlight w:val="none"/>
                <w:vertAlign w:val="baseline"/>
                <w:lang w:eastAsia="zh-CN"/>
              </w:rPr>
              <w:t>/d</w:t>
            </w:r>
            <w:r>
              <w:rPr>
                <w:rFonts w:hint="eastAsia" w:cs="Times New Roman"/>
                <w:b w:val="0"/>
                <w:bCs/>
                <w:color w:val="auto"/>
                <w:kern w:val="0"/>
                <w:sz w:val="24"/>
                <w:szCs w:val="24"/>
                <w:highlight w:val="none"/>
                <w:vertAlign w:val="baseline"/>
                <w:lang w:eastAsia="zh-CN"/>
              </w:rPr>
              <w:t>，</w:t>
            </w:r>
            <w:r>
              <w:rPr>
                <w:rFonts w:hint="eastAsia" w:cs="Times New Roman"/>
                <w:snapToGrid w:val="0"/>
                <w:color w:val="auto"/>
                <w:kern w:val="0"/>
                <w:sz w:val="24"/>
                <w:highlight w:val="none"/>
                <w:lang w:val="en-US" w:eastAsia="zh-CN"/>
              </w:rPr>
              <w:t>每日多次使用可满足项目需求</w:t>
            </w:r>
            <w:r>
              <w:rPr>
                <w:rFonts w:hint="default" w:ascii="Times New Roman" w:hAnsi="Times New Roman" w:cs="Times New Roman"/>
                <w:b w:val="0"/>
                <w:bCs/>
                <w:color w:val="auto"/>
                <w:kern w:val="0"/>
                <w:sz w:val="24"/>
                <w:szCs w:val="24"/>
                <w:highlight w:val="none"/>
                <w:vertAlign w:val="baseline"/>
                <w:lang w:eastAsia="zh-CN"/>
              </w:rPr>
              <w:t>。综上，项目</w:t>
            </w:r>
            <w:r>
              <w:rPr>
                <w:rFonts w:hint="eastAsia" w:cs="Times New Roman"/>
                <w:b w:val="0"/>
                <w:bCs/>
                <w:color w:val="auto"/>
                <w:kern w:val="0"/>
                <w:sz w:val="24"/>
                <w:szCs w:val="24"/>
                <w:highlight w:val="none"/>
                <w:vertAlign w:val="baseline"/>
                <w:lang w:eastAsia="zh-CN"/>
              </w:rPr>
              <w:t>消毒设施</w:t>
            </w:r>
            <w:r>
              <w:rPr>
                <w:rFonts w:hint="default" w:ascii="Times New Roman" w:hAnsi="Times New Roman" w:cs="Times New Roman"/>
                <w:b w:val="0"/>
                <w:bCs/>
                <w:color w:val="auto"/>
                <w:kern w:val="0"/>
                <w:sz w:val="24"/>
                <w:szCs w:val="24"/>
                <w:highlight w:val="none"/>
                <w:vertAlign w:val="baseline"/>
                <w:lang w:eastAsia="zh-CN"/>
              </w:rPr>
              <w:t>处理工艺及处理能力可行。</w:t>
            </w:r>
          </w:p>
          <w:p w14:paraId="301E6769">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kern w:val="0"/>
                <w:sz w:val="24"/>
                <w:szCs w:val="24"/>
                <w:highlight w:val="none"/>
                <w:vertAlign w:val="baseline"/>
                <w:lang w:eastAsia="zh-CN"/>
              </w:rPr>
            </w:pPr>
            <w:r>
              <w:rPr>
                <w:rFonts w:hint="default" w:ascii="Times New Roman" w:hAnsi="Times New Roman" w:cs="Times New Roman"/>
                <w:b w:val="0"/>
                <w:bCs/>
                <w:color w:val="auto"/>
                <w:kern w:val="0"/>
                <w:sz w:val="24"/>
                <w:szCs w:val="24"/>
                <w:highlight w:val="none"/>
                <w:vertAlign w:val="baseline"/>
                <w:lang w:eastAsia="zh-CN"/>
              </w:rPr>
              <w:t>生化池依托可行性分析</w:t>
            </w:r>
          </w:p>
          <w:p w14:paraId="38C570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FF0000"/>
                <w:kern w:val="0"/>
                <w:sz w:val="24"/>
                <w:szCs w:val="24"/>
                <w:highlight w:val="none"/>
                <w:vertAlign w:val="baseline"/>
                <w:lang w:eastAsia="zh-CN"/>
              </w:rPr>
            </w:pP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项目位于</w:t>
            </w:r>
            <w:r>
              <w:rPr>
                <w:rFonts w:hint="eastAsia" w:cs="Times New Roman"/>
                <w:color w:val="000000" w:themeColor="text1"/>
                <w:sz w:val="24"/>
                <w:szCs w:val="24"/>
                <w:highlight w:val="none"/>
                <w:lang w:val="en-US" w:eastAsia="zh-CN"/>
                <w14:textFill>
                  <w14:solidFill>
                    <w14:schemeClr w14:val="tx1"/>
                  </w14:solidFill>
                </w14:textFill>
              </w:rPr>
              <w:t>重庆市九龙坡区二郎街道火炬大道100号附24号及附23-2号</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商铺1F</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，医院内部的排水管网与商铺建设初期的管网走向一致，项目废水经商铺的排水管网进入小区污水管网后，再进入</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弘悦101已建生化池</w:t>
            </w:r>
            <w:r>
              <w:rPr>
                <w:rFonts w:hint="eastAsia" w:cs="Times New Roman"/>
                <w:b w:val="0"/>
                <w:bCs/>
                <w:color w:val="000000" w:themeColor="text1"/>
                <w:kern w:val="0"/>
                <w:sz w:val="24"/>
                <w:szCs w:val="24"/>
                <w:highlight w:val="none"/>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0"/>
                <w:sz w:val="24"/>
                <w:szCs w:val="24"/>
                <w:highlight w:val="none"/>
                <w:vertAlign w:val="baseline"/>
                <w:lang w:eastAsia="zh-CN"/>
                <w14:textFill>
                  <w14:solidFill>
                    <w14:schemeClr w14:val="tx1"/>
                  </w14:solidFill>
                </w14:textFill>
              </w:rPr>
              <w:t>该生化池设计初期的处理能力考虑了整个商业门面的废水量，目前该生化池运行正常，生化池的出水水质处理达《污水综合排放标准》（GB8978-1996）三级标准后接入市政污水管网。项目医疗废水参照《医院污水处理工程技术规范》（HJ2029-2013）进行了消毒处理，达到《医疗机构水污染物排放标准》（GB18466-2005）预处理标准后排入生化池，生化池可以接纳项目的废水。因此，项目废水排入该生化池处理合理可行。</w:t>
            </w:r>
          </w:p>
          <w:p w14:paraId="6A8437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（4）</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污水处理厂</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依托可行性分析</w:t>
            </w:r>
          </w:p>
          <w:p w14:paraId="40B8CF2B">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FF0000"/>
                <w:kern w:val="0"/>
                <w:sz w:val="24"/>
                <w:szCs w:val="24"/>
                <w:highlight w:val="none"/>
                <w:vertAlign w:val="baseline"/>
                <w:lang w:val="en-US" w:eastAsia="zh-CN"/>
              </w:rPr>
            </w:pP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污水处理厂位于彩云湖国家湿地公园内，总占地面积为33748.63平方米，建</w:t>
            </w:r>
            <w:r>
              <w:rPr>
                <w:rFonts w:hint="eastAsia" w:ascii="Times New Roman" w:hAnsi="Times New Roman" w:eastAsia="宋体" w:cs="Times New Roman"/>
                <w:b w:val="0"/>
                <w:bCs/>
                <w:color w:val="auto"/>
                <w:kern w:val="0"/>
                <w:sz w:val="24"/>
                <w:szCs w:val="24"/>
                <w:highlight w:val="none"/>
                <w:vertAlign w:val="baseline"/>
                <w:lang w:val="en-US" w:eastAsia="zh-CN"/>
              </w:rPr>
              <w:t>构筑物占地12217.09平方米</w:t>
            </w:r>
            <w:r>
              <w:rPr>
                <w:rFonts w:hint="eastAsia"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彩云湖污水处理厂日处理3万吨</w:t>
            </w:r>
            <w:r>
              <w:rPr>
                <w:rFonts w:hint="eastAsia"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根据调查，</w:t>
            </w:r>
            <w:r>
              <w:rPr>
                <w:rFonts w:hint="eastAsia" w:cs="Times New Roman"/>
                <w:b w:val="0"/>
                <w:bCs/>
                <w:color w:val="auto"/>
                <w:kern w:val="0"/>
                <w:sz w:val="24"/>
                <w:szCs w:val="24"/>
                <w:highlight w:val="none"/>
                <w:vertAlign w:val="baseline"/>
                <w:lang w:val="en-US" w:eastAsia="zh-CN"/>
              </w:rPr>
              <w:t>彩云湖</w:t>
            </w:r>
            <w:r>
              <w:rPr>
                <w:rFonts w:hint="eastAsia" w:ascii="Times New Roman" w:hAnsi="Times New Roman" w:eastAsia="宋体" w:cs="Times New Roman"/>
                <w:b w:val="0"/>
                <w:bCs/>
                <w:color w:val="auto"/>
                <w:kern w:val="0"/>
                <w:sz w:val="24"/>
                <w:szCs w:val="24"/>
                <w:highlight w:val="none"/>
                <w:vertAlign w:val="baseline"/>
                <w:lang w:val="en-US" w:eastAsia="zh-CN"/>
              </w:rPr>
              <w:t>污水处理厂</w:t>
            </w:r>
            <w:r>
              <w:rPr>
                <w:rFonts w:hint="eastAsia" w:cs="Times New Roman"/>
                <w:b w:val="0"/>
                <w:bCs/>
                <w:color w:val="auto"/>
                <w:kern w:val="0"/>
                <w:sz w:val="24"/>
                <w:szCs w:val="24"/>
                <w:highlight w:val="none"/>
                <w:vertAlign w:val="baseline"/>
                <w:lang w:val="en-US" w:eastAsia="zh-CN"/>
              </w:rPr>
              <w:t>现日均</w:t>
            </w:r>
            <w:r>
              <w:rPr>
                <w:rFonts w:hint="eastAsia" w:ascii="Times New Roman" w:hAnsi="Times New Roman" w:eastAsia="宋体" w:cs="Times New Roman"/>
                <w:b w:val="0"/>
                <w:bCs/>
                <w:color w:val="auto"/>
                <w:kern w:val="0"/>
                <w:sz w:val="24"/>
                <w:szCs w:val="24"/>
                <w:highlight w:val="none"/>
                <w:vertAlign w:val="baseline"/>
                <w:lang w:val="en-US" w:eastAsia="zh-CN"/>
              </w:rPr>
              <w:t>污水处理量为</w:t>
            </w:r>
            <w:r>
              <w:rPr>
                <w:rFonts w:hint="eastAsia" w:cs="Times New Roman"/>
                <w:b w:val="0"/>
                <w:bCs/>
                <w:color w:val="auto"/>
                <w:kern w:val="0"/>
                <w:sz w:val="24"/>
                <w:szCs w:val="24"/>
                <w:highlight w:val="none"/>
                <w:vertAlign w:val="baseline"/>
                <w:lang w:val="en-US" w:eastAsia="zh-CN"/>
              </w:rPr>
              <w:t>2.4</w:t>
            </w:r>
            <w:r>
              <w:rPr>
                <w:rFonts w:hint="eastAsia" w:ascii="Times New Roman" w:hAnsi="Times New Roman" w:eastAsia="宋体" w:cs="Times New Roman"/>
                <w:b w:val="0"/>
                <w:bCs/>
                <w:color w:val="auto"/>
                <w:kern w:val="0"/>
                <w:sz w:val="24"/>
                <w:szCs w:val="24"/>
                <w:highlight w:val="none"/>
                <w:vertAlign w:val="baseline"/>
                <w:lang w:val="en-US" w:eastAsia="zh-CN"/>
              </w:rPr>
              <w:t>万</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，年均负荷率</w:t>
            </w:r>
            <w:r>
              <w:rPr>
                <w:rFonts w:hint="eastAsia" w:cs="Times New Roman"/>
                <w:b w:val="0"/>
                <w:bCs/>
                <w:color w:val="auto"/>
                <w:kern w:val="0"/>
                <w:sz w:val="24"/>
                <w:szCs w:val="24"/>
                <w:highlight w:val="none"/>
                <w:vertAlign w:val="baseline"/>
                <w:lang w:val="en-US" w:eastAsia="zh-CN"/>
              </w:rPr>
              <w:t>80</w:t>
            </w:r>
            <w:r>
              <w:rPr>
                <w:rFonts w:hint="default" w:ascii="Times New Roman" w:hAnsi="Times New Roman" w:eastAsia="宋体" w:cs="Times New Roman"/>
                <w:b w:val="0"/>
                <w:bCs/>
                <w:color w:val="auto"/>
                <w:kern w:val="0"/>
                <w:sz w:val="24"/>
                <w:szCs w:val="24"/>
                <w:highlight w:val="none"/>
                <w:vertAlign w:val="baseline"/>
                <w:lang w:val="en-US" w:eastAsia="zh-CN"/>
              </w:rPr>
              <w:t>%</w:t>
            </w:r>
            <w:r>
              <w:rPr>
                <w:rFonts w:hint="eastAsia" w:ascii="Times New Roman" w:hAnsi="Times New Roman" w:eastAsia="宋体" w:cs="Times New Roman"/>
                <w:b w:val="0"/>
                <w:bCs/>
                <w:color w:val="auto"/>
                <w:kern w:val="0"/>
                <w:sz w:val="24"/>
                <w:szCs w:val="24"/>
                <w:highlight w:val="none"/>
                <w:vertAlign w:val="baseline"/>
                <w:lang w:val="en-US" w:eastAsia="zh-CN"/>
              </w:rPr>
              <w:t>，剩余处理能力为</w:t>
            </w:r>
            <w:r>
              <w:rPr>
                <w:rFonts w:hint="eastAsia" w:cs="Times New Roman"/>
                <w:b w:val="0"/>
                <w:bCs/>
                <w:color w:val="auto"/>
                <w:kern w:val="0"/>
                <w:sz w:val="24"/>
                <w:szCs w:val="24"/>
                <w:highlight w:val="none"/>
                <w:vertAlign w:val="baseline"/>
                <w:lang w:val="en-US" w:eastAsia="zh-CN"/>
              </w:rPr>
              <w:t>0.6</w:t>
            </w:r>
            <w:r>
              <w:rPr>
                <w:rFonts w:hint="eastAsia" w:ascii="Times New Roman" w:hAnsi="Times New Roman" w:eastAsia="宋体" w:cs="Times New Roman"/>
                <w:b w:val="0"/>
                <w:bCs/>
                <w:color w:val="auto"/>
                <w:kern w:val="0"/>
                <w:sz w:val="24"/>
                <w:szCs w:val="24"/>
                <w:highlight w:val="none"/>
                <w:vertAlign w:val="baseline"/>
                <w:lang w:val="en-US" w:eastAsia="zh-CN"/>
              </w:rPr>
              <w:t>万</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，本项目污水处理负荷为</w:t>
            </w:r>
            <w:r>
              <w:rPr>
                <w:rFonts w:hint="eastAsia" w:cs="Times New Roman"/>
                <w:b w:val="0"/>
                <w:bCs/>
                <w:color w:val="auto"/>
                <w:kern w:val="0"/>
                <w:sz w:val="24"/>
                <w:szCs w:val="24"/>
                <w:highlight w:val="none"/>
                <w:vertAlign w:val="baseline"/>
                <w:lang w:val="en-US" w:eastAsia="zh-CN"/>
              </w:rPr>
              <w:t>1.3401</w:t>
            </w:r>
            <w:r>
              <w:rPr>
                <w:rFonts w:hint="default" w:ascii="Times New Roman" w:hAnsi="Times New Roman" w:eastAsia="宋体" w:cs="Times New Roman"/>
                <w:b w:val="0"/>
                <w:bCs/>
                <w:color w:val="auto"/>
                <w:kern w:val="0"/>
                <w:sz w:val="24"/>
                <w:szCs w:val="24"/>
                <w:highlight w:val="none"/>
                <w:vertAlign w:val="baseline"/>
                <w:lang w:val="en-US" w:eastAsia="zh-CN"/>
              </w:rPr>
              <w:t>m</w:t>
            </w:r>
            <w:r>
              <w:rPr>
                <w:rFonts w:hint="default" w:ascii="Times New Roman" w:hAnsi="Times New Roman" w:eastAsia="宋体" w:cs="Times New Roman"/>
                <w:b w:val="0"/>
                <w:bCs/>
                <w:color w:val="auto"/>
                <w:kern w:val="0"/>
                <w:sz w:val="24"/>
                <w:szCs w:val="24"/>
                <w:highlight w:val="none"/>
                <w:vertAlign w:val="superscript"/>
                <w:lang w:val="en-US" w:eastAsia="zh-CN"/>
              </w:rPr>
              <w:t>3</w:t>
            </w:r>
            <w:r>
              <w:rPr>
                <w:rFonts w:hint="default" w:ascii="Times New Roman" w:hAnsi="Times New Roman" w:eastAsia="宋体" w:cs="Times New Roman"/>
                <w:b w:val="0"/>
                <w:bCs/>
                <w:color w:val="auto"/>
                <w:kern w:val="0"/>
                <w:sz w:val="24"/>
                <w:szCs w:val="24"/>
                <w:highlight w:val="none"/>
                <w:vertAlign w:val="baseline"/>
                <w:lang w:val="en-US" w:eastAsia="zh-CN"/>
              </w:rPr>
              <w:t>/d</w:t>
            </w:r>
            <w:r>
              <w:rPr>
                <w:rFonts w:hint="eastAsia" w:ascii="Times New Roman" w:hAnsi="Times New Roman" w:eastAsia="宋体" w:cs="Times New Roman"/>
                <w:b w:val="0"/>
                <w:bCs/>
                <w:color w:val="auto"/>
                <w:kern w:val="0"/>
                <w:sz w:val="24"/>
                <w:szCs w:val="24"/>
                <w:highlight w:val="none"/>
                <w:vertAlign w:val="baseline"/>
                <w:lang w:val="en-US" w:eastAsia="zh-CN"/>
              </w:rPr>
              <w:t>，因此</w:t>
            </w:r>
            <w:r>
              <w:rPr>
                <w:rFonts w:hint="eastAsia" w:cs="Times New Roman"/>
                <w:b w:val="0"/>
                <w:bCs/>
                <w:color w:val="auto"/>
                <w:kern w:val="0"/>
                <w:sz w:val="24"/>
                <w:szCs w:val="24"/>
                <w:highlight w:val="none"/>
                <w:vertAlign w:val="baseline"/>
                <w:lang w:val="en-US" w:eastAsia="zh-CN"/>
              </w:rPr>
              <w:t>彩云湖污水处理厂</w:t>
            </w:r>
            <w:r>
              <w:rPr>
                <w:rFonts w:hint="eastAsia" w:ascii="Times New Roman" w:hAnsi="Times New Roman" w:eastAsia="宋体" w:cs="Times New Roman"/>
                <w:b w:val="0"/>
                <w:bCs/>
                <w:color w:val="auto"/>
                <w:kern w:val="0"/>
                <w:sz w:val="24"/>
                <w:szCs w:val="24"/>
                <w:highlight w:val="none"/>
                <w:vertAlign w:val="baseline"/>
                <w:lang w:val="en-US" w:eastAsia="zh-CN"/>
              </w:rPr>
              <w:t>剩余处理能力满足本项目新增污水处理需求。</w:t>
            </w:r>
          </w:p>
          <w:p w14:paraId="31D7CF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项目属</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于彩云湖污水处理厂</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纳污范围，污水管网已接通</w:t>
            </w:r>
            <w:r>
              <w:rPr>
                <w:rFonts w:hint="eastAsia" w:cs="Times New Roman"/>
                <w:b w:val="0"/>
                <w:bCs/>
                <w:color w:val="000000" w:themeColor="text1"/>
                <w:kern w:val="0"/>
                <w:sz w:val="24"/>
                <w:szCs w:val="24"/>
                <w:highlight w:val="none"/>
                <w:vertAlign w:val="baseline"/>
                <w:lang w:val="en-US" w:eastAsia="zh-CN"/>
                <w14:textFill>
                  <w14:solidFill>
                    <w14:schemeClr w14:val="tx1"/>
                  </w14:solidFill>
                </w14:textFill>
              </w:rPr>
              <w:t>彩云湖污水处理厂</w:t>
            </w:r>
            <w:r>
              <w:rPr>
                <w:rFonts w:hint="eastAsia"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项目废水排放量为</w:t>
            </w:r>
            <w:r>
              <w:rPr>
                <w:rFonts w:hint="eastAsia" w:cs="Times New Roman"/>
                <w:b w:val="0"/>
                <w:bCs/>
                <w:color w:val="auto"/>
                <w:kern w:val="0"/>
                <w:sz w:val="24"/>
                <w:szCs w:val="24"/>
                <w:highlight w:val="none"/>
                <w:vertAlign w:val="baseline"/>
                <w:lang w:val="en-US" w:eastAsia="zh-CN"/>
              </w:rPr>
              <w:t>1.3311</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/d，占污水厂处理能力比例很小，能够满足处理需要，经处理后对周边地表水环境影响不大。</w:t>
            </w:r>
          </w:p>
          <w:p w14:paraId="1322F0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vertAlign w:val="baseline"/>
                <w:lang w:val="en-US" w:eastAsia="zh-CN"/>
                <w14:textFill>
                  <w14:solidFill>
                    <w14:schemeClr w14:val="tx1"/>
                  </w14:solidFill>
                </w14:textFill>
              </w:rPr>
              <w:t>项目废水在采取上述处理措施后均能确保达标排放，对水环境影响很小。</w:t>
            </w:r>
          </w:p>
          <w:p w14:paraId="2992B4F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4.2.3噪声环境影响及保护措施</w:t>
            </w:r>
          </w:p>
          <w:p w14:paraId="47BE3D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4.2.3.1噪声源强及降噪措施</w:t>
            </w:r>
          </w:p>
          <w:p w14:paraId="7AD5A3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vertAlign w:val="baseline"/>
                <w:lang w:eastAsia="zh-CN"/>
              </w:rPr>
            </w:pPr>
            <w:r>
              <w:rPr>
                <w:rFonts w:hint="eastAsia" w:ascii="Times New Roman" w:hAnsi="Times New Roman" w:eastAsia="宋体" w:cs="Times New Roman"/>
                <w:b w:val="0"/>
                <w:bCs/>
                <w:color w:val="auto"/>
                <w:kern w:val="0"/>
                <w:sz w:val="24"/>
                <w:szCs w:val="24"/>
                <w:vertAlign w:val="baseline"/>
                <w:lang w:val="en-US" w:eastAsia="zh-CN"/>
              </w:rPr>
              <w:t>本</w:t>
            </w:r>
            <w:r>
              <w:rPr>
                <w:rFonts w:hint="default" w:ascii="Times New Roman" w:hAnsi="Times New Roman" w:eastAsia="宋体" w:cs="Times New Roman"/>
                <w:b w:val="0"/>
                <w:bCs/>
                <w:color w:val="auto"/>
                <w:kern w:val="0"/>
                <w:sz w:val="24"/>
                <w:szCs w:val="24"/>
                <w:vertAlign w:val="baseline"/>
                <w:lang w:eastAsia="zh-CN"/>
              </w:rPr>
              <w:t>项目</w:t>
            </w:r>
            <w:r>
              <w:rPr>
                <w:rFonts w:hint="eastAsia" w:ascii="Times New Roman" w:hAnsi="Times New Roman" w:eastAsia="宋体" w:cs="Times New Roman"/>
                <w:b w:val="0"/>
                <w:bCs/>
                <w:color w:val="auto"/>
                <w:kern w:val="0"/>
                <w:sz w:val="24"/>
                <w:szCs w:val="24"/>
                <w:vertAlign w:val="baseline"/>
                <w:lang w:val="en-US" w:eastAsia="zh-CN"/>
              </w:rPr>
              <w:t>为</w:t>
            </w:r>
            <w:r>
              <w:rPr>
                <w:rFonts w:hint="default" w:ascii="Times New Roman" w:hAnsi="Times New Roman" w:eastAsia="宋体" w:cs="Times New Roman"/>
                <w:b w:val="0"/>
                <w:bCs/>
                <w:color w:val="auto"/>
                <w:kern w:val="0"/>
                <w:sz w:val="24"/>
                <w:szCs w:val="24"/>
                <w:vertAlign w:val="baseline"/>
                <w:lang w:eastAsia="zh-CN"/>
              </w:rPr>
              <w:t>宠物医院，无高噪声设备</w:t>
            </w:r>
            <w:r>
              <w:rPr>
                <w:rFonts w:hint="eastAsia" w:ascii="Times New Roman" w:hAnsi="Times New Roman" w:eastAsia="宋体" w:cs="Times New Roman"/>
                <w:b w:val="0"/>
                <w:bCs/>
                <w:color w:val="auto"/>
                <w:kern w:val="0"/>
                <w:sz w:val="24"/>
                <w:szCs w:val="24"/>
                <w:vertAlign w:val="baseline"/>
                <w:lang w:eastAsia="zh-CN"/>
              </w:rPr>
              <w:t>。</w:t>
            </w:r>
            <w:r>
              <w:rPr>
                <w:rFonts w:hint="default" w:ascii="Times New Roman" w:hAnsi="Times New Roman" w:eastAsia="宋体" w:cs="Times New Roman"/>
                <w:b w:val="0"/>
                <w:bCs/>
                <w:color w:val="auto"/>
                <w:kern w:val="0"/>
                <w:sz w:val="24"/>
                <w:szCs w:val="24"/>
                <w:vertAlign w:val="baseline"/>
                <w:lang w:eastAsia="zh-CN"/>
              </w:rPr>
              <w:t>主要噪声来源于</w:t>
            </w:r>
            <w:r>
              <w:rPr>
                <w:rFonts w:hint="eastAsia" w:ascii="Times New Roman" w:hAnsi="Times New Roman" w:eastAsia="宋体" w:cs="Times New Roman"/>
                <w:b w:val="0"/>
                <w:bCs/>
                <w:color w:val="auto"/>
                <w:kern w:val="0"/>
                <w:sz w:val="24"/>
                <w:szCs w:val="24"/>
                <w:vertAlign w:val="baseline"/>
                <w:lang w:val="en-US" w:eastAsia="zh-CN"/>
              </w:rPr>
              <w:t>宠物</w:t>
            </w:r>
            <w:r>
              <w:rPr>
                <w:rFonts w:hint="default" w:ascii="Times New Roman" w:hAnsi="Times New Roman" w:eastAsia="宋体" w:cs="Times New Roman"/>
                <w:b w:val="0"/>
                <w:bCs/>
                <w:color w:val="auto"/>
                <w:kern w:val="0"/>
                <w:sz w:val="24"/>
                <w:szCs w:val="24"/>
                <w:vertAlign w:val="baseline"/>
                <w:lang w:eastAsia="zh-CN"/>
              </w:rPr>
              <w:t>偶发吼叫噪声，噪声源强约为7</w:t>
            </w:r>
            <w:r>
              <w:rPr>
                <w:rFonts w:hint="eastAsia" w:ascii="Times New Roman" w:hAnsi="Times New Roman" w:eastAsia="宋体" w:cs="Times New Roman"/>
                <w:b w:val="0"/>
                <w:bCs/>
                <w:color w:val="auto"/>
                <w:kern w:val="0"/>
                <w:sz w:val="24"/>
                <w:szCs w:val="24"/>
                <w:vertAlign w:val="baseline"/>
                <w:lang w:val="en-US" w:eastAsia="zh-CN"/>
              </w:rPr>
              <w:t>0</w:t>
            </w:r>
            <w:r>
              <w:rPr>
                <w:rFonts w:hint="default" w:ascii="Times New Roman" w:hAnsi="Times New Roman" w:eastAsia="宋体" w:cs="Times New Roman"/>
                <w:b w:val="0"/>
                <w:bCs/>
                <w:color w:val="auto"/>
                <w:kern w:val="0"/>
                <w:sz w:val="24"/>
                <w:szCs w:val="24"/>
                <w:vertAlign w:val="baseline"/>
                <w:lang w:eastAsia="zh-CN"/>
              </w:rPr>
              <w:t>dB（A）。详见表4.2-</w:t>
            </w:r>
            <w:r>
              <w:rPr>
                <w:rFonts w:hint="eastAsia" w:ascii="Times New Roman" w:hAnsi="Times New Roman" w:eastAsia="宋体" w:cs="Times New Roman"/>
                <w:b w:val="0"/>
                <w:bCs/>
                <w:color w:val="auto"/>
                <w:kern w:val="0"/>
                <w:sz w:val="24"/>
                <w:szCs w:val="24"/>
                <w:vertAlign w:val="baseline"/>
                <w:lang w:val="en-US" w:eastAsia="zh-CN"/>
              </w:rPr>
              <w:t>8</w:t>
            </w:r>
            <w:r>
              <w:rPr>
                <w:rFonts w:hint="default" w:ascii="Times New Roman" w:hAnsi="Times New Roman" w:eastAsia="宋体" w:cs="Times New Roman"/>
                <w:b w:val="0"/>
                <w:bCs/>
                <w:color w:val="auto"/>
                <w:kern w:val="0"/>
                <w:sz w:val="24"/>
                <w:szCs w:val="24"/>
                <w:vertAlign w:val="baseline"/>
                <w:lang w:eastAsia="zh-CN"/>
              </w:rPr>
              <w:t>。</w:t>
            </w:r>
          </w:p>
          <w:p w14:paraId="699E4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表4.2-</w:t>
            </w:r>
            <w:r>
              <w:rPr>
                <w:rFonts w:hint="eastAsia" w:cs="Times New Roman"/>
                <w:b/>
                <w:bCs w:val="0"/>
                <w:color w:val="auto"/>
                <w:kern w:val="0"/>
                <w:sz w:val="24"/>
                <w:szCs w:val="24"/>
                <w:highlight w:val="none"/>
                <w:vertAlign w:val="baseline"/>
                <w:lang w:val="en-US" w:eastAsia="zh-CN"/>
              </w:rPr>
              <w:t>8</w:t>
            </w:r>
            <w:r>
              <w:rPr>
                <w:rFonts w:hint="default" w:ascii="Times New Roman" w:hAnsi="Times New Roman" w:cs="Times New Roman"/>
                <w:b/>
                <w:bCs w:val="0"/>
                <w:color w:val="auto"/>
                <w:kern w:val="0"/>
                <w:sz w:val="24"/>
                <w:szCs w:val="24"/>
                <w:highlight w:val="none"/>
                <w:vertAlign w:val="baseline"/>
                <w:lang w:eastAsia="zh-CN"/>
              </w:rPr>
              <w:t xml:space="preserve"> 项目室内噪声污染源强一览表</w:t>
            </w:r>
          </w:p>
          <w:tbl>
            <w:tblPr>
              <w:tblStyle w:val="20"/>
              <w:tblW w:w="83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
              <w:gridCol w:w="240"/>
              <w:gridCol w:w="270"/>
              <w:gridCol w:w="529"/>
              <w:gridCol w:w="578"/>
              <w:gridCol w:w="321"/>
              <w:gridCol w:w="222"/>
              <w:gridCol w:w="222"/>
              <w:gridCol w:w="351"/>
              <w:gridCol w:w="352"/>
              <w:gridCol w:w="352"/>
              <w:gridCol w:w="352"/>
              <w:gridCol w:w="352"/>
              <w:gridCol w:w="352"/>
              <w:gridCol w:w="352"/>
              <w:gridCol w:w="352"/>
              <w:gridCol w:w="398"/>
              <w:gridCol w:w="611"/>
              <w:gridCol w:w="352"/>
              <w:gridCol w:w="352"/>
              <w:gridCol w:w="352"/>
              <w:gridCol w:w="356"/>
              <w:gridCol w:w="549"/>
            </w:tblGrid>
            <w:tr w14:paraId="7B22F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restart"/>
                  <w:tcBorders>
                    <w:tl2br w:val="nil"/>
                    <w:tr2bl w:val="nil"/>
                  </w:tcBorders>
                  <w:vAlign w:val="center"/>
                </w:tcPr>
                <w:p w14:paraId="7F8B019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序号</w:t>
                  </w:r>
                </w:p>
              </w:tc>
              <w:tc>
                <w:tcPr>
                  <w:tcW w:w="143" w:type="pct"/>
                  <w:vMerge w:val="restart"/>
                  <w:tcBorders>
                    <w:tl2br w:val="nil"/>
                    <w:tr2bl w:val="nil"/>
                  </w:tcBorders>
                  <w:vAlign w:val="center"/>
                </w:tcPr>
                <w:p w14:paraId="65AD6FCB">
                  <w:pPr>
                    <w:pStyle w:val="54"/>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建筑物名称</w:t>
                  </w:r>
                </w:p>
              </w:tc>
              <w:tc>
                <w:tcPr>
                  <w:tcW w:w="160" w:type="pct"/>
                  <w:vMerge w:val="restart"/>
                  <w:tcBorders>
                    <w:tl2br w:val="nil"/>
                    <w:tr2bl w:val="nil"/>
                  </w:tcBorders>
                  <w:vAlign w:val="center"/>
                </w:tcPr>
                <w:p w14:paraId="7215E0D5">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w:t>
                  </w:r>
                </w:p>
                <w:p w14:paraId="711ADCEF">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名称</w:t>
                  </w:r>
                </w:p>
              </w:tc>
              <w:tc>
                <w:tcPr>
                  <w:tcW w:w="315" w:type="pct"/>
                  <w:vMerge w:val="restart"/>
                  <w:tcBorders>
                    <w:tl2br w:val="nil"/>
                    <w:tr2bl w:val="nil"/>
                  </w:tcBorders>
                  <w:vAlign w:val="center"/>
                </w:tcPr>
                <w:p w14:paraId="55EF93B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声源源强</w:t>
                  </w:r>
                </w:p>
                <w:p w14:paraId="6ED5F4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（声压级/距声源距离）/（dB（A）/m）</w:t>
                  </w:r>
                </w:p>
              </w:tc>
              <w:tc>
                <w:tcPr>
                  <w:tcW w:w="344" w:type="pct"/>
                  <w:vMerge w:val="restart"/>
                  <w:tcBorders>
                    <w:tl2br w:val="nil"/>
                    <w:tr2bl w:val="nil"/>
                  </w:tcBorders>
                  <w:vAlign w:val="center"/>
                </w:tcPr>
                <w:p w14:paraId="7B742A9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声源控制措施</w:t>
                  </w:r>
                </w:p>
              </w:tc>
              <w:tc>
                <w:tcPr>
                  <w:tcW w:w="455" w:type="pct"/>
                  <w:gridSpan w:val="3"/>
                  <w:tcBorders>
                    <w:tl2br w:val="nil"/>
                    <w:tr2bl w:val="nil"/>
                  </w:tcBorders>
                  <w:vAlign w:val="center"/>
                </w:tcPr>
                <w:p w14:paraId="01C670C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空间相对位置/m</w:t>
                  </w:r>
                </w:p>
              </w:tc>
              <w:tc>
                <w:tcPr>
                  <w:tcW w:w="838" w:type="pct"/>
                  <w:gridSpan w:val="4"/>
                  <w:tcBorders>
                    <w:tl2br w:val="nil"/>
                    <w:tr2bl w:val="nil"/>
                  </w:tcBorders>
                  <w:vAlign w:val="center"/>
                </w:tcPr>
                <w:p w14:paraId="29CDAAA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距室内边界距离/m</w:t>
                  </w:r>
                </w:p>
              </w:tc>
              <w:tc>
                <w:tcPr>
                  <w:tcW w:w="839" w:type="pct"/>
                  <w:gridSpan w:val="4"/>
                  <w:tcBorders>
                    <w:tl2br w:val="nil"/>
                    <w:tr2bl w:val="nil"/>
                  </w:tcBorders>
                  <w:vAlign w:val="center"/>
                </w:tcPr>
                <w:p w14:paraId="67D2A16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室内边界声级/dB（A）</w:t>
                  </w:r>
                </w:p>
              </w:tc>
              <w:tc>
                <w:tcPr>
                  <w:tcW w:w="237" w:type="pct"/>
                  <w:vMerge w:val="restart"/>
                  <w:tcBorders>
                    <w:tl2br w:val="nil"/>
                    <w:tr2bl w:val="nil"/>
                  </w:tcBorders>
                  <w:vAlign w:val="center"/>
                </w:tcPr>
                <w:p w14:paraId="5926CC5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运行</w:t>
                  </w:r>
                </w:p>
                <w:p w14:paraId="00FD093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时段</w:t>
                  </w:r>
                </w:p>
              </w:tc>
              <w:tc>
                <w:tcPr>
                  <w:tcW w:w="364" w:type="pct"/>
                  <w:vMerge w:val="restart"/>
                  <w:tcBorders>
                    <w:tl2br w:val="nil"/>
                    <w:tr2bl w:val="nil"/>
                  </w:tcBorders>
                  <w:vAlign w:val="center"/>
                </w:tcPr>
                <w:p w14:paraId="404E611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w:t>
                  </w:r>
                </w:p>
                <w:p w14:paraId="3469897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插入损失（dB）</w:t>
                  </w:r>
                </w:p>
              </w:tc>
              <w:tc>
                <w:tcPr>
                  <w:tcW w:w="1168" w:type="pct"/>
                  <w:gridSpan w:val="5"/>
                  <w:tcBorders>
                    <w:tl2br w:val="nil"/>
                    <w:tr2bl w:val="nil"/>
                  </w:tcBorders>
                  <w:vAlign w:val="center"/>
                </w:tcPr>
                <w:p w14:paraId="73C803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建筑物外噪声</w:t>
                  </w:r>
                </w:p>
              </w:tc>
            </w:tr>
            <w:tr w14:paraId="51439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continue"/>
                  <w:tcBorders>
                    <w:tl2br w:val="nil"/>
                    <w:tr2bl w:val="nil"/>
                  </w:tcBorders>
                  <w:vAlign w:val="center"/>
                </w:tcPr>
                <w:p w14:paraId="12D3688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3" w:type="pct"/>
                  <w:vMerge w:val="continue"/>
                  <w:tcBorders>
                    <w:tl2br w:val="nil"/>
                    <w:tr2bl w:val="nil"/>
                  </w:tcBorders>
                  <w:vAlign w:val="center"/>
                </w:tcPr>
                <w:p w14:paraId="3D2E10F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0" w:type="pct"/>
                  <w:vMerge w:val="continue"/>
                  <w:tcBorders>
                    <w:tl2br w:val="nil"/>
                    <w:tr2bl w:val="nil"/>
                  </w:tcBorders>
                  <w:vAlign w:val="center"/>
                </w:tcPr>
                <w:p w14:paraId="670FBDD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15" w:type="pct"/>
                  <w:vMerge w:val="continue"/>
                  <w:tcBorders>
                    <w:tl2br w:val="nil"/>
                    <w:tr2bl w:val="nil"/>
                  </w:tcBorders>
                  <w:vAlign w:val="center"/>
                </w:tcPr>
                <w:p w14:paraId="1B658AE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4" w:type="pct"/>
                  <w:vMerge w:val="continue"/>
                  <w:tcBorders>
                    <w:tl2br w:val="nil"/>
                    <w:tr2bl w:val="nil"/>
                  </w:tcBorders>
                  <w:vAlign w:val="center"/>
                </w:tcPr>
                <w:p w14:paraId="5EBE85B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vMerge w:val="restart"/>
                  <w:tcBorders>
                    <w:tl2br w:val="nil"/>
                    <w:tr2bl w:val="nil"/>
                  </w:tcBorders>
                  <w:vAlign w:val="center"/>
                </w:tcPr>
                <w:p w14:paraId="2C1FBAF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X</w:t>
                  </w:r>
                </w:p>
              </w:tc>
              <w:tc>
                <w:tcPr>
                  <w:tcW w:w="132" w:type="pct"/>
                  <w:vMerge w:val="restart"/>
                  <w:tcBorders>
                    <w:tl2br w:val="nil"/>
                    <w:tr2bl w:val="nil"/>
                  </w:tcBorders>
                  <w:vAlign w:val="center"/>
                </w:tcPr>
                <w:p w14:paraId="64A1858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Y</w:t>
                  </w:r>
                </w:p>
              </w:tc>
              <w:tc>
                <w:tcPr>
                  <w:tcW w:w="132" w:type="pct"/>
                  <w:vMerge w:val="restart"/>
                  <w:tcBorders>
                    <w:tl2br w:val="nil"/>
                    <w:tr2bl w:val="nil"/>
                  </w:tcBorders>
                  <w:vAlign w:val="center"/>
                </w:tcPr>
                <w:p w14:paraId="68489C0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Z</w:t>
                  </w:r>
                </w:p>
              </w:tc>
              <w:tc>
                <w:tcPr>
                  <w:tcW w:w="209" w:type="pct"/>
                  <w:vMerge w:val="restart"/>
                  <w:tcBorders>
                    <w:tl2br w:val="nil"/>
                    <w:tr2bl w:val="nil"/>
                  </w:tcBorders>
                  <w:vAlign w:val="center"/>
                </w:tcPr>
                <w:p w14:paraId="6F4613A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vMerge w:val="restart"/>
                  <w:tcBorders>
                    <w:tl2br w:val="nil"/>
                    <w:tr2bl w:val="nil"/>
                  </w:tcBorders>
                  <w:vAlign w:val="center"/>
                </w:tcPr>
                <w:p w14:paraId="5CDA6D1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vMerge w:val="restart"/>
                  <w:tcBorders>
                    <w:tl2br w:val="nil"/>
                    <w:tr2bl w:val="nil"/>
                  </w:tcBorders>
                  <w:vAlign w:val="center"/>
                </w:tcPr>
                <w:p w14:paraId="4EE322E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09" w:type="pct"/>
                  <w:vMerge w:val="restart"/>
                  <w:tcBorders>
                    <w:tl2br w:val="nil"/>
                    <w:tr2bl w:val="nil"/>
                  </w:tcBorders>
                  <w:vAlign w:val="center"/>
                </w:tcPr>
                <w:p w14:paraId="3D2D830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209" w:type="pct"/>
                  <w:vMerge w:val="restart"/>
                  <w:tcBorders>
                    <w:tl2br w:val="nil"/>
                    <w:tr2bl w:val="nil"/>
                  </w:tcBorders>
                  <w:vAlign w:val="center"/>
                </w:tcPr>
                <w:p w14:paraId="58AC09A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vMerge w:val="restart"/>
                  <w:tcBorders>
                    <w:tl2br w:val="nil"/>
                    <w:tr2bl w:val="nil"/>
                  </w:tcBorders>
                  <w:vAlign w:val="center"/>
                </w:tcPr>
                <w:p w14:paraId="79A7C41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vMerge w:val="restart"/>
                  <w:tcBorders>
                    <w:tl2br w:val="nil"/>
                    <w:tr2bl w:val="nil"/>
                  </w:tcBorders>
                  <w:vAlign w:val="center"/>
                </w:tcPr>
                <w:p w14:paraId="562F67C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09" w:type="pct"/>
                  <w:vMerge w:val="restart"/>
                  <w:tcBorders>
                    <w:tl2br w:val="nil"/>
                    <w:tr2bl w:val="nil"/>
                  </w:tcBorders>
                  <w:vAlign w:val="center"/>
                </w:tcPr>
                <w:p w14:paraId="4CB8D90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237" w:type="pct"/>
                  <w:vMerge w:val="continue"/>
                  <w:tcBorders>
                    <w:tl2br w:val="nil"/>
                    <w:tr2bl w:val="nil"/>
                  </w:tcBorders>
                  <w:vAlign w:val="center"/>
                </w:tcPr>
                <w:p w14:paraId="3960B8D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64" w:type="pct"/>
                  <w:vMerge w:val="continue"/>
                  <w:tcBorders>
                    <w:tl2br w:val="nil"/>
                    <w:tr2bl w:val="nil"/>
                  </w:tcBorders>
                  <w:vAlign w:val="center"/>
                </w:tcPr>
                <w:p w14:paraId="4B78AA5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841" w:type="pct"/>
                  <w:gridSpan w:val="4"/>
                  <w:tcBorders>
                    <w:tl2br w:val="nil"/>
                    <w:tr2bl w:val="nil"/>
                  </w:tcBorders>
                  <w:vAlign w:val="center"/>
                </w:tcPr>
                <w:p w14:paraId="1D741DB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w:t>
                  </w:r>
                </w:p>
              </w:tc>
              <w:tc>
                <w:tcPr>
                  <w:tcW w:w="327" w:type="pct"/>
                  <w:vMerge w:val="restart"/>
                  <w:tcBorders>
                    <w:tl2br w:val="nil"/>
                    <w:tr2bl w:val="nil"/>
                  </w:tcBorders>
                  <w:vAlign w:val="center"/>
                </w:tcPr>
                <w:p w14:paraId="60B0117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建筑物外距离（m）</w:t>
                  </w:r>
                </w:p>
              </w:tc>
            </w:tr>
            <w:tr w14:paraId="5D6DB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vMerge w:val="continue"/>
                  <w:tcBorders>
                    <w:tl2br w:val="nil"/>
                    <w:tr2bl w:val="nil"/>
                  </w:tcBorders>
                  <w:vAlign w:val="center"/>
                </w:tcPr>
                <w:p w14:paraId="596E977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3" w:type="pct"/>
                  <w:vMerge w:val="continue"/>
                  <w:tcBorders>
                    <w:tl2br w:val="nil"/>
                    <w:tr2bl w:val="nil"/>
                  </w:tcBorders>
                  <w:vAlign w:val="center"/>
                </w:tcPr>
                <w:p w14:paraId="028A301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0" w:type="pct"/>
                  <w:vMerge w:val="continue"/>
                  <w:tcBorders>
                    <w:tl2br w:val="nil"/>
                    <w:tr2bl w:val="nil"/>
                  </w:tcBorders>
                  <w:vAlign w:val="center"/>
                </w:tcPr>
                <w:p w14:paraId="74D6AAD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15" w:type="pct"/>
                  <w:vMerge w:val="continue"/>
                  <w:tcBorders>
                    <w:tl2br w:val="nil"/>
                    <w:tr2bl w:val="nil"/>
                  </w:tcBorders>
                  <w:vAlign w:val="center"/>
                </w:tcPr>
                <w:p w14:paraId="0B84901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4" w:type="pct"/>
                  <w:vMerge w:val="continue"/>
                  <w:tcBorders>
                    <w:tl2br w:val="nil"/>
                    <w:tr2bl w:val="nil"/>
                  </w:tcBorders>
                  <w:vAlign w:val="center"/>
                </w:tcPr>
                <w:p w14:paraId="52567D05">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vMerge w:val="continue"/>
                  <w:tcBorders>
                    <w:tl2br w:val="nil"/>
                    <w:tr2bl w:val="nil"/>
                  </w:tcBorders>
                  <w:vAlign w:val="center"/>
                </w:tcPr>
                <w:p w14:paraId="3936BCDF">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32" w:type="pct"/>
                  <w:vMerge w:val="continue"/>
                  <w:tcBorders>
                    <w:tl2br w:val="nil"/>
                    <w:tr2bl w:val="nil"/>
                  </w:tcBorders>
                  <w:vAlign w:val="center"/>
                </w:tcPr>
                <w:p w14:paraId="3FD87FD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32" w:type="pct"/>
                  <w:vMerge w:val="continue"/>
                  <w:tcBorders>
                    <w:tl2br w:val="nil"/>
                    <w:tr2bl w:val="nil"/>
                  </w:tcBorders>
                  <w:vAlign w:val="center"/>
                </w:tcPr>
                <w:p w14:paraId="074950C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31BB5CB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39D87B8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5AF629C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5ABD0C5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2D3554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F7029D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4599EB5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vMerge w:val="continue"/>
                  <w:tcBorders>
                    <w:tl2br w:val="nil"/>
                    <w:tr2bl w:val="nil"/>
                  </w:tcBorders>
                  <w:vAlign w:val="center"/>
                </w:tcPr>
                <w:p w14:paraId="0C7A643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37" w:type="pct"/>
                  <w:vMerge w:val="continue"/>
                  <w:tcBorders>
                    <w:tl2br w:val="nil"/>
                    <w:tr2bl w:val="nil"/>
                  </w:tcBorders>
                  <w:vAlign w:val="center"/>
                </w:tcPr>
                <w:p w14:paraId="465F771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64" w:type="pct"/>
                  <w:vMerge w:val="continue"/>
                  <w:tcBorders>
                    <w:tl2br w:val="nil"/>
                    <w:tr2bl w:val="nil"/>
                  </w:tcBorders>
                  <w:vAlign w:val="center"/>
                </w:tcPr>
                <w:p w14:paraId="2515B4A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09" w:type="pct"/>
                  <w:tcBorders>
                    <w:tl2br w:val="nil"/>
                    <w:tr2bl w:val="nil"/>
                  </w:tcBorders>
                  <w:vAlign w:val="center"/>
                </w:tcPr>
                <w:p w14:paraId="6D8D933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209" w:type="pct"/>
                  <w:tcBorders>
                    <w:tl2br w:val="nil"/>
                    <w:tr2bl w:val="nil"/>
                  </w:tcBorders>
                  <w:vAlign w:val="center"/>
                </w:tcPr>
                <w:p w14:paraId="22FD8A6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209" w:type="pct"/>
                  <w:tcBorders>
                    <w:tl2br w:val="nil"/>
                    <w:tr2bl w:val="nil"/>
                  </w:tcBorders>
                  <w:vAlign w:val="center"/>
                </w:tcPr>
                <w:p w14:paraId="07C7FFF2">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12" w:type="pct"/>
                  <w:tcBorders>
                    <w:tl2br w:val="nil"/>
                    <w:tr2bl w:val="nil"/>
                  </w:tcBorders>
                  <w:vAlign w:val="center"/>
                </w:tcPr>
                <w:p w14:paraId="45E54CC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327" w:type="pct"/>
                  <w:vMerge w:val="continue"/>
                  <w:tcBorders>
                    <w:tl2br w:val="nil"/>
                    <w:tr2bl w:val="nil"/>
                  </w:tcBorders>
                  <w:vAlign w:val="center"/>
                </w:tcPr>
                <w:p w14:paraId="23C4C3D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r>
            <w:tr w14:paraId="6838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5DCEF138">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43" w:type="pct"/>
                  <w:tcBorders>
                    <w:tl2br w:val="nil"/>
                    <w:tr2bl w:val="nil"/>
                  </w:tcBorders>
                  <w:vAlign w:val="center"/>
                </w:tcPr>
                <w:p w14:paraId="6B0DF48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犬住院室</w:t>
                  </w:r>
                </w:p>
              </w:tc>
              <w:tc>
                <w:tcPr>
                  <w:tcW w:w="160" w:type="pct"/>
                  <w:vMerge w:val="restart"/>
                  <w:tcBorders>
                    <w:tl2br w:val="nil"/>
                    <w:tr2bl w:val="nil"/>
                  </w:tcBorders>
                  <w:shd w:val="clear" w:color="auto" w:fill="auto"/>
                  <w:vAlign w:val="center"/>
                </w:tcPr>
                <w:p w14:paraId="3B7D0940">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宠物</w:t>
                  </w:r>
                </w:p>
                <w:p w14:paraId="40279F9D">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吼叫</w:t>
                  </w:r>
                </w:p>
              </w:tc>
              <w:tc>
                <w:tcPr>
                  <w:tcW w:w="315" w:type="pct"/>
                  <w:tcBorders>
                    <w:tl2br w:val="nil"/>
                    <w:tr2bl w:val="nil"/>
                  </w:tcBorders>
                  <w:vAlign w:val="center"/>
                </w:tcPr>
                <w:p w14:paraId="62065EA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restart"/>
                  <w:tcBorders>
                    <w:tl2br w:val="nil"/>
                    <w:tr2bl w:val="nil"/>
                  </w:tcBorders>
                  <w:vAlign w:val="center"/>
                </w:tcPr>
                <w:p w14:paraId="79C127CE">
                  <w:pPr>
                    <w:pStyle w:val="54"/>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建筑隔声、加强管理</w:t>
                  </w:r>
                </w:p>
              </w:tc>
              <w:tc>
                <w:tcPr>
                  <w:tcW w:w="191" w:type="pct"/>
                  <w:tcBorders>
                    <w:tl2br w:val="nil"/>
                    <w:tr2bl w:val="nil"/>
                  </w:tcBorders>
                  <w:vAlign w:val="center"/>
                </w:tcPr>
                <w:p w14:paraId="6B0B145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498470C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508762D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3CBFF35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18F35B7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209" w:type="pct"/>
                  <w:tcBorders>
                    <w:tl2br w:val="nil"/>
                    <w:tr2bl w:val="nil"/>
                  </w:tcBorders>
                  <w:vAlign w:val="center"/>
                </w:tcPr>
                <w:p w14:paraId="22F3D0F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110BCFF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9</w:t>
                  </w:r>
                </w:p>
              </w:tc>
              <w:tc>
                <w:tcPr>
                  <w:tcW w:w="209" w:type="pct"/>
                  <w:tcBorders>
                    <w:tl2br w:val="nil"/>
                    <w:tr2bl w:val="nil"/>
                  </w:tcBorders>
                  <w:shd w:val="clear" w:color="auto" w:fill="auto"/>
                  <w:vAlign w:val="bottom"/>
                </w:tcPr>
                <w:p w14:paraId="3EEF029A">
                  <w:pPr>
                    <w:bidi w:val="0"/>
                    <w:rPr>
                      <w:rFonts w:hint="default"/>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47C36FD8">
                  <w:pPr>
                    <w:bidi w:val="0"/>
                    <w:rPr>
                      <w:rFonts w:hint="default"/>
                      <w:color w:val="auto"/>
                      <w:lang w:val="en-US" w:eastAsia="zh-CN"/>
                    </w:rPr>
                  </w:pPr>
                  <w:r>
                    <w:rPr>
                      <w:rFonts w:hint="eastAsia"/>
                      <w:color w:val="auto"/>
                      <w:lang w:val="en-US" w:eastAsia="zh-CN"/>
                    </w:rPr>
                    <w:t xml:space="preserve">64.0 </w:t>
                  </w:r>
                </w:p>
              </w:tc>
              <w:tc>
                <w:tcPr>
                  <w:tcW w:w="209" w:type="pct"/>
                  <w:tcBorders>
                    <w:tl2br w:val="nil"/>
                    <w:tr2bl w:val="nil"/>
                  </w:tcBorders>
                  <w:shd w:val="clear" w:color="auto" w:fill="auto"/>
                  <w:vAlign w:val="bottom"/>
                </w:tcPr>
                <w:p w14:paraId="2327EDDB">
                  <w:pPr>
                    <w:bidi w:val="0"/>
                    <w:rPr>
                      <w:rFonts w:hint="default"/>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34161CE4">
                  <w:pPr>
                    <w:bidi w:val="0"/>
                    <w:rPr>
                      <w:rFonts w:hint="default"/>
                      <w:color w:val="auto"/>
                      <w:lang w:val="en-US" w:eastAsia="zh-CN"/>
                    </w:rPr>
                  </w:pPr>
                  <w:r>
                    <w:rPr>
                      <w:rFonts w:hint="eastAsia"/>
                      <w:color w:val="auto"/>
                      <w:lang w:val="en-US" w:eastAsia="zh-CN"/>
                    </w:rPr>
                    <w:t xml:space="preserve">50.9 </w:t>
                  </w:r>
                </w:p>
              </w:tc>
              <w:tc>
                <w:tcPr>
                  <w:tcW w:w="237" w:type="pct"/>
                  <w:vMerge w:val="restart"/>
                  <w:tcBorders>
                    <w:tl2br w:val="nil"/>
                    <w:tr2bl w:val="nil"/>
                  </w:tcBorders>
                  <w:vAlign w:val="center"/>
                </w:tcPr>
                <w:p w14:paraId="38EB66B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昼、</w:t>
                  </w:r>
                </w:p>
                <w:p w14:paraId="1BF4D15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夜间</w:t>
                  </w:r>
                </w:p>
              </w:tc>
              <w:tc>
                <w:tcPr>
                  <w:tcW w:w="364" w:type="pct"/>
                  <w:tcBorders>
                    <w:tl2br w:val="nil"/>
                    <w:tr2bl w:val="nil"/>
                  </w:tcBorders>
                  <w:vAlign w:val="center"/>
                </w:tcPr>
                <w:p w14:paraId="66BA2E5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188BCDB5">
                  <w:pPr>
                    <w:bidi w:val="0"/>
                    <w:jc w:val="center"/>
                    <w:rPr>
                      <w:rFonts w:hint="default"/>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72C5CCC3">
                  <w:pPr>
                    <w:bidi w:val="0"/>
                    <w:jc w:val="center"/>
                    <w:rPr>
                      <w:rFonts w:hint="default"/>
                      <w:color w:val="auto"/>
                      <w:lang w:val="en-US" w:eastAsia="zh-CN"/>
                    </w:rPr>
                  </w:pPr>
                  <w:r>
                    <w:rPr>
                      <w:rFonts w:hint="eastAsia"/>
                      <w:color w:val="auto"/>
                      <w:lang w:val="en-US" w:eastAsia="zh-CN"/>
                    </w:rPr>
                    <w:t>43.0</w:t>
                  </w:r>
                </w:p>
              </w:tc>
              <w:tc>
                <w:tcPr>
                  <w:tcW w:w="209" w:type="pct"/>
                  <w:tcBorders>
                    <w:tl2br w:val="nil"/>
                    <w:tr2bl w:val="nil"/>
                  </w:tcBorders>
                  <w:shd w:val="clear" w:color="auto" w:fill="auto"/>
                  <w:vAlign w:val="bottom"/>
                </w:tcPr>
                <w:p w14:paraId="0EBF0530">
                  <w:pPr>
                    <w:bidi w:val="0"/>
                    <w:jc w:val="center"/>
                    <w:rPr>
                      <w:rFonts w:hint="default"/>
                      <w:color w:val="auto"/>
                      <w:lang w:val="en-US" w:eastAsia="zh-CN"/>
                    </w:rPr>
                  </w:pPr>
                  <w:r>
                    <w:rPr>
                      <w:rFonts w:hint="eastAsia"/>
                      <w:color w:val="auto"/>
                      <w:lang w:val="en-US" w:eastAsia="zh-CN"/>
                    </w:rPr>
                    <w:t>49.0</w:t>
                  </w:r>
                </w:p>
              </w:tc>
              <w:tc>
                <w:tcPr>
                  <w:tcW w:w="212" w:type="pct"/>
                  <w:tcBorders>
                    <w:tl2br w:val="nil"/>
                    <w:tr2bl w:val="nil"/>
                  </w:tcBorders>
                  <w:shd w:val="clear" w:color="auto" w:fill="auto"/>
                  <w:vAlign w:val="bottom"/>
                </w:tcPr>
                <w:p w14:paraId="22F0391A">
                  <w:pPr>
                    <w:bidi w:val="0"/>
                    <w:jc w:val="center"/>
                    <w:rPr>
                      <w:rFonts w:hint="default"/>
                      <w:color w:val="auto"/>
                      <w:lang w:val="en-US" w:eastAsia="zh-CN"/>
                    </w:rPr>
                  </w:pPr>
                  <w:r>
                    <w:rPr>
                      <w:rFonts w:hint="eastAsia"/>
                      <w:color w:val="auto"/>
                      <w:lang w:val="en-US" w:eastAsia="zh-CN"/>
                    </w:rPr>
                    <w:t>29.9</w:t>
                  </w:r>
                </w:p>
              </w:tc>
              <w:tc>
                <w:tcPr>
                  <w:tcW w:w="327" w:type="pct"/>
                  <w:tcBorders>
                    <w:tl2br w:val="nil"/>
                    <w:tr2bl w:val="nil"/>
                  </w:tcBorders>
                  <w:vAlign w:val="center"/>
                </w:tcPr>
                <w:p w14:paraId="24293C0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62DD4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60DDEB5F">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43" w:type="pct"/>
                  <w:tcBorders>
                    <w:tl2br w:val="nil"/>
                    <w:tr2bl w:val="nil"/>
                  </w:tcBorders>
                  <w:vAlign w:val="center"/>
                </w:tcPr>
                <w:p w14:paraId="5B02EE6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猫住院室</w:t>
                  </w:r>
                </w:p>
              </w:tc>
              <w:tc>
                <w:tcPr>
                  <w:tcW w:w="160" w:type="pct"/>
                  <w:vMerge w:val="continue"/>
                  <w:tcBorders>
                    <w:tl2br w:val="nil"/>
                    <w:tr2bl w:val="nil"/>
                  </w:tcBorders>
                  <w:shd w:val="clear" w:color="auto" w:fill="auto"/>
                  <w:vAlign w:val="center"/>
                </w:tcPr>
                <w:p w14:paraId="025ED5D0">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p>
              </w:tc>
              <w:tc>
                <w:tcPr>
                  <w:tcW w:w="315" w:type="pct"/>
                  <w:tcBorders>
                    <w:tl2br w:val="nil"/>
                    <w:tr2bl w:val="nil"/>
                  </w:tcBorders>
                  <w:vAlign w:val="center"/>
                </w:tcPr>
                <w:p w14:paraId="4D96739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continue"/>
                  <w:tcBorders>
                    <w:tl2br w:val="nil"/>
                    <w:tr2bl w:val="nil"/>
                  </w:tcBorders>
                  <w:vAlign w:val="center"/>
                </w:tcPr>
                <w:p w14:paraId="07046693">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tcBorders>
                    <w:tl2br w:val="nil"/>
                    <w:tr2bl w:val="nil"/>
                  </w:tcBorders>
                  <w:vAlign w:val="center"/>
                </w:tcPr>
                <w:p w14:paraId="53D9FF1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32" w:type="pct"/>
                  <w:tcBorders>
                    <w:tl2br w:val="nil"/>
                    <w:tr2bl w:val="nil"/>
                  </w:tcBorders>
                  <w:vAlign w:val="center"/>
                </w:tcPr>
                <w:p w14:paraId="26ED844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32" w:type="pct"/>
                  <w:tcBorders>
                    <w:tl2br w:val="nil"/>
                    <w:tr2bl w:val="nil"/>
                  </w:tcBorders>
                  <w:vAlign w:val="center"/>
                </w:tcPr>
                <w:p w14:paraId="3B64FBE0">
                  <w:pPr>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215FEA8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030161E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1E8FB2F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w:t>
                  </w:r>
                </w:p>
              </w:tc>
              <w:tc>
                <w:tcPr>
                  <w:tcW w:w="209" w:type="pct"/>
                  <w:tcBorders>
                    <w:tl2br w:val="nil"/>
                    <w:tr2bl w:val="nil"/>
                  </w:tcBorders>
                  <w:vAlign w:val="center"/>
                </w:tcPr>
                <w:p w14:paraId="7A96A5C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w:t>
                  </w:r>
                </w:p>
              </w:tc>
              <w:tc>
                <w:tcPr>
                  <w:tcW w:w="209" w:type="pct"/>
                  <w:tcBorders>
                    <w:tl2br w:val="nil"/>
                    <w:tr2bl w:val="nil"/>
                  </w:tcBorders>
                  <w:shd w:val="clear" w:color="auto" w:fill="auto"/>
                  <w:vAlign w:val="bottom"/>
                </w:tcPr>
                <w:p w14:paraId="04105B0A">
                  <w:pPr>
                    <w:bidi w:val="0"/>
                    <w:rPr>
                      <w:rFonts w:hint="default"/>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01AA35A4">
                  <w:pPr>
                    <w:bidi w:val="0"/>
                    <w:rPr>
                      <w:rFonts w:hint="default"/>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7E83ECB1">
                  <w:pPr>
                    <w:bidi w:val="0"/>
                    <w:rPr>
                      <w:rFonts w:hint="default"/>
                      <w:color w:val="auto"/>
                      <w:lang w:val="en-US" w:eastAsia="zh-CN"/>
                    </w:rPr>
                  </w:pPr>
                  <w:r>
                    <w:rPr>
                      <w:rFonts w:hint="eastAsia"/>
                      <w:color w:val="auto"/>
                      <w:lang w:val="en-US" w:eastAsia="zh-CN"/>
                    </w:rPr>
                    <w:t xml:space="preserve">54.4 </w:t>
                  </w:r>
                </w:p>
              </w:tc>
              <w:tc>
                <w:tcPr>
                  <w:tcW w:w="209" w:type="pct"/>
                  <w:tcBorders>
                    <w:tl2br w:val="nil"/>
                    <w:tr2bl w:val="nil"/>
                  </w:tcBorders>
                  <w:shd w:val="clear" w:color="auto" w:fill="auto"/>
                  <w:vAlign w:val="bottom"/>
                </w:tcPr>
                <w:p w14:paraId="2D6F68BC">
                  <w:pPr>
                    <w:bidi w:val="0"/>
                    <w:rPr>
                      <w:rFonts w:hint="default"/>
                      <w:color w:val="auto"/>
                      <w:lang w:val="en-US" w:eastAsia="zh-CN"/>
                    </w:rPr>
                  </w:pPr>
                  <w:r>
                    <w:rPr>
                      <w:rFonts w:hint="eastAsia"/>
                      <w:color w:val="auto"/>
                      <w:lang w:val="en-US" w:eastAsia="zh-CN"/>
                    </w:rPr>
                    <w:t xml:space="preserve">53.1 </w:t>
                  </w:r>
                </w:p>
              </w:tc>
              <w:tc>
                <w:tcPr>
                  <w:tcW w:w="237" w:type="pct"/>
                  <w:vMerge w:val="continue"/>
                  <w:tcBorders>
                    <w:tl2br w:val="nil"/>
                    <w:tr2bl w:val="nil"/>
                  </w:tcBorders>
                  <w:vAlign w:val="center"/>
                </w:tcPr>
                <w:p w14:paraId="7453FB6B">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p>
              </w:tc>
              <w:tc>
                <w:tcPr>
                  <w:tcW w:w="364" w:type="pct"/>
                  <w:tcBorders>
                    <w:tl2br w:val="nil"/>
                    <w:tr2bl w:val="nil"/>
                  </w:tcBorders>
                  <w:vAlign w:val="center"/>
                </w:tcPr>
                <w:p w14:paraId="28FEE63A">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5847FA58">
                  <w:pPr>
                    <w:bidi w:val="0"/>
                    <w:jc w:val="center"/>
                    <w:rPr>
                      <w:rFonts w:hint="default"/>
                      <w:color w:val="auto"/>
                      <w:lang w:val="en-US" w:eastAsia="zh-CN"/>
                    </w:rPr>
                  </w:pPr>
                  <w:r>
                    <w:rPr>
                      <w:rFonts w:hint="eastAsia"/>
                      <w:color w:val="auto"/>
                      <w:lang w:val="en-US" w:eastAsia="zh-CN"/>
                    </w:rPr>
                    <w:t>49.0</w:t>
                  </w:r>
                </w:p>
              </w:tc>
              <w:tc>
                <w:tcPr>
                  <w:tcW w:w="209" w:type="pct"/>
                  <w:tcBorders>
                    <w:tl2br w:val="nil"/>
                    <w:tr2bl w:val="nil"/>
                  </w:tcBorders>
                  <w:shd w:val="clear" w:color="auto" w:fill="auto"/>
                  <w:vAlign w:val="bottom"/>
                </w:tcPr>
                <w:p w14:paraId="72015163">
                  <w:pPr>
                    <w:bidi w:val="0"/>
                    <w:jc w:val="center"/>
                    <w:rPr>
                      <w:rFonts w:hint="default"/>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603349D7">
                  <w:pPr>
                    <w:bidi w:val="0"/>
                    <w:jc w:val="center"/>
                    <w:rPr>
                      <w:rFonts w:hint="default"/>
                      <w:color w:val="auto"/>
                      <w:lang w:val="en-US" w:eastAsia="zh-CN"/>
                    </w:rPr>
                  </w:pPr>
                  <w:r>
                    <w:rPr>
                      <w:rFonts w:hint="eastAsia"/>
                      <w:color w:val="auto"/>
                      <w:lang w:val="en-US" w:eastAsia="zh-CN"/>
                    </w:rPr>
                    <w:t>33.4</w:t>
                  </w:r>
                </w:p>
              </w:tc>
              <w:tc>
                <w:tcPr>
                  <w:tcW w:w="212" w:type="pct"/>
                  <w:tcBorders>
                    <w:tl2br w:val="nil"/>
                    <w:tr2bl w:val="nil"/>
                  </w:tcBorders>
                  <w:shd w:val="clear" w:color="auto" w:fill="auto"/>
                  <w:vAlign w:val="bottom"/>
                </w:tcPr>
                <w:p w14:paraId="7D735946">
                  <w:pPr>
                    <w:bidi w:val="0"/>
                    <w:jc w:val="center"/>
                    <w:rPr>
                      <w:rFonts w:hint="default"/>
                      <w:color w:val="auto"/>
                      <w:lang w:val="en-US" w:eastAsia="zh-CN"/>
                    </w:rPr>
                  </w:pPr>
                  <w:r>
                    <w:rPr>
                      <w:rFonts w:hint="eastAsia"/>
                      <w:color w:val="auto"/>
                      <w:lang w:val="en-US" w:eastAsia="zh-CN"/>
                    </w:rPr>
                    <w:t>32.1</w:t>
                  </w:r>
                </w:p>
              </w:tc>
              <w:tc>
                <w:tcPr>
                  <w:tcW w:w="327" w:type="pct"/>
                  <w:tcBorders>
                    <w:tl2br w:val="nil"/>
                    <w:tr2bl w:val="nil"/>
                  </w:tcBorders>
                  <w:vAlign w:val="center"/>
                </w:tcPr>
                <w:p w14:paraId="3A6ADA4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76ACF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 w:type="pct"/>
                  <w:tcBorders>
                    <w:tl2br w:val="nil"/>
                    <w:tr2bl w:val="nil"/>
                  </w:tcBorders>
                  <w:vAlign w:val="center"/>
                </w:tcPr>
                <w:p w14:paraId="14965422">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43" w:type="pct"/>
                  <w:tcBorders>
                    <w:tl2br w:val="nil"/>
                    <w:tr2bl w:val="nil"/>
                  </w:tcBorders>
                  <w:vAlign w:val="center"/>
                </w:tcPr>
                <w:p w14:paraId="2F50DCE0">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寄养室</w:t>
                  </w:r>
                </w:p>
              </w:tc>
              <w:tc>
                <w:tcPr>
                  <w:tcW w:w="160" w:type="pct"/>
                  <w:vMerge w:val="continue"/>
                  <w:tcBorders>
                    <w:tl2br w:val="nil"/>
                    <w:tr2bl w:val="nil"/>
                  </w:tcBorders>
                  <w:shd w:val="clear" w:color="auto" w:fill="auto"/>
                  <w:vAlign w:val="center"/>
                </w:tcPr>
                <w:p w14:paraId="7283F387">
                  <w:pPr>
                    <w:pStyle w:val="51"/>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auto"/>
                      <w:sz w:val="21"/>
                      <w:szCs w:val="21"/>
                      <w:highlight w:val="none"/>
                      <w:lang w:val="en-US" w:eastAsia="zh-CN"/>
                    </w:rPr>
                  </w:pPr>
                </w:p>
              </w:tc>
              <w:tc>
                <w:tcPr>
                  <w:tcW w:w="315" w:type="pct"/>
                  <w:tcBorders>
                    <w:tl2br w:val="nil"/>
                    <w:tr2bl w:val="nil"/>
                  </w:tcBorders>
                  <w:vAlign w:val="center"/>
                </w:tcPr>
                <w:p w14:paraId="37B980DE">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70</w:t>
                  </w:r>
                  <w:r>
                    <w:rPr>
                      <w:rFonts w:hint="eastAsia" w:eastAsia="宋体"/>
                      <w:color w:val="auto"/>
                      <w:highlight w:val="none"/>
                      <w:lang w:val="en-US" w:eastAsia="zh-CN"/>
                    </w:rPr>
                    <w:t>/1</w:t>
                  </w:r>
                </w:p>
              </w:tc>
              <w:tc>
                <w:tcPr>
                  <w:tcW w:w="344" w:type="pct"/>
                  <w:vMerge w:val="continue"/>
                  <w:tcBorders>
                    <w:tl2br w:val="nil"/>
                    <w:tr2bl w:val="nil"/>
                  </w:tcBorders>
                  <w:vAlign w:val="center"/>
                </w:tcPr>
                <w:p w14:paraId="1EA9218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91" w:type="pct"/>
                  <w:tcBorders>
                    <w:tl2br w:val="nil"/>
                    <w:tr2bl w:val="nil"/>
                  </w:tcBorders>
                  <w:vAlign w:val="center"/>
                </w:tcPr>
                <w:p w14:paraId="610374E7">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w:t>
                  </w:r>
                </w:p>
              </w:tc>
              <w:tc>
                <w:tcPr>
                  <w:tcW w:w="132" w:type="pct"/>
                  <w:tcBorders>
                    <w:tl2br w:val="nil"/>
                    <w:tr2bl w:val="nil"/>
                  </w:tcBorders>
                  <w:vAlign w:val="center"/>
                </w:tcPr>
                <w:p w14:paraId="01AA1F18">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w:t>
                  </w:r>
                </w:p>
              </w:tc>
              <w:tc>
                <w:tcPr>
                  <w:tcW w:w="132" w:type="pct"/>
                  <w:tcBorders>
                    <w:tl2br w:val="nil"/>
                    <w:tr2bl w:val="nil"/>
                  </w:tcBorders>
                  <w:vAlign w:val="center"/>
                </w:tcPr>
                <w:p w14:paraId="20A78919">
                  <w:pPr>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209" w:type="pct"/>
                  <w:tcBorders>
                    <w:tl2br w:val="nil"/>
                    <w:tr2bl w:val="nil"/>
                  </w:tcBorders>
                  <w:vAlign w:val="center"/>
                </w:tcPr>
                <w:p w14:paraId="111C8E31">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w:t>
                  </w:r>
                </w:p>
              </w:tc>
              <w:tc>
                <w:tcPr>
                  <w:tcW w:w="209" w:type="pct"/>
                  <w:tcBorders>
                    <w:tl2br w:val="nil"/>
                    <w:tr2bl w:val="nil"/>
                  </w:tcBorders>
                  <w:vAlign w:val="center"/>
                </w:tcPr>
                <w:p w14:paraId="375C53A6">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209" w:type="pct"/>
                  <w:tcBorders>
                    <w:tl2br w:val="nil"/>
                    <w:tr2bl w:val="nil"/>
                  </w:tcBorders>
                  <w:vAlign w:val="center"/>
                </w:tcPr>
                <w:p w14:paraId="19305E1C">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09" w:type="pct"/>
                  <w:tcBorders>
                    <w:tl2br w:val="nil"/>
                    <w:tr2bl w:val="nil"/>
                  </w:tcBorders>
                  <w:vAlign w:val="center"/>
                </w:tcPr>
                <w:p w14:paraId="4ED3692D">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w:t>
                  </w:r>
                </w:p>
              </w:tc>
              <w:tc>
                <w:tcPr>
                  <w:tcW w:w="209" w:type="pct"/>
                  <w:tcBorders>
                    <w:tl2br w:val="nil"/>
                    <w:tr2bl w:val="nil"/>
                  </w:tcBorders>
                  <w:shd w:val="clear" w:color="auto" w:fill="auto"/>
                  <w:vAlign w:val="bottom"/>
                </w:tcPr>
                <w:p w14:paraId="017B8884">
                  <w:pPr>
                    <w:bidi w:val="0"/>
                    <w:rPr>
                      <w:rFonts w:hint="eastAsia"/>
                      <w:color w:val="auto"/>
                      <w:lang w:val="en-US" w:eastAsia="zh-CN"/>
                    </w:rPr>
                  </w:pPr>
                  <w:r>
                    <w:rPr>
                      <w:rFonts w:hint="eastAsia"/>
                      <w:color w:val="auto"/>
                      <w:lang w:val="en-US" w:eastAsia="zh-CN"/>
                    </w:rPr>
                    <w:t xml:space="preserve">56.0 </w:t>
                  </w:r>
                </w:p>
              </w:tc>
              <w:tc>
                <w:tcPr>
                  <w:tcW w:w="209" w:type="pct"/>
                  <w:tcBorders>
                    <w:tl2br w:val="nil"/>
                    <w:tr2bl w:val="nil"/>
                  </w:tcBorders>
                  <w:shd w:val="clear" w:color="auto" w:fill="auto"/>
                  <w:vAlign w:val="bottom"/>
                </w:tcPr>
                <w:p w14:paraId="499E6C8D">
                  <w:pPr>
                    <w:bidi w:val="0"/>
                    <w:rPr>
                      <w:rFonts w:hint="eastAsia"/>
                      <w:color w:val="auto"/>
                      <w:lang w:val="en-US" w:eastAsia="zh-CN"/>
                    </w:rPr>
                  </w:pPr>
                  <w:r>
                    <w:rPr>
                      <w:rFonts w:hint="eastAsia"/>
                      <w:color w:val="auto"/>
                      <w:lang w:val="en-US" w:eastAsia="zh-CN"/>
                    </w:rPr>
                    <w:t xml:space="preserve">58.0 </w:t>
                  </w:r>
                </w:p>
              </w:tc>
              <w:tc>
                <w:tcPr>
                  <w:tcW w:w="209" w:type="pct"/>
                  <w:tcBorders>
                    <w:tl2br w:val="nil"/>
                    <w:tr2bl w:val="nil"/>
                  </w:tcBorders>
                  <w:shd w:val="clear" w:color="auto" w:fill="auto"/>
                  <w:vAlign w:val="bottom"/>
                </w:tcPr>
                <w:p w14:paraId="2128CA66">
                  <w:pPr>
                    <w:bidi w:val="0"/>
                    <w:rPr>
                      <w:rFonts w:hint="eastAsia"/>
                      <w:color w:val="auto"/>
                      <w:lang w:val="en-US" w:eastAsia="zh-CN"/>
                    </w:rPr>
                  </w:pPr>
                  <w:r>
                    <w:rPr>
                      <w:rFonts w:hint="eastAsia"/>
                      <w:color w:val="auto"/>
                      <w:lang w:val="en-US" w:eastAsia="zh-CN"/>
                    </w:rPr>
                    <w:t xml:space="preserve">70.0 </w:t>
                  </w:r>
                </w:p>
              </w:tc>
              <w:tc>
                <w:tcPr>
                  <w:tcW w:w="209" w:type="pct"/>
                  <w:tcBorders>
                    <w:tl2br w:val="nil"/>
                    <w:tr2bl w:val="nil"/>
                  </w:tcBorders>
                  <w:shd w:val="clear" w:color="auto" w:fill="auto"/>
                  <w:vAlign w:val="bottom"/>
                </w:tcPr>
                <w:p w14:paraId="04B37450">
                  <w:pPr>
                    <w:bidi w:val="0"/>
                    <w:rPr>
                      <w:rFonts w:hint="eastAsia"/>
                      <w:color w:val="auto"/>
                      <w:lang w:val="en-US" w:eastAsia="zh-CN"/>
                    </w:rPr>
                  </w:pPr>
                  <w:r>
                    <w:rPr>
                      <w:rFonts w:hint="eastAsia"/>
                      <w:color w:val="auto"/>
                      <w:lang w:val="en-US" w:eastAsia="zh-CN"/>
                    </w:rPr>
                    <w:t xml:space="preserve">53.1 </w:t>
                  </w:r>
                </w:p>
              </w:tc>
              <w:tc>
                <w:tcPr>
                  <w:tcW w:w="237" w:type="pct"/>
                  <w:vMerge w:val="continue"/>
                  <w:tcBorders>
                    <w:tl2br w:val="nil"/>
                    <w:tr2bl w:val="nil"/>
                  </w:tcBorders>
                  <w:vAlign w:val="center"/>
                </w:tcPr>
                <w:p w14:paraId="02D5AD49">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p>
              </w:tc>
              <w:tc>
                <w:tcPr>
                  <w:tcW w:w="364" w:type="pct"/>
                  <w:tcBorders>
                    <w:tl2br w:val="nil"/>
                    <w:tr2bl w:val="nil"/>
                  </w:tcBorders>
                  <w:vAlign w:val="center"/>
                </w:tcPr>
                <w:p w14:paraId="6BD0BB3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15</w:t>
                  </w:r>
                </w:p>
              </w:tc>
              <w:tc>
                <w:tcPr>
                  <w:tcW w:w="209" w:type="pct"/>
                  <w:tcBorders>
                    <w:tl2br w:val="nil"/>
                    <w:tr2bl w:val="nil"/>
                  </w:tcBorders>
                  <w:shd w:val="clear" w:color="auto" w:fill="auto"/>
                  <w:vAlign w:val="bottom"/>
                </w:tcPr>
                <w:p w14:paraId="339781B4">
                  <w:pPr>
                    <w:bidi w:val="0"/>
                    <w:jc w:val="center"/>
                    <w:rPr>
                      <w:rFonts w:hint="eastAsia"/>
                      <w:color w:val="auto"/>
                      <w:lang w:val="en-US" w:eastAsia="zh-CN"/>
                    </w:rPr>
                  </w:pPr>
                  <w:r>
                    <w:rPr>
                      <w:rFonts w:hint="eastAsia"/>
                      <w:color w:val="auto"/>
                      <w:lang w:val="en-US" w:eastAsia="zh-CN"/>
                    </w:rPr>
                    <w:t>35.0</w:t>
                  </w:r>
                </w:p>
              </w:tc>
              <w:tc>
                <w:tcPr>
                  <w:tcW w:w="209" w:type="pct"/>
                  <w:tcBorders>
                    <w:tl2br w:val="nil"/>
                    <w:tr2bl w:val="nil"/>
                  </w:tcBorders>
                  <w:shd w:val="clear" w:color="auto" w:fill="auto"/>
                  <w:vAlign w:val="bottom"/>
                </w:tcPr>
                <w:p w14:paraId="561FBDF8">
                  <w:pPr>
                    <w:bidi w:val="0"/>
                    <w:jc w:val="center"/>
                    <w:rPr>
                      <w:rFonts w:hint="eastAsia"/>
                      <w:color w:val="auto"/>
                      <w:lang w:val="en-US" w:eastAsia="zh-CN"/>
                    </w:rPr>
                  </w:pPr>
                  <w:r>
                    <w:rPr>
                      <w:rFonts w:hint="eastAsia"/>
                      <w:color w:val="auto"/>
                      <w:lang w:val="en-US" w:eastAsia="zh-CN"/>
                    </w:rPr>
                    <w:t>37.0</w:t>
                  </w:r>
                </w:p>
              </w:tc>
              <w:tc>
                <w:tcPr>
                  <w:tcW w:w="209" w:type="pct"/>
                  <w:tcBorders>
                    <w:tl2br w:val="nil"/>
                    <w:tr2bl w:val="nil"/>
                  </w:tcBorders>
                  <w:shd w:val="clear" w:color="auto" w:fill="auto"/>
                  <w:vAlign w:val="bottom"/>
                </w:tcPr>
                <w:p w14:paraId="6D843F22">
                  <w:pPr>
                    <w:bidi w:val="0"/>
                    <w:jc w:val="center"/>
                    <w:rPr>
                      <w:rFonts w:hint="eastAsia"/>
                      <w:color w:val="auto"/>
                      <w:lang w:val="en-US" w:eastAsia="zh-CN"/>
                    </w:rPr>
                  </w:pPr>
                  <w:r>
                    <w:rPr>
                      <w:rFonts w:hint="eastAsia"/>
                      <w:color w:val="auto"/>
                      <w:lang w:val="en-US" w:eastAsia="zh-CN"/>
                    </w:rPr>
                    <w:t>49.0</w:t>
                  </w:r>
                </w:p>
              </w:tc>
              <w:tc>
                <w:tcPr>
                  <w:tcW w:w="212" w:type="pct"/>
                  <w:tcBorders>
                    <w:tl2br w:val="nil"/>
                    <w:tr2bl w:val="nil"/>
                  </w:tcBorders>
                  <w:shd w:val="clear" w:color="auto" w:fill="auto"/>
                  <w:vAlign w:val="bottom"/>
                </w:tcPr>
                <w:p w14:paraId="6934C3D1">
                  <w:pPr>
                    <w:bidi w:val="0"/>
                    <w:jc w:val="center"/>
                    <w:rPr>
                      <w:rFonts w:hint="eastAsia"/>
                      <w:color w:val="auto"/>
                      <w:lang w:val="en-US" w:eastAsia="zh-CN"/>
                    </w:rPr>
                  </w:pPr>
                  <w:r>
                    <w:rPr>
                      <w:rFonts w:hint="eastAsia"/>
                      <w:color w:val="auto"/>
                      <w:lang w:val="en-US" w:eastAsia="zh-CN"/>
                    </w:rPr>
                    <w:t>32.1</w:t>
                  </w:r>
                </w:p>
              </w:tc>
              <w:tc>
                <w:tcPr>
                  <w:tcW w:w="327" w:type="pct"/>
                  <w:tcBorders>
                    <w:tl2br w:val="nil"/>
                    <w:tr2bl w:val="nil"/>
                  </w:tcBorders>
                  <w:vAlign w:val="center"/>
                </w:tcPr>
                <w:p w14:paraId="69509384">
                  <w:pPr>
                    <w:pStyle w:val="54"/>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2A128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3"/>
                  <w:tcBorders>
                    <w:tl2br w:val="nil"/>
                    <w:tr2bl w:val="nil"/>
                  </w:tcBorders>
                  <w:vAlign w:val="center"/>
                </w:tcPr>
                <w:p w14:paraId="3CAEA6BF">
                  <w:pPr>
                    <w:pStyle w:val="54"/>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rPr>
                      <w:rFonts w:hint="default"/>
                      <w:color w:val="auto"/>
                      <w:highlight w:val="none"/>
                      <w:lang w:val="en-US" w:eastAsia="zh-CN"/>
                    </w:rPr>
                  </w:pPr>
                  <w:r>
                    <w:rPr>
                      <w:rFonts w:hint="default" w:ascii="Times New Roman" w:hAnsi="Times New Roman" w:cs="Times New Roman"/>
                      <w:b w:val="0"/>
                      <w:bCs/>
                      <w:color w:val="auto"/>
                      <w:kern w:val="0"/>
                      <w:sz w:val="21"/>
                      <w:szCs w:val="21"/>
                      <w:highlight w:val="none"/>
                      <w:vertAlign w:val="baseline"/>
                      <w:lang w:eastAsia="zh-CN"/>
                    </w:rPr>
                    <w:t>注：（</w:t>
                  </w:r>
                  <w:r>
                    <w:rPr>
                      <w:rFonts w:hint="default" w:ascii="Times New Roman" w:hAnsi="Times New Roman" w:cs="Times New Roman"/>
                      <w:b w:val="0"/>
                      <w:bCs/>
                      <w:color w:val="auto"/>
                      <w:kern w:val="0"/>
                      <w:sz w:val="21"/>
                      <w:szCs w:val="21"/>
                      <w:highlight w:val="none"/>
                      <w:vertAlign w:val="baseline"/>
                      <w:lang w:val="en-US" w:eastAsia="zh-CN"/>
                    </w:rPr>
                    <w:t>0，0，0</w:t>
                  </w:r>
                  <w:r>
                    <w:rPr>
                      <w:rFonts w:hint="default" w:ascii="Times New Roman" w:hAnsi="Times New Roman" w:cs="Times New Roman"/>
                      <w:b w:val="0"/>
                      <w:bCs/>
                      <w:color w:val="auto"/>
                      <w:kern w:val="0"/>
                      <w:sz w:val="21"/>
                      <w:szCs w:val="21"/>
                      <w:highlight w:val="none"/>
                      <w:vertAlign w:val="baseline"/>
                      <w:lang w:eastAsia="zh-CN"/>
                    </w:rPr>
                    <w:t>）点为项目</w:t>
                  </w:r>
                  <w:r>
                    <w:rPr>
                      <w:rFonts w:hint="eastAsia" w:cs="Times New Roman"/>
                      <w:b w:val="0"/>
                      <w:bCs/>
                      <w:color w:val="auto"/>
                      <w:kern w:val="0"/>
                      <w:sz w:val="21"/>
                      <w:szCs w:val="21"/>
                      <w:highlight w:val="none"/>
                      <w:vertAlign w:val="baseline"/>
                      <w:lang w:val="en-US" w:eastAsia="zh-CN"/>
                    </w:rPr>
                    <w:t>中心</w:t>
                  </w:r>
                  <w:r>
                    <w:rPr>
                      <w:rFonts w:hint="eastAsia" w:cs="Times New Roman"/>
                      <w:b w:val="0"/>
                      <w:bCs/>
                      <w:color w:val="auto"/>
                      <w:kern w:val="0"/>
                      <w:sz w:val="21"/>
                      <w:szCs w:val="21"/>
                      <w:highlight w:val="none"/>
                      <w:vertAlign w:val="baseline"/>
                      <w:lang w:eastAsia="zh-CN"/>
                    </w:rPr>
                    <w:t>；</w:t>
                  </w:r>
                  <w:r>
                    <w:rPr>
                      <w:rFonts w:hint="default" w:ascii="Times New Roman" w:hAnsi="Times New Roman" w:cs="Times New Roman"/>
                      <w:b w:val="0"/>
                      <w:bCs/>
                      <w:color w:val="auto"/>
                      <w:kern w:val="0"/>
                      <w:sz w:val="21"/>
                      <w:szCs w:val="21"/>
                      <w:highlight w:val="none"/>
                      <w:vertAlign w:val="baseline"/>
                      <w:lang w:eastAsia="zh-CN"/>
                    </w:rPr>
                    <w:t>东西方向为X轴，南北方向为Y轴。项目</w:t>
                  </w:r>
                  <w:r>
                    <w:rPr>
                      <w:rFonts w:hint="eastAsia" w:cs="Times New Roman"/>
                      <w:b w:val="0"/>
                      <w:bCs/>
                      <w:color w:val="auto"/>
                      <w:kern w:val="0"/>
                      <w:sz w:val="21"/>
                      <w:szCs w:val="21"/>
                      <w:highlight w:val="none"/>
                      <w:vertAlign w:val="baseline"/>
                      <w:lang w:val="en-US" w:eastAsia="zh-CN"/>
                    </w:rPr>
                    <w:t>南侧、东侧、西侧</w:t>
                  </w:r>
                  <w:r>
                    <w:rPr>
                      <w:rFonts w:hint="eastAsia" w:cs="Times New Roman"/>
                      <w:b w:val="0"/>
                      <w:bCs/>
                      <w:color w:val="auto"/>
                      <w:kern w:val="0"/>
                      <w:sz w:val="21"/>
                      <w:szCs w:val="21"/>
                      <w:highlight w:val="none"/>
                      <w:vertAlign w:val="baseline"/>
                      <w:lang w:eastAsia="zh-CN"/>
                    </w:rPr>
                    <w:t>场界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color w:val="auto"/>
                      <w:kern w:val="0"/>
                      <w:sz w:val="21"/>
                      <w:szCs w:val="21"/>
                      <w:highlight w:val="none"/>
                      <w:vertAlign w:val="baseline"/>
                      <w:lang w:eastAsia="zh-CN"/>
                    </w:rPr>
                    <w:t>，因此本评价不对项目</w:t>
                  </w:r>
                  <w:r>
                    <w:rPr>
                      <w:rFonts w:hint="eastAsia" w:cs="Times New Roman"/>
                      <w:b w:val="0"/>
                      <w:bCs/>
                      <w:color w:val="auto"/>
                      <w:kern w:val="0"/>
                      <w:sz w:val="21"/>
                      <w:szCs w:val="21"/>
                      <w:highlight w:val="none"/>
                      <w:vertAlign w:val="baseline"/>
                      <w:lang w:val="en-US" w:eastAsia="zh-CN"/>
                    </w:rPr>
                    <w:t>南侧、西</w:t>
                  </w:r>
                  <w:r>
                    <w:rPr>
                      <w:rFonts w:hint="default" w:ascii="Times New Roman" w:hAnsi="Times New Roman" w:cs="Times New Roman"/>
                      <w:b w:val="0"/>
                      <w:bCs/>
                      <w:color w:val="auto"/>
                      <w:kern w:val="0"/>
                      <w:sz w:val="21"/>
                      <w:szCs w:val="21"/>
                      <w:highlight w:val="none"/>
                      <w:vertAlign w:val="baseline"/>
                      <w:lang w:eastAsia="zh-CN"/>
                    </w:rPr>
                    <w:t>侧</w:t>
                  </w:r>
                  <w:r>
                    <w:rPr>
                      <w:rFonts w:hint="eastAsia" w:cs="Times New Roman"/>
                      <w:b w:val="0"/>
                      <w:bCs/>
                      <w:color w:val="auto"/>
                      <w:kern w:val="0"/>
                      <w:sz w:val="21"/>
                      <w:szCs w:val="21"/>
                      <w:highlight w:val="none"/>
                      <w:vertAlign w:val="baseline"/>
                      <w:lang w:eastAsia="zh-CN"/>
                    </w:rPr>
                    <w:t>、</w:t>
                  </w:r>
                  <w:r>
                    <w:rPr>
                      <w:rFonts w:hint="eastAsia" w:cs="Times New Roman"/>
                      <w:b w:val="0"/>
                      <w:bCs/>
                      <w:color w:val="auto"/>
                      <w:kern w:val="0"/>
                      <w:sz w:val="21"/>
                      <w:szCs w:val="21"/>
                      <w:highlight w:val="none"/>
                      <w:vertAlign w:val="baseline"/>
                      <w:lang w:val="en-US" w:eastAsia="zh-CN"/>
                    </w:rPr>
                    <w:t>东侧</w:t>
                  </w:r>
                  <w:r>
                    <w:rPr>
                      <w:rFonts w:hint="eastAsia" w:cs="Times New Roman"/>
                      <w:b w:val="0"/>
                      <w:bCs/>
                      <w:color w:val="auto"/>
                      <w:kern w:val="0"/>
                      <w:sz w:val="21"/>
                      <w:szCs w:val="21"/>
                      <w:highlight w:val="none"/>
                      <w:vertAlign w:val="baseline"/>
                      <w:lang w:eastAsia="zh-CN"/>
                    </w:rPr>
                    <w:t>场界</w:t>
                  </w:r>
                  <w:r>
                    <w:rPr>
                      <w:rFonts w:hint="default" w:ascii="Times New Roman" w:hAnsi="Times New Roman" w:cs="Times New Roman"/>
                      <w:b w:val="0"/>
                      <w:bCs/>
                      <w:color w:val="auto"/>
                      <w:kern w:val="0"/>
                      <w:sz w:val="21"/>
                      <w:szCs w:val="21"/>
                      <w:highlight w:val="none"/>
                      <w:vertAlign w:val="baseline"/>
                      <w:lang w:eastAsia="zh-CN"/>
                    </w:rPr>
                    <w:t>进行预测。</w:t>
                  </w:r>
                </w:p>
              </w:tc>
            </w:tr>
          </w:tbl>
          <w:p w14:paraId="3FC737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4.2.3.2 噪声预测</w:t>
            </w:r>
          </w:p>
          <w:p w14:paraId="1CDE79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预测方法和模式</w:t>
            </w:r>
            <w:r>
              <w:rPr>
                <w:rFonts w:hint="default" w:ascii="Times New Roman" w:hAnsi="Times New Roman" w:cs="Times New Roman"/>
                <w:b w:val="0"/>
                <w:bCs/>
                <w:color w:val="auto"/>
                <w:sz w:val="24"/>
                <w:szCs w:val="24"/>
                <w:highlight w:val="none"/>
                <w:lang w:val="en-US" w:eastAsia="zh-CN"/>
              </w:rPr>
              <w:t>：</w:t>
            </w:r>
          </w:p>
          <w:p w14:paraId="2D4178D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Style w:val="23"/>
                <w:rFonts w:hint="default" w:ascii="Times New Roman" w:hAnsi="Times New Roman" w:cs="Times New Roman"/>
                <w:b w:val="0"/>
                <w:color w:val="auto"/>
                <w:sz w:val="24"/>
                <w:highlight w:val="none"/>
              </w:rPr>
              <w:t>《环境影响评价技术导则—声环境》HJ2.4-2021，本项目采用预测模式如下：</w:t>
            </w:r>
          </w:p>
          <w:p w14:paraId="6EDDF367">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①</w:t>
            </w:r>
            <w:r>
              <w:rPr>
                <w:rFonts w:hint="default" w:ascii="Times New Roman" w:hAnsi="Times New Roman" w:cs="Times New Roman"/>
                <w:color w:val="auto"/>
                <w:sz w:val="24"/>
                <w:highlight w:val="none"/>
              </w:rPr>
              <w:t>室内声源</w:t>
            </w:r>
          </w:p>
          <w:p w14:paraId="4C586F2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若声源位于室内，室内声源可采用等效室外声源声功率级法进行计算。具体方法如下：</w:t>
            </w:r>
          </w:p>
          <w:p w14:paraId="47F9FFB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利用室外声源计算方法的点声源的几何发散衰减公式计算设备声源到靠近开口处（或窗户）室内某倍频带的声压级。对于工业企业稳态机械设备，当声源处于自由空间且仅考虑声源的几何发散衰减，则距离点声源r处的声压级为：</w:t>
            </w:r>
          </w:p>
          <w:p w14:paraId="37E9CC7F">
            <w:pPr>
              <w:pStyle w:val="5"/>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position w:val="-30"/>
                <w:highlight w:val="none"/>
              </w:rPr>
              <w:object>
                <v:shape id="_x0000_i1025" o:spt="75" type="#_x0000_t75" style="height:34pt;width:121pt;" o:ole="t" filled="f" o:preferrelative="t" stroked="f" coordsize="21600,21600">
                  <v:path/>
                  <v:fill on="f" focussize="0,0"/>
                  <v:stroke on="f"/>
                  <v:imagedata r:id="rId20" o:title=""/>
                  <o:lock v:ext="edit" aspectratio="t"/>
                  <w10:wrap type="none"/>
                  <w10:anchorlock/>
                </v:shape>
                <o:OLEObject Type="Embed" ProgID="Equation.KSEE3" ShapeID="_x0000_i1025" DrawAspect="Content" ObjectID="_1468075725" r:id="rId19">
                  <o:LockedField>false</o:LockedField>
                </o:OLEObject>
              </w:object>
            </w:r>
          </w:p>
          <w:p w14:paraId="00770C58">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（r）——距离声源r处的A声级，dB(A)</w:t>
            </w:r>
            <w:r>
              <w:rPr>
                <w:rFonts w:hint="eastAsia" w:cs="Times New Roman"/>
                <w:color w:val="auto"/>
                <w:sz w:val="24"/>
                <w:highlight w:val="none"/>
                <w:lang w:eastAsia="zh-CN"/>
              </w:rPr>
              <w:t>；</w:t>
            </w:r>
          </w:p>
          <w:p w14:paraId="20730406">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）——距声源r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处的A声级，dB(A)</w:t>
            </w:r>
            <w:r>
              <w:rPr>
                <w:rFonts w:hint="eastAsia" w:cs="Times New Roman"/>
                <w:color w:val="auto"/>
                <w:sz w:val="24"/>
                <w:highlight w:val="none"/>
                <w:lang w:eastAsia="zh-CN"/>
              </w:rPr>
              <w:t>；</w:t>
            </w:r>
          </w:p>
          <w:p w14:paraId="3C068F04">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o</w:t>
            </w:r>
            <w:r>
              <w:rPr>
                <w:rFonts w:hint="default" w:ascii="Times New Roman" w:hAnsi="Times New Roman" w:cs="Times New Roman"/>
                <w:color w:val="auto"/>
                <w:sz w:val="24"/>
                <w:highlight w:val="none"/>
              </w:rPr>
              <w:t>、r——距声源的距离，m</w:t>
            </w:r>
            <w:r>
              <w:rPr>
                <w:rFonts w:hint="eastAsia" w:cs="Times New Roman"/>
                <w:color w:val="auto"/>
                <w:sz w:val="24"/>
                <w:highlight w:val="none"/>
                <w:lang w:eastAsia="zh-CN"/>
              </w:rPr>
              <w:t>；</w:t>
            </w:r>
          </w:p>
          <w:p w14:paraId="0200D71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按下式计算</w:t>
            </w:r>
            <w:r>
              <w:rPr>
                <w:rFonts w:hint="eastAsia" w:cs="Times New Roman"/>
                <w:color w:val="auto"/>
                <w:sz w:val="24"/>
                <w:highlight w:val="none"/>
                <w:lang w:eastAsia="zh-CN"/>
              </w:rPr>
              <w:t>出</w:t>
            </w:r>
            <w:r>
              <w:rPr>
                <w:rFonts w:hint="default" w:ascii="Times New Roman" w:hAnsi="Times New Roman" w:cs="Times New Roman"/>
                <w:color w:val="auto"/>
                <w:sz w:val="24"/>
                <w:highlight w:val="none"/>
              </w:rPr>
              <w:t xml:space="preserve">所有室内声源在围护结构处产生的 i 倍频带叠加A声级： </w:t>
            </w:r>
          </w:p>
          <w:p w14:paraId="0E11BF00">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967230" cy="499745"/>
                  <wp:effectExtent l="0" t="0" r="13970" b="14605"/>
                  <wp:docPr id="8" name="图片 7" descr="631330799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313307991439279977312"/>
                          <pic:cNvPicPr>
                            <a:picLocks noChangeAspect="1"/>
                          </pic:cNvPicPr>
                        </pic:nvPicPr>
                        <pic:blipFill>
                          <a:blip r:embed="rId21"/>
                          <a:stretch>
                            <a:fillRect/>
                          </a:stretch>
                        </pic:blipFill>
                        <pic:spPr>
                          <a:xfrm>
                            <a:off x="0" y="0"/>
                            <a:ext cx="1967230" cy="499745"/>
                          </a:xfrm>
                          <a:prstGeom prst="rect">
                            <a:avLst/>
                          </a:prstGeom>
                          <a:noFill/>
                          <a:ln>
                            <a:noFill/>
                          </a:ln>
                        </pic:spPr>
                      </pic:pic>
                    </a:graphicData>
                  </a:graphic>
                </wp:inline>
              </w:drawing>
            </w:r>
          </w:p>
          <w:p w14:paraId="40994D8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14:paraId="16A2E5E3">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510540" cy="233680"/>
                  <wp:effectExtent l="0" t="0" r="3810" b="13970"/>
                  <wp:docPr id="9" name="图片 8" descr="992992344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929923441439279977312"/>
                          <pic:cNvPicPr>
                            <a:picLocks noChangeAspect="1"/>
                          </pic:cNvPicPr>
                        </pic:nvPicPr>
                        <pic:blipFill>
                          <a:blip r:embed="rId22"/>
                          <a:stretch>
                            <a:fillRect/>
                          </a:stretch>
                        </pic:blipFill>
                        <pic:spPr>
                          <a:xfrm>
                            <a:off x="0" y="0"/>
                            <a:ext cx="510540"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—靠近围护结构处室内N个声源i倍频带的叠加A声级，dB（A）</w:t>
            </w:r>
            <w:r>
              <w:rPr>
                <w:rFonts w:hint="eastAsia" w:cs="Times New Roman"/>
                <w:color w:val="auto"/>
                <w:sz w:val="24"/>
                <w:highlight w:val="none"/>
                <w:lang w:eastAsia="zh-CN"/>
              </w:rPr>
              <w:t>；</w:t>
            </w:r>
          </w:p>
          <w:p w14:paraId="73E84575">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276225" cy="233680"/>
                  <wp:effectExtent l="0" t="0" r="9525" b="13970"/>
                  <wp:docPr id="10" name="图片 9" descr="2165193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165193811439279977328"/>
                          <pic:cNvPicPr>
                            <a:picLocks noChangeAspect="1"/>
                          </pic:cNvPicPr>
                        </pic:nvPicPr>
                        <pic:blipFill>
                          <a:blip r:embed="rId23"/>
                          <a:stretch>
                            <a:fillRect/>
                          </a:stretch>
                        </pic:blipFill>
                        <pic:spPr>
                          <a:xfrm>
                            <a:off x="0" y="0"/>
                            <a:ext cx="276225"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—室内</w:t>
            </w:r>
            <w:r>
              <w:rPr>
                <w:rFonts w:hint="default" w:ascii="Times New Roman" w:hAnsi="Times New Roman" w:cs="Times New Roman"/>
                <w:color w:val="auto"/>
                <w:sz w:val="24"/>
                <w:highlight w:val="none"/>
              </w:rPr>
              <w:drawing>
                <wp:inline distT="0" distB="0" distL="114300" distR="114300">
                  <wp:extent cx="42545" cy="191135"/>
                  <wp:effectExtent l="0" t="0" r="14605" b="18415"/>
                  <wp:docPr id="11" name="图片 10" descr="76669819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666981991439279977328"/>
                          <pic:cNvPicPr>
                            <a:picLocks noChangeAspect="1"/>
                          </pic:cNvPicPr>
                        </pic:nvPicPr>
                        <pic:blipFill>
                          <a:blip r:embed="rId24"/>
                          <a:stretch>
                            <a:fillRect/>
                          </a:stretch>
                        </pic:blipFill>
                        <pic:spPr>
                          <a:xfrm>
                            <a:off x="0" y="0"/>
                            <a:ext cx="42545" cy="191135"/>
                          </a:xfrm>
                          <a:prstGeom prst="rect">
                            <a:avLst/>
                          </a:prstGeom>
                          <a:noFill/>
                          <a:ln>
                            <a:noFill/>
                          </a:ln>
                        </pic:spPr>
                      </pic:pic>
                    </a:graphicData>
                  </a:graphic>
                </wp:inline>
              </w:drawing>
            </w:r>
            <w:r>
              <w:rPr>
                <w:rFonts w:hint="default" w:ascii="Times New Roman" w:hAnsi="Times New Roman" w:cs="Times New Roman"/>
                <w:color w:val="auto"/>
                <w:sz w:val="24"/>
                <w:highlight w:val="none"/>
              </w:rPr>
              <w:t>声源</w:t>
            </w:r>
            <w:r>
              <w:rPr>
                <w:rFonts w:hint="default" w:ascii="Times New Roman" w:hAnsi="Times New Roman" w:cs="Times New Roman"/>
                <w:color w:val="auto"/>
                <w:sz w:val="24"/>
                <w:highlight w:val="none"/>
              </w:rPr>
              <w:drawing>
                <wp:inline distT="0" distB="0" distL="114300" distR="114300">
                  <wp:extent cx="42545" cy="191135"/>
                  <wp:effectExtent l="0" t="0" r="14605" b="18415"/>
                  <wp:docPr id="12" name="图片 11" descr="1576824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576824811439279977328"/>
                          <pic:cNvPicPr>
                            <a:picLocks noChangeAspect="1"/>
                          </pic:cNvPicPr>
                        </pic:nvPicPr>
                        <pic:blipFill>
                          <a:blip r:embed="rId25"/>
                          <a:stretch>
                            <a:fillRect/>
                          </a:stretch>
                        </pic:blipFill>
                        <pic:spPr>
                          <a:xfrm>
                            <a:off x="0" y="0"/>
                            <a:ext cx="42545" cy="191135"/>
                          </a:xfrm>
                          <a:prstGeom prst="rect">
                            <a:avLst/>
                          </a:prstGeom>
                          <a:noFill/>
                          <a:ln>
                            <a:noFill/>
                          </a:ln>
                        </pic:spPr>
                      </pic:pic>
                    </a:graphicData>
                  </a:graphic>
                </wp:inline>
              </w:drawing>
            </w:r>
            <w:r>
              <w:rPr>
                <w:rFonts w:hint="default" w:ascii="Times New Roman" w:hAnsi="Times New Roman" w:cs="Times New Roman"/>
                <w:color w:val="auto"/>
                <w:sz w:val="24"/>
                <w:highlight w:val="none"/>
              </w:rPr>
              <w:t>倍频带的A声级，dB（A）</w:t>
            </w:r>
            <w:r>
              <w:rPr>
                <w:rFonts w:hint="eastAsia" w:cs="Times New Roman"/>
                <w:color w:val="auto"/>
                <w:sz w:val="24"/>
                <w:highlight w:val="none"/>
                <w:lang w:eastAsia="zh-CN"/>
              </w:rPr>
              <w:t>；</w:t>
            </w:r>
          </w:p>
          <w:p w14:paraId="1EABAD9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N—室内声源总数。</w:t>
            </w:r>
          </w:p>
          <w:p w14:paraId="3C39D1C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在室内近似为扩散声场时，按公式计算出靠近室外围护结构处的A声级：</w:t>
            </w:r>
          </w:p>
          <w:p w14:paraId="171224F5">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797050" cy="223520"/>
                  <wp:effectExtent l="0" t="0" r="12700" b="5080"/>
                  <wp:docPr id="13" name="图片 12" descr="624506594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245065941439279977328"/>
                          <pic:cNvPicPr>
                            <a:picLocks noChangeAspect="1"/>
                          </pic:cNvPicPr>
                        </pic:nvPicPr>
                        <pic:blipFill>
                          <a:blip r:embed="rId26"/>
                          <a:stretch>
                            <a:fillRect/>
                          </a:stretch>
                        </pic:blipFill>
                        <pic:spPr>
                          <a:xfrm>
                            <a:off x="0" y="0"/>
                            <a:ext cx="1797050" cy="223520"/>
                          </a:xfrm>
                          <a:prstGeom prst="rect">
                            <a:avLst/>
                          </a:prstGeom>
                          <a:noFill/>
                          <a:ln>
                            <a:noFill/>
                          </a:ln>
                        </pic:spPr>
                      </pic:pic>
                    </a:graphicData>
                  </a:graphic>
                </wp:inline>
              </w:drawing>
            </w:r>
          </w:p>
          <w:p w14:paraId="02D64AC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14:paraId="4F831E66">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drawing>
                <wp:inline distT="0" distB="0" distL="114300" distR="114300">
                  <wp:extent cx="563245" cy="233680"/>
                  <wp:effectExtent l="0" t="0" r="8255" b="13970"/>
                  <wp:docPr id="14" name="图片 13" descr="13124188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312418891439279977328"/>
                          <pic:cNvPicPr>
                            <a:picLocks noChangeAspect="1"/>
                          </pic:cNvPicPr>
                        </pic:nvPicPr>
                        <pic:blipFill>
                          <a:blip r:embed="rId27"/>
                          <a:stretch>
                            <a:fillRect/>
                          </a:stretch>
                        </pic:blipFill>
                        <pic:spPr>
                          <a:xfrm>
                            <a:off x="0" y="0"/>
                            <a:ext cx="563245" cy="233680"/>
                          </a:xfrm>
                          <a:prstGeom prst="rect">
                            <a:avLst/>
                          </a:prstGeom>
                          <a:noFill/>
                          <a:ln>
                            <a:noFill/>
                          </a:ln>
                        </pic:spPr>
                      </pic:pic>
                    </a:graphicData>
                  </a:graphic>
                </wp:inline>
              </w:drawing>
            </w:r>
            <w:r>
              <w:rPr>
                <w:rFonts w:hint="default" w:ascii="Times New Roman" w:hAnsi="Times New Roman" w:cs="Times New Roman"/>
                <w:color w:val="auto"/>
                <w:sz w:val="24"/>
                <w:highlight w:val="none"/>
              </w:rPr>
              <w:t>靠近围护结构处室外N个声源i倍频带的叠加声压级，dB（A）</w:t>
            </w:r>
            <w:r>
              <w:rPr>
                <w:rFonts w:hint="eastAsia" w:cs="Times New Roman"/>
                <w:color w:val="auto"/>
                <w:sz w:val="24"/>
                <w:highlight w:val="none"/>
                <w:lang w:eastAsia="zh-CN"/>
              </w:rPr>
              <w:t>；</w:t>
            </w:r>
          </w:p>
          <w:p w14:paraId="2D4CB57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91135" cy="223520"/>
                  <wp:effectExtent l="0" t="0" r="18415" b="5080"/>
                  <wp:docPr id="15" name="图片 14" descr="49071726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490717261439279977328"/>
                          <pic:cNvPicPr>
                            <a:picLocks noChangeAspect="1"/>
                          </pic:cNvPicPr>
                        </pic:nvPicPr>
                        <pic:blipFill>
                          <a:blip r:embed="rId28"/>
                          <a:stretch>
                            <a:fillRect/>
                          </a:stretch>
                        </pic:blipFill>
                        <pic:spPr>
                          <a:xfrm>
                            <a:off x="0" y="0"/>
                            <a:ext cx="191135" cy="223520"/>
                          </a:xfrm>
                          <a:prstGeom prst="rect">
                            <a:avLst/>
                          </a:prstGeom>
                          <a:noFill/>
                          <a:ln>
                            <a:noFill/>
                          </a:ln>
                        </pic:spPr>
                      </pic:pic>
                    </a:graphicData>
                  </a:graphic>
                </wp:inline>
              </w:drawing>
            </w:r>
            <w:r>
              <w:rPr>
                <w:rFonts w:hint="default" w:ascii="Times New Roman" w:hAnsi="Times New Roman" w:cs="Times New Roman"/>
                <w:color w:val="auto"/>
                <w:sz w:val="24"/>
                <w:highlight w:val="none"/>
              </w:rPr>
              <w:t>—围护结构i倍频带的隔声量，dB（A）。</w:t>
            </w:r>
          </w:p>
          <w:p w14:paraId="368CFDB3">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由于噪声声源数据来自于《污染源源强核算技术指南 平板玻璃制造》HJ 980-2018附录C平板玻璃制造噪声源强及控制措施的降噪效果，附录中提供的噪声声压级数据为A声级数据，故无需再按导则公式计算倍频带声功率级，再按室外声源预测方法计算预测点的A声级。</w:t>
            </w:r>
          </w:p>
          <w:p w14:paraId="576CBBA3">
            <w:pPr>
              <w:spacing w:line="360" w:lineRule="auto"/>
              <w:ind w:firstLine="480" w:firstLineChars="200"/>
              <w:jc w:val="left"/>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②</w:t>
            </w:r>
            <w:r>
              <w:rPr>
                <w:rFonts w:hint="default" w:ascii="Times New Roman" w:hAnsi="Times New Roman" w:cs="Times New Roman"/>
                <w:color w:val="auto"/>
                <w:sz w:val="24"/>
                <w:highlight w:val="none"/>
              </w:rPr>
              <w:t>厂界预测点贡献值计算：</w:t>
            </w:r>
          </w:p>
          <w:p w14:paraId="43FA0F21">
            <w:pPr>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position w:val="-34"/>
                <w:sz w:val="24"/>
                <w:highlight w:val="none"/>
              </w:rPr>
              <w:object>
                <v:shape id="_x0000_i1026" o:spt="75" type="#_x0000_t75" style="height:43.25pt;width:205.1pt;" o:ole="t" filled="f" o:preferrelative="t" stroked="f" coordsize="21600,21600">
                  <v:path/>
                  <v:fill on="f" focussize="0,0"/>
                  <v:stroke on="f"/>
                  <v:imagedata r:id="rId30" o:title=""/>
                  <o:lock v:ext="edit" aspectratio="t"/>
                  <w10:wrap type="none"/>
                  <w10:anchorlock/>
                </v:shape>
                <o:OLEObject Type="Embed" ProgID="Equation.3" ShapeID="_x0000_i1026" DrawAspect="Content" ObjectID="_1468075726" r:id="rId29">
                  <o:LockedField>false</o:LockedField>
                </o:OLEObject>
              </w:object>
            </w:r>
          </w:p>
          <w:p w14:paraId="54FA2CCE">
            <w:pPr>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eqg</w:t>
            </w:r>
            <w:r>
              <w:rPr>
                <w:rFonts w:hint="default" w:ascii="Times New Roman" w:hAnsi="Times New Roman" w:cs="Times New Roman"/>
                <w:color w:val="auto"/>
                <w:sz w:val="24"/>
                <w:highlight w:val="none"/>
              </w:rPr>
              <w:t>——建设项目声源在预测点产生的噪声贡献值，dB（A）</w:t>
            </w:r>
            <w:r>
              <w:rPr>
                <w:rFonts w:hint="eastAsia" w:cs="Times New Roman"/>
                <w:color w:val="auto"/>
                <w:sz w:val="24"/>
                <w:highlight w:val="none"/>
                <w:lang w:eastAsia="zh-CN"/>
              </w:rPr>
              <w:t>；</w:t>
            </w:r>
          </w:p>
          <w:p w14:paraId="14502331">
            <w:pPr>
              <w:spacing w:line="360" w:lineRule="auto"/>
              <w:ind w:firstLine="1200" w:firstLineChars="500"/>
              <w:jc w:val="lef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T——用于计算等效声级的时间，s</w:t>
            </w:r>
            <w:r>
              <w:rPr>
                <w:rFonts w:hint="eastAsia" w:cs="Times New Roman"/>
                <w:color w:val="auto"/>
                <w:sz w:val="24"/>
                <w:highlight w:val="none"/>
                <w:lang w:eastAsia="zh-CN"/>
              </w:rPr>
              <w:t>；</w:t>
            </w:r>
          </w:p>
          <w:p w14:paraId="5080303C">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N——室外声源个数</w:t>
            </w:r>
            <w:r>
              <w:rPr>
                <w:rFonts w:hint="eastAsia" w:cs="Times New Roman"/>
                <w:color w:val="auto"/>
                <w:sz w:val="24"/>
                <w:highlight w:val="none"/>
                <w:lang w:eastAsia="zh-CN"/>
              </w:rPr>
              <w:t>；</w:t>
            </w:r>
          </w:p>
          <w:p w14:paraId="6DE9825B">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t</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——在T时间内i声源工作时间，s</w:t>
            </w:r>
            <w:r>
              <w:rPr>
                <w:rFonts w:hint="eastAsia" w:cs="Times New Roman"/>
                <w:color w:val="auto"/>
                <w:sz w:val="24"/>
                <w:highlight w:val="none"/>
                <w:lang w:eastAsia="zh-CN"/>
              </w:rPr>
              <w:t>；</w:t>
            </w:r>
          </w:p>
          <w:p w14:paraId="0A25F2B0">
            <w:pPr>
              <w:spacing w:line="360" w:lineRule="auto"/>
              <w:ind w:firstLine="1200" w:firstLineChars="5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M——等效室外声源个数</w:t>
            </w:r>
            <w:r>
              <w:rPr>
                <w:rFonts w:hint="eastAsia" w:cs="Times New Roman"/>
                <w:color w:val="auto"/>
                <w:sz w:val="24"/>
                <w:highlight w:val="none"/>
                <w:lang w:eastAsia="zh-CN"/>
              </w:rPr>
              <w:t>；</w:t>
            </w:r>
          </w:p>
          <w:p w14:paraId="5084D0C1">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t</w:t>
            </w:r>
            <w:r>
              <w:rPr>
                <w:rFonts w:hint="default" w:ascii="Times New Roman" w:hAnsi="Times New Roman" w:cs="Times New Roman"/>
                <w:color w:val="auto"/>
                <w:sz w:val="24"/>
                <w:highlight w:val="none"/>
                <w:vertAlign w:val="subscript"/>
              </w:rPr>
              <w:t>j</w:t>
            </w:r>
            <w:r>
              <w:rPr>
                <w:rFonts w:hint="default" w:ascii="Times New Roman" w:hAnsi="Times New Roman" w:cs="Times New Roman"/>
                <w:color w:val="auto"/>
                <w:sz w:val="24"/>
                <w:highlight w:val="none"/>
              </w:rPr>
              <w:t>——在T时间内j声源工作时间，s。</w:t>
            </w:r>
          </w:p>
          <w:p w14:paraId="30A6C0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color w:val="auto"/>
                <w:kern w:val="0"/>
                <w:sz w:val="24"/>
                <w:szCs w:val="24"/>
                <w:highlight w:val="none"/>
                <w:vertAlign w:val="baseline"/>
                <w:lang w:eastAsia="zh-CN"/>
              </w:rPr>
            </w:pPr>
            <w:r>
              <w:rPr>
                <w:rFonts w:hint="default" w:ascii="Times New Roman" w:hAnsi="Times New Roman" w:cs="Times New Roman"/>
                <w:b/>
                <w:bCs w:val="0"/>
                <w:color w:val="auto"/>
                <w:kern w:val="0"/>
                <w:sz w:val="24"/>
                <w:szCs w:val="24"/>
                <w:highlight w:val="none"/>
                <w:vertAlign w:val="baseline"/>
                <w:lang w:eastAsia="zh-CN"/>
              </w:rPr>
              <w:t>4.2.3.3噪声影响预测结果</w:t>
            </w:r>
          </w:p>
          <w:p w14:paraId="03380D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项目</w:t>
            </w:r>
            <w:r>
              <w:rPr>
                <w:rFonts w:hint="eastAsia" w:cs="Times New Roman"/>
                <w:color w:val="auto"/>
                <w:sz w:val="24"/>
                <w:highlight w:val="none"/>
                <w:lang w:val="en-US" w:eastAsia="zh-CN"/>
              </w:rPr>
              <w:t>西侧、东侧</w:t>
            </w:r>
            <w:r>
              <w:rPr>
                <w:rFonts w:hint="eastAsia" w:ascii="Times New Roman" w:hAnsi="Times New Roman" w:eastAsia="宋体" w:cs="Times New Roman"/>
                <w:color w:val="auto"/>
                <w:sz w:val="24"/>
                <w:highlight w:val="none"/>
                <w:lang w:eastAsia="zh-CN"/>
              </w:rPr>
              <w:t>场界</w:t>
            </w:r>
            <w:r>
              <w:rPr>
                <w:rFonts w:hint="default" w:ascii="Times New Roman" w:hAnsi="Times New Roman" w:eastAsia="宋体" w:cs="Times New Roman"/>
                <w:color w:val="auto"/>
                <w:sz w:val="24"/>
                <w:highlight w:val="none"/>
                <w:lang w:eastAsia="zh-CN"/>
              </w:rPr>
              <w:t>与隔壁商户共用</w:t>
            </w:r>
            <w:r>
              <w:rPr>
                <w:rFonts w:hint="eastAsia" w:ascii="Times New Roman" w:hAnsi="Times New Roman" w:eastAsia="宋体" w:cs="Times New Roman"/>
                <w:color w:val="auto"/>
                <w:sz w:val="24"/>
                <w:highlight w:val="none"/>
                <w:lang w:val="en-US" w:eastAsia="zh-CN"/>
              </w:rPr>
              <w:t>隔墙</w:t>
            </w:r>
            <w:r>
              <w:rPr>
                <w:rFonts w:hint="default" w:ascii="Times New Roman" w:hAnsi="Times New Roman" w:eastAsia="宋体" w:cs="Times New Roman"/>
                <w:color w:val="auto"/>
                <w:sz w:val="24"/>
                <w:highlight w:val="none"/>
                <w:lang w:eastAsia="zh-CN"/>
              </w:rPr>
              <w:t>，因此本评价不对项目</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lang w:eastAsia="zh-CN"/>
              </w:rPr>
              <w:t>侧</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东侧</w:t>
            </w:r>
            <w:r>
              <w:rPr>
                <w:rFonts w:hint="eastAsia" w:ascii="Times New Roman" w:hAnsi="Times New Roman" w:eastAsia="宋体" w:cs="Times New Roman"/>
                <w:color w:val="auto"/>
                <w:sz w:val="24"/>
                <w:highlight w:val="none"/>
                <w:lang w:eastAsia="zh-CN"/>
              </w:rPr>
              <w:t>场界</w:t>
            </w:r>
            <w:r>
              <w:rPr>
                <w:rFonts w:hint="default" w:ascii="Times New Roman" w:hAnsi="Times New Roman" w:eastAsia="宋体" w:cs="Times New Roman"/>
                <w:color w:val="auto"/>
                <w:sz w:val="24"/>
                <w:highlight w:val="none"/>
                <w:lang w:eastAsia="zh-CN"/>
              </w:rPr>
              <w:t>进行预测。</w:t>
            </w:r>
            <w:r>
              <w:rPr>
                <w:rFonts w:hint="default" w:ascii="Times New Roman" w:hAnsi="Times New Roman" w:cs="Times New Roman"/>
                <w:color w:val="auto"/>
                <w:sz w:val="24"/>
                <w:highlight w:val="none"/>
                <w:lang w:eastAsia="zh-CN"/>
              </w:rPr>
              <w:t>项目</w:t>
            </w:r>
            <w:r>
              <w:rPr>
                <w:rFonts w:hint="eastAsia" w:cs="Times New Roman"/>
                <w:color w:val="auto"/>
                <w:sz w:val="24"/>
                <w:highlight w:val="none"/>
                <w:lang w:eastAsia="zh-CN"/>
              </w:rPr>
              <w:t>厂界</w:t>
            </w:r>
            <w:r>
              <w:rPr>
                <w:rFonts w:hint="default" w:ascii="Times New Roman" w:hAnsi="Times New Roman" w:cs="Times New Roman"/>
                <w:color w:val="auto"/>
                <w:sz w:val="24"/>
                <w:highlight w:val="none"/>
                <w:lang w:eastAsia="zh-CN"/>
              </w:rPr>
              <w:t>噪声结果预测结果见下表。</w:t>
            </w:r>
          </w:p>
          <w:p w14:paraId="0A38B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4"/>
                <w:highlight w:val="none"/>
                <w:vertAlign w:val="baseline"/>
                <w:lang w:eastAsia="zh-CN"/>
              </w:rPr>
            </w:pPr>
            <w:r>
              <w:rPr>
                <w:rFonts w:hint="default" w:ascii="Times New Roman" w:hAnsi="Times New Roman" w:cs="Times New Roman"/>
                <w:b/>
                <w:bCs/>
                <w:color w:val="auto"/>
                <w:sz w:val="24"/>
                <w:highlight w:val="none"/>
                <w:lang w:eastAsia="zh-CN"/>
              </w:rPr>
              <w:t>表4.2-</w:t>
            </w:r>
            <w:r>
              <w:rPr>
                <w:rFonts w:hint="eastAsia" w:cs="Times New Roman"/>
                <w:b/>
                <w:bCs/>
                <w:color w:val="auto"/>
                <w:sz w:val="24"/>
                <w:highlight w:val="none"/>
                <w:lang w:val="en-US" w:eastAsia="zh-CN"/>
              </w:rPr>
              <w:t>9</w:t>
            </w:r>
            <w:r>
              <w:rPr>
                <w:rFonts w:hint="default" w:ascii="Times New Roman" w:hAnsi="Times New Roman" w:cs="Times New Roman"/>
                <w:b/>
                <w:bCs/>
                <w:color w:val="auto"/>
                <w:sz w:val="24"/>
                <w:highlight w:val="none"/>
                <w:lang w:eastAsia="zh-CN"/>
              </w:rPr>
              <w:t>项目</w:t>
            </w:r>
            <w:r>
              <w:rPr>
                <w:rFonts w:hint="eastAsia" w:cs="Times New Roman"/>
                <w:b/>
                <w:bCs/>
                <w:color w:val="auto"/>
                <w:sz w:val="24"/>
                <w:highlight w:val="none"/>
                <w:lang w:eastAsia="zh-CN"/>
              </w:rPr>
              <w:t>场界</w:t>
            </w:r>
            <w:r>
              <w:rPr>
                <w:rFonts w:hint="default" w:ascii="Times New Roman" w:hAnsi="Times New Roman" w:cs="Times New Roman"/>
                <w:b/>
                <w:bCs/>
                <w:color w:val="auto"/>
                <w:sz w:val="24"/>
                <w:highlight w:val="none"/>
                <w:lang w:eastAsia="zh-CN"/>
              </w:rPr>
              <w:t>噪声预测结果表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187"/>
              <w:gridCol w:w="1190"/>
              <w:gridCol w:w="1188"/>
              <w:gridCol w:w="1188"/>
              <w:gridCol w:w="1190"/>
              <w:gridCol w:w="1192"/>
            </w:tblGrid>
            <w:tr w14:paraId="64985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restart"/>
                  <w:tcBorders>
                    <w:tl2br w:val="nil"/>
                    <w:tr2bl w:val="nil"/>
                  </w:tcBorders>
                  <w:vAlign w:val="center"/>
                </w:tcPr>
                <w:p w14:paraId="42927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预测点位置</w:t>
                  </w:r>
                </w:p>
              </w:tc>
              <w:tc>
                <w:tcPr>
                  <w:tcW w:w="1428" w:type="pct"/>
                  <w:gridSpan w:val="2"/>
                  <w:tcBorders>
                    <w:tl2br w:val="nil"/>
                    <w:tr2bl w:val="nil"/>
                  </w:tcBorders>
                  <w:vAlign w:val="center"/>
                </w:tcPr>
                <w:p w14:paraId="43AAA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设备噪声贡献值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2142" w:type="pct"/>
                  <w:gridSpan w:val="3"/>
                  <w:tcBorders>
                    <w:tl2br w:val="nil"/>
                    <w:tr2bl w:val="nil"/>
                  </w:tcBorders>
                  <w:vAlign w:val="center"/>
                </w:tcPr>
                <w:p w14:paraId="1580F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w:t>
                  </w:r>
                  <w:r>
                    <w:rPr>
                      <w:rFonts w:hint="default" w:ascii="Times New Roman" w:hAnsi="Times New Roman" w:cs="Times New Roman"/>
                      <w:b w:val="0"/>
                      <w:bCs/>
                      <w:color w:val="auto"/>
                      <w:kern w:val="0"/>
                      <w:sz w:val="21"/>
                      <w:szCs w:val="21"/>
                      <w:highlight w:val="none"/>
                      <w:vertAlign w:val="baseline"/>
                      <w:lang w:val="en-US" w:eastAsia="zh-CN"/>
                    </w:rPr>
                    <w:t>/dB（A）</w:t>
                  </w:r>
                </w:p>
              </w:tc>
              <w:tc>
                <w:tcPr>
                  <w:tcW w:w="716" w:type="pct"/>
                  <w:vMerge w:val="restart"/>
                  <w:tcBorders>
                    <w:tl2br w:val="nil"/>
                    <w:tr2bl w:val="nil"/>
                  </w:tcBorders>
                  <w:vAlign w:val="center"/>
                </w:tcPr>
                <w:p w14:paraId="51698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达标情况</w:t>
                  </w:r>
                </w:p>
              </w:tc>
            </w:tr>
            <w:tr w14:paraId="5BC78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continue"/>
                  <w:tcBorders>
                    <w:tl2br w:val="nil"/>
                    <w:tr2bl w:val="nil"/>
                  </w:tcBorders>
                  <w:vAlign w:val="center"/>
                </w:tcPr>
                <w:p w14:paraId="76C6C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713" w:type="pct"/>
                  <w:tcBorders>
                    <w:tl2br w:val="nil"/>
                    <w:tr2bl w:val="nil"/>
                  </w:tcBorders>
                  <w:vAlign w:val="center"/>
                </w:tcPr>
                <w:p w14:paraId="023FAF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w:t>
                  </w:r>
                </w:p>
              </w:tc>
              <w:tc>
                <w:tcPr>
                  <w:tcW w:w="714" w:type="pct"/>
                  <w:tcBorders>
                    <w:tl2br w:val="nil"/>
                    <w:tr2bl w:val="nil"/>
                  </w:tcBorders>
                  <w:vAlign w:val="center"/>
                </w:tcPr>
                <w:p w14:paraId="209EEF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w:t>
                  </w:r>
                </w:p>
              </w:tc>
              <w:tc>
                <w:tcPr>
                  <w:tcW w:w="713" w:type="pct"/>
                  <w:tcBorders>
                    <w:tl2br w:val="nil"/>
                    <w:tr2bl w:val="nil"/>
                  </w:tcBorders>
                  <w:vAlign w:val="center"/>
                </w:tcPr>
                <w:p w14:paraId="3B2B5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w:t>
                  </w:r>
                </w:p>
              </w:tc>
              <w:tc>
                <w:tcPr>
                  <w:tcW w:w="713" w:type="pct"/>
                  <w:tcBorders>
                    <w:tl2br w:val="nil"/>
                    <w:tr2bl w:val="nil"/>
                  </w:tcBorders>
                  <w:shd w:val="clear" w:color="auto" w:fill="auto"/>
                  <w:vAlign w:val="center"/>
                </w:tcPr>
                <w:p w14:paraId="3F768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昼间</w:t>
                  </w:r>
                </w:p>
              </w:tc>
              <w:tc>
                <w:tcPr>
                  <w:tcW w:w="714" w:type="pct"/>
                  <w:tcBorders>
                    <w:tl2br w:val="nil"/>
                    <w:tr2bl w:val="nil"/>
                  </w:tcBorders>
                  <w:shd w:val="clear" w:color="auto" w:fill="auto"/>
                  <w:vAlign w:val="center"/>
                </w:tcPr>
                <w:p w14:paraId="35EA7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夜间</w:t>
                  </w:r>
                </w:p>
              </w:tc>
              <w:tc>
                <w:tcPr>
                  <w:tcW w:w="716" w:type="pct"/>
                  <w:vMerge w:val="continue"/>
                  <w:tcBorders>
                    <w:tl2br w:val="nil"/>
                    <w:tr2bl w:val="nil"/>
                  </w:tcBorders>
                  <w:vAlign w:val="center"/>
                </w:tcPr>
                <w:p w14:paraId="2F37B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p>
              </w:tc>
            </w:tr>
            <w:tr w14:paraId="27F13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tcBorders>
                    <w:tl2br w:val="nil"/>
                    <w:tr2bl w:val="nil"/>
                  </w:tcBorders>
                  <w:vAlign w:val="center"/>
                </w:tcPr>
                <w:p w14:paraId="26513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北场界</w:t>
                  </w:r>
                </w:p>
              </w:tc>
              <w:tc>
                <w:tcPr>
                  <w:tcW w:w="713" w:type="pct"/>
                  <w:tcBorders>
                    <w:tl2br w:val="nil"/>
                    <w:tr2bl w:val="nil"/>
                  </w:tcBorders>
                  <w:vAlign w:val="center"/>
                </w:tcPr>
                <w:p w14:paraId="649A1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36.3</w:t>
                  </w:r>
                </w:p>
              </w:tc>
              <w:tc>
                <w:tcPr>
                  <w:tcW w:w="714" w:type="pct"/>
                  <w:tcBorders>
                    <w:tl2br w:val="nil"/>
                    <w:tr2bl w:val="nil"/>
                  </w:tcBorders>
                  <w:vAlign w:val="center"/>
                </w:tcPr>
                <w:p w14:paraId="044A0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36.3</w:t>
                  </w:r>
                </w:p>
              </w:tc>
              <w:tc>
                <w:tcPr>
                  <w:tcW w:w="713" w:type="pct"/>
                  <w:tcBorders>
                    <w:tl2br w:val="nil"/>
                    <w:tr2bl w:val="nil"/>
                  </w:tcBorders>
                  <w:vAlign w:val="center"/>
                </w:tcPr>
                <w:p w14:paraId="3DFBED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4类</w:t>
                  </w:r>
                </w:p>
              </w:tc>
              <w:tc>
                <w:tcPr>
                  <w:tcW w:w="713" w:type="pct"/>
                  <w:tcBorders>
                    <w:tl2br w:val="nil"/>
                    <w:tr2bl w:val="nil"/>
                  </w:tcBorders>
                  <w:vAlign w:val="center"/>
                </w:tcPr>
                <w:p w14:paraId="6DF554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70</w:t>
                  </w:r>
                </w:p>
              </w:tc>
              <w:tc>
                <w:tcPr>
                  <w:tcW w:w="714" w:type="pct"/>
                  <w:tcBorders>
                    <w:tl2br w:val="nil"/>
                    <w:tr2bl w:val="nil"/>
                  </w:tcBorders>
                  <w:vAlign w:val="center"/>
                </w:tcPr>
                <w:p w14:paraId="68861E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w:t>
                  </w:r>
                </w:p>
              </w:tc>
              <w:tc>
                <w:tcPr>
                  <w:tcW w:w="716" w:type="pct"/>
                  <w:tcBorders>
                    <w:tl2br w:val="nil"/>
                    <w:tr2bl w:val="nil"/>
                  </w:tcBorders>
                  <w:vAlign w:val="center"/>
                </w:tcPr>
                <w:p w14:paraId="157F19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达标</w:t>
                  </w:r>
                </w:p>
              </w:tc>
            </w:tr>
            <w:tr w14:paraId="30D0D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vAlign w:val="center"/>
                </w:tcPr>
                <w:p w14:paraId="26BFFD1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注：</w:t>
                  </w:r>
                  <w:r>
                    <w:rPr>
                      <w:rFonts w:hint="eastAsia"/>
                      <w:color w:val="auto"/>
                      <w:highlight w:val="none"/>
                      <w:lang w:val="en-US" w:eastAsia="zh-CN"/>
                    </w:rPr>
                    <w:t>本项目虽夜间不营业，但有住院宠物，因此夜间噪声也进行预测</w:t>
                  </w:r>
                  <w:r>
                    <w:rPr>
                      <w:rFonts w:hint="default" w:ascii="Times New Roman" w:hAnsi="Times New Roman" w:cs="Times New Roman"/>
                      <w:color w:val="auto"/>
                      <w:sz w:val="21"/>
                      <w:szCs w:val="21"/>
                      <w:highlight w:val="none"/>
                      <w:vertAlign w:val="baseline"/>
                      <w:lang w:val="en-US" w:eastAsia="zh-CN"/>
                    </w:rPr>
                    <w:t>。</w:t>
                  </w:r>
                </w:p>
              </w:tc>
            </w:tr>
          </w:tbl>
          <w:p w14:paraId="4BA1F0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由上表可知：项目运营期间</w:t>
            </w:r>
            <w:r>
              <w:rPr>
                <w:rFonts w:hint="eastAsia" w:cs="Times New Roman"/>
                <w:color w:val="auto"/>
                <w:sz w:val="24"/>
                <w:highlight w:val="none"/>
                <w:lang w:val="en-US" w:eastAsia="zh-CN"/>
              </w:rPr>
              <w:t>北侧厂</w:t>
            </w:r>
            <w:r>
              <w:rPr>
                <w:rFonts w:hint="eastAsia" w:cs="Times New Roman"/>
                <w:color w:val="auto"/>
                <w:sz w:val="24"/>
                <w:highlight w:val="none"/>
                <w:lang w:eastAsia="zh-CN"/>
              </w:rPr>
              <w:t>界</w:t>
            </w:r>
            <w:r>
              <w:rPr>
                <w:rFonts w:hint="default" w:ascii="Times New Roman" w:hAnsi="Times New Roman" w:cs="Times New Roman"/>
                <w:color w:val="auto"/>
                <w:sz w:val="24"/>
                <w:highlight w:val="none"/>
                <w:lang w:eastAsia="zh-CN"/>
              </w:rPr>
              <w:t>能满足《工业企业厂界环境噪声排放标准》中</w:t>
            </w:r>
            <w:r>
              <w:rPr>
                <w:rFonts w:hint="eastAsia" w:cs="Times New Roman"/>
                <w:color w:val="auto"/>
                <w:sz w:val="24"/>
                <w:highlight w:val="none"/>
                <w:lang w:val="en-US" w:eastAsia="zh-CN"/>
              </w:rPr>
              <w:t>4类标准</w:t>
            </w:r>
            <w:r>
              <w:rPr>
                <w:rFonts w:hint="default" w:ascii="Times New Roman" w:hAnsi="Times New Roman" w:cs="Times New Roman"/>
                <w:color w:val="auto"/>
                <w:sz w:val="24"/>
                <w:highlight w:val="none"/>
                <w:lang w:eastAsia="zh-CN"/>
              </w:rPr>
              <w:t>。通过采取上述噪声防治措施，</w:t>
            </w:r>
            <w:r>
              <w:rPr>
                <w:rFonts w:hint="eastAsia" w:cs="Times New Roman"/>
                <w:color w:val="auto"/>
                <w:sz w:val="24"/>
                <w:highlight w:val="none"/>
                <w:lang w:eastAsia="zh-CN"/>
              </w:rPr>
              <w:t>厂界</w:t>
            </w:r>
            <w:r>
              <w:rPr>
                <w:rFonts w:hint="default" w:ascii="Times New Roman" w:hAnsi="Times New Roman" w:cs="Times New Roman"/>
                <w:color w:val="auto"/>
                <w:sz w:val="24"/>
                <w:highlight w:val="none"/>
                <w:lang w:eastAsia="zh-CN"/>
              </w:rPr>
              <w:t>噪声可实现达标排放，</w:t>
            </w:r>
            <w:r>
              <w:rPr>
                <w:rFonts w:hint="eastAsia" w:ascii="Times New Roman" w:hAnsi="Times New Roman" w:eastAsia="宋体" w:cs="Times New Roman"/>
                <w:color w:val="auto"/>
                <w:sz w:val="24"/>
                <w:highlight w:val="none"/>
                <w:lang w:eastAsia="zh-CN"/>
              </w:rPr>
              <w:t>对周围声环境质量影响较小</w:t>
            </w:r>
            <w:r>
              <w:rPr>
                <w:rFonts w:hint="default" w:ascii="Times New Roman" w:hAnsi="Times New Roman" w:eastAsia="宋体" w:cs="Times New Roman"/>
                <w:color w:val="auto"/>
                <w:sz w:val="24"/>
                <w:highlight w:val="none"/>
                <w:lang w:eastAsia="zh-CN"/>
              </w:rPr>
              <w:t>。</w:t>
            </w:r>
          </w:p>
          <w:p w14:paraId="43B6E4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lang w:val="en-US" w:eastAsia="zh-CN"/>
              </w:rPr>
              <w:t>根据</w:t>
            </w:r>
            <w:r>
              <w:rPr>
                <w:rFonts w:hint="eastAsia" w:cs="Times New Roman"/>
                <w:bCs/>
                <w:color w:val="auto"/>
                <w:sz w:val="24"/>
                <w:szCs w:val="24"/>
                <w:highlight w:val="none"/>
                <w:lang w:val="en-US" w:eastAsia="zh-CN"/>
              </w:rPr>
              <w:t>重庆国环环境监测有限公司</w:t>
            </w:r>
            <w:r>
              <w:rPr>
                <w:rFonts w:hint="default" w:ascii="Times New Roman" w:hAnsi="Times New Roman" w:cs="Times New Roman"/>
                <w:bCs/>
                <w:color w:val="auto"/>
                <w:sz w:val="24"/>
                <w:szCs w:val="24"/>
                <w:highlight w:val="none"/>
                <w:lang w:val="en-US" w:eastAsia="zh-CN"/>
              </w:rPr>
              <w:t>202</w:t>
            </w:r>
            <w:r>
              <w:rPr>
                <w:rFonts w:hint="eastAsia"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lang w:val="en-US" w:eastAsia="zh-CN"/>
              </w:rPr>
              <w:t>月</w:t>
            </w:r>
            <w:r>
              <w:rPr>
                <w:rFonts w:hint="eastAsia" w:cs="Times New Roman"/>
                <w:bCs/>
                <w:color w:val="auto"/>
                <w:sz w:val="24"/>
                <w:szCs w:val="24"/>
                <w:highlight w:val="none"/>
                <w:lang w:val="en-US" w:eastAsia="zh-CN"/>
              </w:rPr>
              <w:t>16</w:t>
            </w:r>
            <w:r>
              <w:rPr>
                <w:rFonts w:hint="default" w:ascii="Times New Roman" w:hAnsi="Times New Roman" w:cs="Times New Roman"/>
                <w:bCs/>
                <w:color w:val="auto"/>
                <w:sz w:val="24"/>
                <w:szCs w:val="24"/>
                <w:highlight w:val="none"/>
                <w:lang w:val="en-US" w:eastAsia="zh-CN"/>
              </w:rPr>
              <w:t>日的噪声监测结果，</w:t>
            </w:r>
            <w:r>
              <w:rPr>
                <w:rFonts w:hint="eastAsia" w:cs="Times New Roman"/>
                <w:b w:val="0"/>
                <w:bCs/>
                <w:color w:val="auto"/>
                <w:sz w:val="24"/>
                <w:szCs w:val="24"/>
                <w:highlight w:val="none"/>
                <w:lang w:val="en-US" w:eastAsia="zh-CN"/>
              </w:rPr>
              <w:t>项目南侧居民楼</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类标准要求</w:t>
            </w:r>
            <w:r>
              <w:rPr>
                <w:rFonts w:hint="eastAsia" w:cs="Times New Roman"/>
                <w:bCs/>
                <w:color w:val="auto"/>
                <w:sz w:val="24"/>
                <w:szCs w:val="24"/>
                <w:highlight w:val="none"/>
                <w:lang w:val="en-US" w:eastAsia="zh-CN"/>
              </w:rPr>
              <w:t>，项目西南侧学校</w:t>
            </w:r>
            <w:r>
              <w:rPr>
                <w:rFonts w:hint="default" w:ascii="Times New Roman" w:hAnsi="Times New Roman" w:eastAsia="宋体" w:cs="Times New Roman"/>
                <w:bCs/>
                <w:color w:val="auto"/>
                <w:sz w:val="24"/>
                <w:szCs w:val="24"/>
                <w:highlight w:val="none"/>
                <w:lang w:val="en-US" w:eastAsia="zh-CN"/>
              </w:rPr>
              <w:t>昼间</w:t>
            </w:r>
            <w:r>
              <w:rPr>
                <w:rFonts w:hint="eastAsia" w:ascii="Times New Roman" w:hAnsi="Times New Roman" w:eastAsia="宋体" w:cs="Times New Roman"/>
                <w:bCs/>
                <w:color w:val="auto"/>
                <w:sz w:val="24"/>
                <w:szCs w:val="24"/>
                <w:highlight w:val="none"/>
                <w:lang w:val="en-US" w:eastAsia="zh-CN"/>
              </w:rPr>
              <w:t>、夜间</w:t>
            </w:r>
            <w:r>
              <w:rPr>
                <w:rFonts w:hint="default" w:ascii="Times New Roman" w:hAnsi="Times New Roman" w:eastAsia="宋体" w:cs="Times New Roman"/>
                <w:bCs/>
                <w:color w:val="auto"/>
                <w:sz w:val="24"/>
                <w:szCs w:val="24"/>
                <w:highlight w:val="none"/>
                <w:lang w:val="en-US" w:eastAsia="zh-CN"/>
              </w:rPr>
              <w:t>噪声</w:t>
            </w:r>
            <w:r>
              <w:rPr>
                <w:rFonts w:hint="eastAsia"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en-US" w:eastAsia="zh-CN"/>
              </w:rPr>
              <w:t xml:space="preserve">满足《声环境质量标准》（GB </w:t>
            </w:r>
            <w:r>
              <w:rPr>
                <w:rFonts w:hint="default" w:ascii="Times New Roman" w:hAnsi="Times New Roman" w:cs="Times New Roman"/>
                <w:bCs/>
                <w:color w:val="auto"/>
                <w:sz w:val="24"/>
                <w:szCs w:val="24"/>
                <w:highlight w:val="none"/>
                <w:lang w:val="en-US" w:eastAsia="zh-CN"/>
              </w:rPr>
              <w:t>3096-2008）中</w:t>
            </w:r>
            <w:r>
              <w:rPr>
                <w:rFonts w:hint="eastAsia"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类标准要求。</w:t>
            </w:r>
            <w:r>
              <w:rPr>
                <w:rFonts w:hint="eastAsia" w:ascii="Times New Roman" w:hAnsi="Times New Roman" w:eastAsia="宋体" w:cs="Times New Roman"/>
                <w:color w:val="auto"/>
                <w:kern w:val="2"/>
                <w:sz w:val="24"/>
                <w:szCs w:val="24"/>
                <w:highlight w:val="none"/>
                <w:lang w:val="en-US" w:eastAsia="zh-CN" w:bidi="ar-SA"/>
              </w:rPr>
              <w:t>本项目是在现有医院的基础上</w:t>
            </w:r>
            <w:r>
              <w:rPr>
                <w:rFonts w:hint="eastAsia" w:cs="Times New Roman"/>
                <w:color w:val="auto"/>
                <w:kern w:val="2"/>
                <w:sz w:val="24"/>
                <w:szCs w:val="24"/>
                <w:highlight w:val="none"/>
                <w:lang w:val="en-US" w:eastAsia="zh-CN" w:bidi="ar-SA"/>
              </w:rPr>
              <w:t>新增的麻醉机等三腔手术设备无噪声产生</w:t>
            </w:r>
            <w:r>
              <w:rPr>
                <w:rFonts w:hint="eastAsia" w:ascii="Times New Roman" w:hAnsi="Times New Roman" w:eastAsia="宋体" w:cs="Times New Roman"/>
                <w:color w:val="auto"/>
                <w:kern w:val="2"/>
                <w:sz w:val="24"/>
                <w:szCs w:val="24"/>
                <w:highlight w:val="none"/>
                <w:lang w:val="en-US" w:eastAsia="zh-CN" w:bidi="ar-SA"/>
              </w:rPr>
              <w:t>，扩建前后</w:t>
            </w:r>
            <w:r>
              <w:rPr>
                <w:rFonts w:hint="eastAsia" w:cs="Times New Roman"/>
                <w:color w:val="auto"/>
                <w:kern w:val="2"/>
                <w:sz w:val="24"/>
                <w:szCs w:val="24"/>
                <w:highlight w:val="none"/>
                <w:lang w:val="en-US" w:eastAsia="zh-CN" w:bidi="ar-SA"/>
              </w:rPr>
              <w:t>接诊量不变，动物手术过程中无噪声产生</w:t>
            </w:r>
            <w:r>
              <w:rPr>
                <w:rFonts w:hint="eastAsia" w:ascii="Times New Roman" w:hAnsi="Times New Roman" w:eastAsia="宋体" w:cs="Times New Roman"/>
                <w:color w:val="auto"/>
                <w:kern w:val="2"/>
                <w:sz w:val="24"/>
                <w:szCs w:val="24"/>
                <w:highlight w:val="none"/>
                <w:lang w:val="en-US" w:eastAsia="zh-CN" w:bidi="ar-SA"/>
              </w:rPr>
              <w:t>，现状监测时噪声结果已包括本项目贡献值，故不必再叠加本项目贡献值预测项目50m范围内声环境保护目标的噪声。</w:t>
            </w:r>
          </w:p>
          <w:p w14:paraId="35362C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因此</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本项目运营服务期对声环境保护目标影响较小</w:t>
            </w:r>
            <w:r>
              <w:rPr>
                <w:rFonts w:hint="eastAsia" w:cs="Times New Roman"/>
                <w:color w:val="auto"/>
                <w:sz w:val="24"/>
                <w:highlight w:val="none"/>
                <w:lang w:eastAsia="zh-CN"/>
              </w:rPr>
              <w:t>。</w:t>
            </w:r>
          </w:p>
          <w:p w14:paraId="7B3160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4.2.3.4 防治措施</w:t>
            </w:r>
          </w:p>
          <w:p w14:paraId="39C0A5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为了防止动物偶发噪声对周边环境保护目标造成影响，项目针对住院房间采取具体的降噪措施如下：</w:t>
            </w:r>
          </w:p>
          <w:p w14:paraId="69CEB2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A、猫住院室、犬住院室无门窗，仅设朝医院内部的门，墙体为一般砖混结构墙体厚度约30cm，具有一定的隔声效果。</w:t>
            </w:r>
          </w:p>
          <w:p w14:paraId="6E9056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B、住院留观的宠物都必须佩戴嘴套，同时加强管理，避免其</w:t>
            </w:r>
            <w:r>
              <w:rPr>
                <w:rFonts w:hint="eastAsia" w:cs="Times New Roman"/>
                <w:b w:val="0"/>
                <w:bCs w:val="0"/>
                <w:color w:val="auto"/>
                <w:sz w:val="24"/>
                <w:highlight w:val="none"/>
                <w:lang w:eastAsia="zh-CN"/>
              </w:rPr>
              <w:t>处于</w:t>
            </w:r>
            <w:r>
              <w:rPr>
                <w:rFonts w:hint="default" w:ascii="Times New Roman" w:hAnsi="Times New Roman" w:cs="Times New Roman"/>
                <w:b w:val="0"/>
                <w:bCs w:val="0"/>
                <w:color w:val="auto"/>
                <w:sz w:val="24"/>
                <w:highlight w:val="none"/>
                <w:lang w:eastAsia="zh-CN"/>
              </w:rPr>
              <w:t>饥饿状态。项目采取以上措施后，场界噪声可满足《工业企业厂界环境噪声排放标准》（GB12348-2008）</w:t>
            </w:r>
            <w:r>
              <w:rPr>
                <w:rFonts w:hint="eastAsia" w:cs="Times New Roman"/>
                <w:b w:val="0"/>
                <w:bCs w:val="0"/>
                <w:color w:val="auto"/>
                <w:sz w:val="24"/>
                <w:highlight w:val="none"/>
                <w:lang w:val="en-US" w:eastAsia="zh-CN"/>
              </w:rPr>
              <w:t>2类标准</w:t>
            </w:r>
            <w:r>
              <w:rPr>
                <w:rFonts w:hint="default" w:ascii="Times New Roman" w:hAnsi="Times New Roman" w:cs="Times New Roman"/>
                <w:b w:val="0"/>
                <w:bCs w:val="0"/>
                <w:color w:val="auto"/>
                <w:sz w:val="24"/>
                <w:highlight w:val="none"/>
                <w:lang w:eastAsia="zh-CN"/>
              </w:rPr>
              <w:t>。</w:t>
            </w:r>
          </w:p>
          <w:p w14:paraId="72BC209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4.2.3.5 噪声监测计划</w:t>
            </w:r>
          </w:p>
          <w:p w14:paraId="33B001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根据《排污许可申请与核发技术规范 总则》（HJ942-2018）、《排污单位自行监测技术指南 总则》（HJ819-2017）等文件，项目噪声监测要求见下表。</w:t>
            </w:r>
          </w:p>
          <w:p w14:paraId="6F0D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4"/>
                <w:highlight w:val="none"/>
                <w:vertAlign w:val="baseline"/>
                <w:lang w:eastAsia="zh-CN"/>
              </w:rPr>
            </w:pPr>
            <w:r>
              <w:rPr>
                <w:rFonts w:hint="default" w:ascii="Times New Roman" w:hAnsi="Times New Roman" w:cs="Times New Roman"/>
                <w:b/>
                <w:bCs/>
                <w:color w:val="auto"/>
                <w:sz w:val="24"/>
                <w:highlight w:val="none"/>
                <w:lang w:eastAsia="zh-CN"/>
              </w:rPr>
              <w:t>表4.2-</w:t>
            </w:r>
            <w:r>
              <w:rPr>
                <w:rFonts w:hint="eastAsia" w:cs="Times New Roman"/>
                <w:b/>
                <w:bCs/>
                <w:color w:val="auto"/>
                <w:sz w:val="24"/>
                <w:highlight w:val="none"/>
                <w:lang w:val="en-US" w:eastAsia="zh-CN"/>
              </w:rPr>
              <w:t>10</w:t>
            </w:r>
            <w:r>
              <w:rPr>
                <w:rFonts w:hint="default" w:ascii="Times New Roman" w:hAnsi="Times New Roman" w:cs="Times New Roman"/>
                <w:b/>
                <w:bCs/>
                <w:color w:val="auto"/>
                <w:sz w:val="24"/>
                <w:highlight w:val="none"/>
                <w:lang w:eastAsia="zh-CN"/>
              </w:rPr>
              <w:t xml:space="preserve"> 噪声监测要求一览表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1688"/>
              <w:gridCol w:w="2081"/>
              <w:gridCol w:w="2082"/>
            </w:tblGrid>
            <w:tr w14:paraId="32C17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1FCCD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监测点位</w:t>
                  </w:r>
                </w:p>
              </w:tc>
              <w:tc>
                <w:tcPr>
                  <w:tcW w:w="1014" w:type="pct"/>
                  <w:tcBorders>
                    <w:tl2br w:val="nil"/>
                    <w:tr2bl w:val="nil"/>
                  </w:tcBorders>
                  <w:vAlign w:val="center"/>
                </w:tcPr>
                <w:p w14:paraId="1AC34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监测因子</w:t>
                  </w:r>
                </w:p>
              </w:tc>
              <w:tc>
                <w:tcPr>
                  <w:tcW w:w="1250" w:type="pct"/>
                  <w:tcBorders>
                    <w:tl2br w:val="nil"/>
                    <w:tr2bl w:val="nil"/>
                  </w:tcBorders>
                  <w:vAlign w:val="center"/>
                </w:tcPr>
                <w:p w14:paraId="201A5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监测频率</w:t>
                  </w:r>
                </w:p>
              </w:tc>
              <w:tc>
                <w:tcPr>
                  <w:tcW w:w="1250" w:type="pct"/>
                  <w:tcBorders>
                    <w:tl2br w:val="nil"/>
                    <w:tr2bl w:val="nil"/>
                  </w:tcBorders>
                  <w:vAlign w:val="center"/>
                </w:tcPr>
                <w:p w14:paraId="0C61F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执行标准</w:t>
                  </w:r>
                </w:p>
              </w:tc>
            </w:tr>
            <w:tr w14:paraId="2EE1D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5CAD7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项目</w:t>
                  </w:r>
                  <w:r>
                    <w:rPr>
                      <w:rFonts w:hint="eastAsia" w:cs="Times New Roman"/>
                      <w:b w:val="0"/>
                      <w:bCs w:val="0"/>
                      <w:color w:val="auto"/>
                      <w:sz w:val="21"/>
                      <w:szCs w:val="21"/>
                      <w:highlight w:val="none"/>
                      <w:vertAlign w:val="baseline"/>
                      <w:lang w:val="en-US" w:eastAsia="zh-CN"/>
                    </w:rPr>
                    <w:t>北厂界</w:t>
                  </w:r>
                  <w:r>
                    <w:rPr>
                      <w:rFonts w:hint="default" w:ascii="Times New Roman" w:hAnsi="Times New Roman" w:cs="Times New Roman"/>
                      <w:b w:val="0"/>
                      <w:bCs w:val="0"/>
                      <w:color w:val="auto"/>
                      <w:sz w:val="21"/>
                      <w:szCs w:val="21"/>
                      <w:highlight w:val="none"/>
                      <w:vertAlign w:val="baseline"/>
                      <w:lang w:eastAsia="zh-CN"/>
                    </w:rPr>
                    <w:t>外1m外</w:t>
                  </w:r>
                </w:p>
              </w:tc>
              <w:tc>
                <w:tcPr>
                  <w:tcW w:w="1014" w:type="pct"/>
                  <w:tcBorders>
                    <w:tl2br w:val="nil"/>
                    <w:tr2bl w:val="nil"/>
                  </w:tcBorders>
                  <w:vAlign w:val="center"/>
                </w:tcPr>
                <w:p w14:paraId="45997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昼、夜间等效声级</w:t>
                  </w:r>
                </w:p>
              </w:tc>
              <w:tc>
                <w:tcPr>
                  <w:tcW w:w="1250" w:type="pct"/>
                  <w:tcBorders>
                    <w:tl2br w:val="nil"/>
                    <w:tr2bl w:val="nil"/>
                  </w:tcBorders>
                  <w:vAlign w:val="center"/>
                </w:tcPr>
                <w:p w14:paraId="31593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验收时监测一次</w:t>
                  </w:r>
                </w:p>
              </w:tc>
              <w:tc>
                <w:tcPr>
                  <w:tcW w:w="1250" w:type="pct"/>
                  <w:tcBorders>
                    <w:tl2br w:val="nil"/>
                    <w:tr2bl w:val="nil"/>
                  </w:tcBorders>
                  <w:vAlign w:val="center"/>
                </w:tcPr>
                <w:p w14:paraId="2CD5B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《工业企业厂界环境噪声排放标准》（GB12348-2008）</w:t>
                  </w:r>
                  <w:r>
                    <w:rPr>
                      <w:rFonts w:hint="eastAsia" w:cs="Times New Roman"/>
                      <w:b w:val="0"/>
                      <w:bCs w:val="0"/>
                      <w:color w:val="auto"/>
                      <w:sz w:val="21"/>
                      <w:szCs w:val="21"/>
                      <w:highlight w:val="none"/>
                      <w:vertAlign w:val="baseline"/>
                      <w:lang w:val="en-US" w:eastAsia="zh-CN"/>
                    </w:rPr>
                    <w:t>4</w:t>
                  </w:r>
                  <w:r>
                    <w:rPr>
                      <w:rFonts w:hint="default" w:ascii="Times New Roman" w:hAnsi="Times New Roman" w:cs="Times New Roman"/>
                      <w:b w:val="0"/>
                      <w:bCs w:val="0"/>
                      <w:color w:val="auto"/>
                      <w:sz w:val="21"/>
                      <w:szCs w:val="21"/>
                      <w:highlight w:val="none"/>
                      <w:vertAlign w:val="baseline"/>
                      <w:lang w:eastAsia="zh-CN"/>
                    </w:rPr>
                    <w:t>类标准</w:t>
                  </w:r>
                </w:p>
              </w:tc>
            </w:tr>
            <w:tr w14:paraId="2331C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vAlign w:val="center"/>
                </w:tcPr>
                <w:p w14:paraId="2A1F5E1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注：</w:t>
                  </w:r>
                  <w:r>
                    <w:rPr>
                      <w:rFonts w:hint="default" w:ascii="Times New Roman" w:hAnsi="Times New Roman" w:cs="Times New Roman"/>
                      <w:b w:val="0"/>
                      <w:bCs/>
                      <w:color w:val="auto"/>
                      <w:kern w:val="0"/>
                      <w:sz w:val="21"/>
                      <w:szCs w:val="21"/>
                      <w:highlight w:val="none"/>
                      <w:vertAlign w:val="baseline"/>
                      <w:lang w:eastAsia="zh-CN"/>
                    </w:rPr>
                    <w:t>项目</w:t>
                  </w:r>
                  <w:r>
                    <w:rPr>
                      <w:rFonts w:hint="eastAsia" w:cs="Times New Roman"/>
                      <w:b w:val="0"/>
                      <w:bCs/>
                      <w:color w:val="auto"/>
                      <w:kern w:val="0"/>
                      <w:sz w:val="21"/>
                      <w:szCs w:val="21"/>
                      <w:highlight w:val="none"/>
                      <w:vertAlign w:val="baseline"/>
                      <w:lang w:val="en-US" w:eastAsia="zh-CN"/>
                    </w:rPr>
                    <w:t>南侧、东侧、西侧厂</w:t>
                  </w:r>
                  <w:r>
                    <w:rPr>
                      <w:rFonts w:hint="eastAsia" w:cs="Times New Roman"/>
                      <w:b w:val="0"/>
                      <w:bCs/>
                      <w:color w:val="auto"/>
                      <w:kern w:val="0"/>
                      <w:sz w:val="21"/>
                      <w:szCs w:val="21"/>
                      <w:highlight w:val="none"/>
                      <w:vertAlign w:val="baseline"/>
                      <w:lang w:eastAsia="zh-CN"/>
                    </w:rPr>
                    <w:t>界</w:t>
                  </w:r>
                  <w:r>
                    <w:rPr>
                      <w:rFonts w:hint="default" w:ascii="Times New Roman" w:hAnsi="Times New Roman" w:cs="Times New Roman"/>
                      <w:b w:val="0"/>
                      <w:bCs/>
                      <w:color w:val="auto"/>
                      <w:kern w:val="0"/>
                      <w:sz w:val="21"/>
                      <w:szCs w:val="21"/>
                      <w:highlight w:val="none"/>
                      <w:vertAlign w:val="baseline"/>
                      <w:lang w:eastAsia="zh-CN"/>
                    </w:rPr>
                    <w:t>与隔壁商户共用</w:t>
                  </w:r>
                  <w:r>
                    <w:rPr>
                      <w:rFonts w:hint="eastAsia" w:cs="Times New Roman"/>
                      <w:b w:val="0"/>
                      <w:bCs/>
                      <w:color w:val="auto"/>
                      <w:kern w:val="0"/>
                      <w:sz w:val="21"/>
                      <w:szCs w:val="21"/>
                      <w:highlight w:val="none"/>
                      <w:vertAlign w:val="baseline"/>
                      <w:lang w:val="en-US" w:eastAsia="zh-CN"/>
                    </w:rPr>
                    <w:t>隔墙</w:t>
                  </w:r>
                  <w:r>
                    <w:rPr>
                      <w:rFonts w:hint="default" w:ascii="Times New Roman" w:hAnsi="Times New Roman" w:cs="Times New Roman"/>
                      <w:b w:val="0"/>
                      <w:bCs w:val="0"/>
                      <w:color w:val="auto"/>
                      <w:sz w:val="21"/>
                      <w:szCs w:val="21"/>
                      <w:highlight w:val="none"/>
                      <w:vertAlign w:val="baseline"/>
                      <w:lang w:eastAsia="zh-CN"/>
                    </w:rPr>
                    <w:t>，因此不进行监测。</w:t>
                  </w:r>
                </w:p>
              </w:tc>
            </w:tr>
          </w:tbl>
          <w:p w14:paraId="06CDE9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auto"/>
                <w:sz w:val="24"/>
                <w:highlight w:val="none"/>
                <w:lang w:eastAsia="zh-CN"/>
              </w:rPr>
            </w:pPr>
            <w:r>
              <w:rPr>
                <w:rFonts w:hint="default" w:ascii="Times New Roman" w:hAnsi="Times New Roman" w:cs="Times New Roman"/>
                <w:b/>
                <w:bCs/>
                <w:color w:val="auto"/>
                <w:sz w:val="24"/>
                <w:highlight w:val="none"/>
                <w:lang w:eastAsia="zh-CN"/>
              </w:rPr>
              <w:t>4.2.4 固废</w:t>
            </w:r>
          </w:p>
          <w:p w14:paraId="31E6C94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4.2.4.1 固体废物排放信息</w:t>
            </w:r>
          </w:p>
          <w:p w14:paraId="5BE4C1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项目营运期固体废物主要包括一般固体废物（动物粪污、</w:t>
            </w:r>
            <w:r>
              <w:rPr>
                <w:rFonts w:hint="eastAsia" w:cs="Times New Roman"/>
                <w:b w:val="0"/>
                <w:bCs w:val="0"/>
                <w:color w:val="000000" w:themeColor="text1"/>
                <w:sz w:val="24"/>
                <w:highlight w:val="none"/>
                <w:lang w:val="en-US" w:eastAsia="zh-CN"/>
                <w14:textFill>
                  <w14:solidFill>
                    <w14:schemeClr w14:val="tx1"/>
                  </w14:solidFill>
                </w14:textFill>
              </w:rPr>
              <w:t>动物毛发</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）、危险废物（医疗废物、废紫外灯管）、动物尸体、生活垃圾等</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其中医疗废物主要包括感染性废物、损伤性废物、化学性废物、药物性废物、病理性药物等等。</w:t>
            </w:r>
          </w:p>
          <w:p w14:paraId="412CE3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）一般固体废物</w:t>
            </w:r>
          </w:p>
          <w:p w14:paraId="44000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①动物粪污（猫砂）：项目猫住院及诊疗期间产生的粪便与尿液均可使用猫砂盒进行收集，日常工作人员及时清理猫砂盒，清理出的猫砂采用</w:t>
            </w:r>
            <w:r>
              <w:rPr>
                <w:rFonts w:hint="eastAsia" w:cs="Times New Roman"/>
                <w:b w:val="0"/>
                <w:bCs w:val="0"/>
                <w:color w:val="auto"/>
                <w:sz w:val="24"/>
                <w:highlight w:val="none"/>
                <w:lang w:eastAsia="zh-CN"/>
              </w:rPr>
              <w:t>84消毒剂</w:t>
            </w:r>
            <w:r>
              <w:rPr>
                <w:rFonts w:hint="default" w:ascii="Times New Roman" w:hAnsi="Times New Roman" w:cs="Times New Roman"/>
                <w:b w:val="0"/>
                <w:bCs w:val="0"/>
                <w:color w:val="auto"/>
                <w:sz w:val="24"/>
                <w:highlight w:val="none"/>
                <w:lang w:eastAsia="zh-CN"/>
              </w:rPr>
              <w:t>消毒后收集起来，交市政环卫部门进行收集处置。含粪便与尿液的猫砂产生量按照0.5kg/只猫·d进行计算，项目宠物猫数量按照最大宠物笼进行核算，则每天最大就诊、住院</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寄养</w:t>
            </w:r>
            <w:r>
              <w:rPr>
                <w:rFonts w:hint="default" w:ascii="Times New Roman" w:hAnsi="Times New Roman" w:cs="Times New Roman"/>
                <w:b w:val="0"/>
                <w:bCs w:val="0"/>
                <w:color w:val="auto"/>
                <w:sz w:val="24"/>
                <w:highlight w:val="none"/>
                <w:lang w:eastAsia="zh-CN"/>
              </w:rPr>
              <w:t>宠物猫数量约</w:t>
            </w:r>
            <w:r>
              <w:rPr>
                <w:rFonts w:hint="eastAsia" w:cs="Times New Roman"/>
                <w:b w:val="0"/>
                <w:bCs w:val="0"/>
                <w:color w:val="auto"/>
                <w:sz w:val="24"/>
                <w:highlight w:val="none"/>
                <w:lang w:val="en-US" w:eastAsia="zh-CN"/>
              </w:rPr>
              <w:t>15</w:t>
            </w:r>
            <w:r>
              <w:rPr>
                <w:rFonts w:hint="default" w:ascii="Times New Roman" w:hAnsi="Times New Roman" w:cs="Times New Roman"/>
                <w:b w:val="0"/>
                <w:bCs w:val="0"/>
                <w:color w:val="auto"/>
                <w:sz w:val="24"/>
                <w:highlight w:val="none"/>
                <w:lang w:eastAsia="zh-CN"/>
              </w:rPr>
              <w:t>只，则含粪便与尿液的猫砂产生量约为</w:t>
            </w:r>
            <w:r>
              <w:rPr>
                <w:rFonts w:hint="eastAsia" w:cs="Times New Roman"/>
                <w:b w:val="0"/>
                <w:bCs w:val="0"/>
                <w:color w:val="auto"/>
                <w:sz w:val="24"/>
                <w:highlight w:val="none"/>
                <w:lang w:val="en-US" w:eastAsia="zh-CN"/>
              </w:rPr>
              <w:t>2.7375</w:t>
            </w:r>
            <w:r>
              <w:rPr>
                <w:rFonts w:hint="default" w:ascii="Times New Roman" w:hAnsi="Times New Roman" w:cs="Times New Roman"/>
                <w:b w:val="0"/>
                <w:bCs w:val="0"/>
                <w:color w:val="auto"/>
                <w:sz w:val="24"/>
                <w:highlight w:val="none"/>
                <w:lang w:eastAsia="zh-CN"/>
              </w:rPr>
              <w:t>t/a</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一般固废代码：030-001-S82</w:t>
            </w:r>
            <w:r>
              <w:rPr>
                <w:rFonts w:hint="default" w:ascii="Times New Roman" w:hAnsi="Times New Roman" w:cs="Times New Roman"/>
                <w:b w:val="0"/>
                <w:bCs w:val="0"/>
                <w:color w:val="auto"/>
                <w:sz w:val="24"/>
                <w:highlight w:val="none"/>
                <w:lang w:eastAsia="zh-CN"/>
              </w:rPr>
              <w:t>。</w:t>
            </w:r>
          </w:p>
          <w:p w14:paraId="3B15B9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②其他动物粪污：犬住院与诊疗期间排污采取干湿分离，尿液直接经收集后进入</w:t>
            </w:r>
            <w:r>
              <w:rPr>
                <w:rFonts w:hint="eastAsia" w:cs="Times New Roman"/>
                <w:b w:val="0"/>
                <w:bCs w:val="0"/>
                <w:color w:val="auto"/>
                <w:sz w:val="24"/>
                <w:highlight w:val="none"/>
                <w:lang w:eastAsia="zh-CN"/>
              </w:rPr>
              <w:t>消毒设施</w:t>
            </w:r>
            <w:r>
              <w:rPr>
                <w:rFonts w:hint="default" w:ascii="Times New Roman" w:hAnsi="Times New Roman" w:cs="Times New Roman"/>
                <w:b w:val="0"/>
                <w:bCs w:val="0"/>
                <w:color w:val="auto"/>
                <w:sz w:val="24"/>
                <w:highlight w:val="none"/>
                <w:lang w:eastAsia="zh-CN"/>
              </w:rPr>
              <w:t>进行消毒处理后排入生化池，粪污使用</w:t>
            </w:r>
            <w:r>
              <w:rPr>
                <w:rFonts w:hint="eastAsia" w:cs="Times New Roman"/>
                <w:b w:val="0"/>
                <w:bCs w:val="0"/>
                <w:color w:val="auto"/>
                <w:sz w:val="24"/>
                <w:highlight w:val="none"/>
                <w:lang w:eastAsia="zh-CN"/>
              </w:rPr>
              <w:t>84消毒剂</w:t>
            </w:r>
            <w:r>
              <w:rPr>
                <w:rFonts w:hint="default" w:ascii="Times New Roman" w:hAnsi="Times New Roman" w:cs="Times New Roman"/>
                <w:b w:val="0"/>
                <w:bCs w:val="0"/>
                <w:color w:val="auto"/>
                <w:sz w:val="24"/>
                <w:highlight w:val="none"/>
                <w:lang w:eastAsia="zh-CN"/>
              </w:rPr>
              <w:t>进行消毒处理后，打包交环卫部门处置。其他动物粪污产生量按照每天0.05kg/只宠物进行计算根据每天最大就诊</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住院</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寄养犬</w:t>
            </w:r>
            <w:r>
              <w:rPr>
                <w:rFonts w:hint="default" w:ascii="Times New Roman" w:hAnsi="Times New Roman" w:cs="Times New Roman"/>
                <w:b w:val="0"/>
                <w:bCs w:val="0"/>
                <w:color w:val="auto"/>
                <w:sz w:val="24"/>
                <w:highlight w:val="none"/>
                <w:lang w:eastAsia="zh-CN"/>
              </w:rPr>
              <w:t>宠物量按照</w:t>
            </w:r>
            <w:r>
              <w:rPr>
                <w:rFonts w:hint="eastAsia" w:cs="Times New Roman"/>
                <w:b w:val="0"/>
                <w:bCs w:val="0"/>
                <w:color w:val="auto"/>
                <w:sz w:val="24"/>
                <w:highlight w:val="none"/>
                <w:lang w:val="en-US" w:eastAsia="zh-CN"/>
              </w:rPr>
              <w:t>13</w:t>
            </w:r>
            <w:r>
              <w:rPr>
                <w:rFonts w:hint="default" w:ascii="Times New Roman" w:hAnsi="Times New Roman" w:cs="Times New Roman"/>
                <w:b w:val="0"/>
                <w:bCs w:val="0"/>
                <w:color w:val="auto"/>
                <w:sz w:val="24"/>
                <w:highlight w:val="none"/>
                <w:lang w:eastAsia="zh-CN"/>
              </w:rPr>
              <w:t>只进行考虑，粪污产生量为</w:t>
            </w:r>
            <w:r>
              <w:rPr>
                <w:rFonts w:hint="eastAsia" w:cs="Times New Roman"/>
                <w:b w:val="0"/>
                <w:bCs w:val="0"/>
                <w:color w:val="auto"/>
                <w:sz w:val="24"/>
                <w:highlight w:val="none"/>
                <w:lang w:val="en-US" w:eastAsia="zh-CN"/>
              </w:rPr>
              <w:t>0.2373</w:t>
            </w:r>
            <w:r>
              <w:rPr>
                <w:rFonts w:hint="default" w:ascii="Times New Roman" w:hAnsi="Times New Roman" w:cs="Times New Roman"/>
                <w:b w:val="0"/>
                <w:bCs w:val="0"/>
                <w:color w:val="auto"/>
                <w:sz w:val="24"/>
                <w:highlight w:val="none"/>
                <w:lang w:eastAsia="zh-CN"/>
              </w:rPr>
              <w:t>t</w:t>
            </w:r>
            <w:r>
              <w:rPr>
                <w:rFonts w:hint="default" w:ascii="Times New Roman" w:hAnsi="Times New Roman"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eastAsia="zh-CN"/>
              </w:rPr>
              <w:t>a</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一般固废代码：030-001-S82</w:t>
            </w:r>
            <w:r>
              <w:rPr>
                <w:rFonts w:hint="default" w:ascii="Times New Roman" w:hAnsi="Times New Roman" w:cs="Times New Roman"/>
                <w:b w:val="0"/>
                <w:bCs w:val="0"/>
                <w:color w:val="auto"/>
                <w:sz w:val="24"/>
                <w:highlight w:val="none"/>
                <w:lang w:eastAsia="zh-CN"/>
              </w:rPr>
              <w:t>。</w:t>
            </w:r>
          </w:p>
          <w:p w14:paraId="038405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③动物毛发</w:t>
            </w:r>
          </w:p>
          <w:p w14:paraId="676680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本项目动物毛发来源于美容洗浴环节，包含动物修剪废物，根据建设单位提 供资料及类比同类型宠物医院，动物毛发产生量按</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0.1kg/</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只</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d</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计，项目每天最大服务量约</w:t>
            </w:r>
            <w:r>
              <w:rPr>
                <w:rFonts w:hint="eastAsia" w:cs="Times New Roman"/>
                <w:b w:val="0"/>
                <w:bCs w:val="0"/>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只，则动物毛发产生量约为</w:t>
            </w:r>
            <w:r>
              <w:rPr>
                <w:rFonts w:hint="eastAsia" w:cs="Times New Roman"/>
                <w:b w:val="0"/>
                <w:bCs w:val="0"/>
                <w:color w:val="000000" w:themeColor="text1"/>
                <w:sz w:val="24"/>
                <w:highlight w:val="none"/>
                <w:lang w:val="en-US" w:eastAsia="zh-CN"/>
                <w14:textFill>
                  <w14:solidFill>
                    <w14:schemeClr w14:val="tx1"/>
                  </w14:solidFill>
                </w14:textFill>
              </w:rPr>
              <w:t>0.146</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t/a</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，交环卫部门进行处理</w:t>
            </w:r>
            <w:r>
              <w:rPr>
                <w:rFonts w:hint="eastAsia" w:cs="Times New Roman"/>
                <w:b w:val="0"/>
                <w:bCs w:val="0"/>
                <w:color w:val="000000" w:themeColor="text1"/>
                <w:sz w:val="24"/>
                <w:highlight w:val="none"/>
                <w:lang w:val="en-US" w:eastAsia="zh-CN"/>
                <w14:textFill>
                  <w14:solidFill>
                    <w14:schemeClr w14:val="tx1"/>
                  </w14:solidFill>
                </w14:textFill>
              </w:rPr>
              <w:t>。</w:t>
            </w:r>
          </w:p>
          <w:p w14:paraId="3F599D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）危险废物</w:t>
            </w:r>
          </w:p>
          <w:p w14:paraId="70B881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①废紫外线灯管</w:t>
            </w:r>
          </w:p>
          <w:p w14:paraId="129B65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项目病房等消毒采用紫外线消毒，将会产生少量废紫外线灯管，产生量约为0.0</w:t>
            </w:r>
            <w:r>
              <w:rPr>
                <w:rFonts w:hint="eastAsia"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，危废代码：HW29 900-023-29</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。废紫外灯管经收集后暂存于医废间，交有资质单位处置。</w:t>
            </w:r>
          </w:p>
          <w:p w14:paraId="73E92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医疗废物</w:t>
            </w:r>
          </w:p>
          <w:p w14:paraId="45B6D6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诊疗活动产生的医疗废物来源广泛、成分复杂。项目医疗废物主要有感染性废物、损伤性废物、病理性废物、化学性</w:t>
            </w:r>
            <w:r>
              <w:rPr>
                <w:rFonts w:hint="eastAsia" w:cs="Times New Roman"/>
                <w:b w:val="0"/>
                <w:bCs w:val="0"/>
                <w:color w:val="000000" w:themeColor="text1"/>
                <w:sz w:val="24"/>
                <w:highlight w:val="none"/>
                <w:lang w:val="en-US" w:eastAsia="zh-CN"/>
                <w14:textFill>
                  <w14:solidFill>
                    <w14:schemeClr w14:val="tx1"/>
                  </w14:solidFill>
                </w14:textFill>
              </w:rPr>
              <w:t>废物、药理性废物</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2608E5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感染性废物主要包括被患病宠物血液、体液、排泄物等污染的除</w:t>
            </w:r>
            <w:r>
              <w:rPr>
                <w:rFonts w:hint="eastAsia" w:cs="Times New Roman"/>
                <w:b w:val="0"/>
                <w:bCs w:val="0"/>
                <w:color w:val="000000" w:themeColor="text1"/>
                <w:sz w:val="24"/>
                <w:highlight w:val="none"/>
                <w:lang w:eastAsia="zh-CN"/>
                <w14:textFill>
                  <w14:solidFill>
                    <w14:schemeClr w14:val="tx1"/>
                  </w14:solidFill>
                </w14:textFill>
              </w:rPr>
              <w:t>容器</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w:t>
            </w:r>
          </w:p>
          <w:p w14:paraId="05514D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损伤性废物主要废弃的针头、缝合针、探针、穿刺针、解剖刀、手术刀等废弃的金属类锐器以及废弃的载玻片等玻璃类锐器。损伤性废物收集于符合《医疗废物包装袋、容器和警示标志标准》（HJ421-2008）的利器盒中，利器盒达到3</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4满时应当封闭严密，按流程运送、贮存。病理性废物主要是手术过程中产生的废弃动物组织和器官。病理性废物收集于符合《医疗废物包装袋、容器和警示标志标准》（HJ421-2008）医疗废物包装袋中。药物性废物主要是过期、淘汰、变质或者被污染的废弃的药物。化学性废物主要是列入《国家危险废物名录》中的废弃危险品，比如非特定行业来源产生的含汞血压计、含汞体温计等。</w:t>
            </w:r>
          </w:p>
          <w:p w14:paraId="209FE6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项目医疗废物收集后暂存于</w:t>
            </w:r>
            <w:r>
              <w:rPr>
                <w:rFonts w:hint="eastAsia" w:cs="Times New Roman"/>
                <w:b w:val="0"/>
                <w:bCs w:val="0"/>
                <w:color w:val="000000" w:themeColor="text1"/>
                <w:sz w:val="24"/>
                <w:highlight w:val="none"/>
                <w:lang w:val="en-US" w:eastAsia="zh-CN"/>
                <w14:textFill>
                  <w14:solidFill>
                    <w14:schemeClr w14:val="tx1"/>
                  </w14:solidFill>
                </w14:textFill>
              </w:rPr>
              <w:t>医废暂存点</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，定期交资质单位处置。项目医疗废物产生量按照每日最大接诊量及最大住院容纳宠物量进行核算，则按照</w:t>
            </w:r>
            <w:r>
              <w:rPr>
                <w:rFonts w:hint="eastAsia" w:cs="Times New Roman"/>
                <w:b w:val="0"/>
                <w:bCs w:val="0"/>
                <w:color w:val="000000" w:themeColor="text1"/>
                <w:sz w:val="24"/>
                <w:highlight w:val="none"/>
                <w:lang w:val="en-US" w:eastAsia="zh-CN"/>
                <w14:textFill>
                  <w14:solidFill>
                    <w14:schemeClr w14:val="tx1"/>
                  </w14:solidFill>
                </w14:textFill>
              </w:rPr>
              <w:t>24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只进行计算，产生量按每日每门诊及住院病例0.2kg/只计算，产生量约为</w:t>
            </w:r>
            <w:r>
              <w:rPr>
                <w:rFonts w:hint="eastAsia" w:cs="Times New Roman"/>
                <w:b w:val="0"/>
                <w:bCs w:val="0"/>
                <w:color w:val="000000" w:themeColor="text1"/>
                <w:sz w:val="24"/>
                <w:highlight w:val="none"/>
                <w:lang w:val="en-US" w:eastAsia="zh-CN"/>
                <w14:textFill>
                  <w14:solidFill>
                    <w14:schemeClr w14:val="tx1"/>
                  </w14:solidFill>
                </w14:textFill>
              </w:rPr>
              <w:t>1.752</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t/a。</w:t>
            </w:r>
          </w:p>
          <w:p w14:paraId="75437B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根据《国家危险废物名录》</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202</w:t>
            </w:r>
            <w:r>
              <w:rPr>
                <w:rFonts w:hint="eastAsia"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年版</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、《医疗废物分类目录》（2021年版）等相关规定，项目产生的医疗固废属于危险废物中HW01医疗废物（危险废物代码</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841-001-01、841-002-01、841-003-01、841-004-01、841-005-01）</w:t>
            </w:r>
          </w:p>
          <w:p w14:paraId="393A1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3</w:t>
            </w:r>
            <w:r>
              <w:rPr>
                <w:rFonts w:hint="default" w:ascii="Times New Roman" w:hAnsi="Times New Roman" w:cs="Times New Roman"/>
                <w:b w:val="0"/>
                <w:bCs w:val="0"/>
                <w:color w:val="auto"/>
                <w:sz w:val="24"/>
                <w:highlight w:val="none"/>
                <w:lang w:eastAsia="zh-CN"/>
              </w:rPr>
              <w:t>）动物尸体</w:t>
            </w:r>
          </w:p>
          <w:p w14:paraId="02956F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snapToGrid w:val="0"/>
                <w:color w:val="auto"/>
                <w:kern w:val="2"/>
                <w:sz w:val="21"/>
                <w:szCs w:val="21"/>
                <w:lang w:val="en-US" w:eastAsia="zh-CN" w:bidi="ar-SA"/>
              </w:rPr>
            </w:pPr>
            <w:r>
              <w:rPr>
                <w:rFonts w:hint="default" w:ascii="Times New Roman" w:hAnsi="Times New Roman" w:cs="Times New Roman"/>
                <w:b w:val="0"/>
                <w:bCs w:val="0"/>
                <w:color w:val="auto"/>
                <w:sz w:val="24"/>
                <w:highlight w:val="none"/>
                <w:lang w:eastAsia="zh-CN"/>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农医发（2017）25号）明确了病死及病害动物无害化处理的技术要求。根据《重庆市动物防疫条例》第一章第二十三条和二十五条，</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从事动物饲养、屠宰、经营、隔离、运输的单位和个人应当对病死或者死因不明的动物尸体进行无害化处理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动物尸体无害化处理责任单位和个人不具备无害化处理能力的，应当将动物尸体交送无害化处理场所处理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。项目不在医院暂存动物尸体</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按照农业部印发的《病死及病害无害化处理技术规范》的通知（农医发201725号）文件要求</w:t>
            </w:r>
            <w:r>
              <w:rPr>
                <w:rFonts w:hint="eastAsia" w:cs="Times New Roman"/>
                <w:b w:val="0"/>
                <w:bCs w:val="0"/>
                <w:color w:val="auto"/>
                <w:sz w:val="24"/>
                <w:highlight w:val="none"/>
                <w:lang w:val="en-US" w:eastAsia="zh-CN"/>
              </w:rPr>
              <w:t>，</w:t>
            </w:r>
            <w:r>
              <w:rPr>
                <w:rFonts w:hint="eastAsia" w:ascii="Times New Roman" w:hAnsi="Times New Roman" w:cs="Times New Roman"/>
                <w:b w:val="0"/>
                <w:bCs w:val="0"/>
                <w:color w:val="auto"/>
                <w:sz w:val="24"/>
                <w:highlight w:val="none"/>
                <w:lang w:val="en-US" w:eastAsia="zh-CN"/>
              </w:rPr>
              <w:t>动物尸体与动物组织一并</w:t>
            </w:r>
            <w:r>
              <w:rPr>
                <w:rFonts w:hint="default" w:ascii="Times New Roman" w:hAnsi="Times New Roman" w:cs="Times New Roman"/>
                <w:b w:val="0"/>
                <w:bCs w:val="0"/>
                <w:color w:val="auto"/>
                <w:sz w:val="24"/>
                <w:highlight w:val="none"/>
                <w:lang w:eastAsia="zh-CN"/>
              </w:rPr>
              <w:t>交由有资质的单位进行无害处理</w:t>
            </w:r>
            <w:r>
              <w:rPr>
                <w:rFonts w:hint="eastAsia" w:ascii="Times New Roman" w:hAnsi="Times New Roman" w:cs="Times New Roman"/>
                <w:b w:val="0"/>
                <w:bCs w:val="0"/>
                <w:color w:val="auto"/>
                <w:sz w:val="24"/>
                <w:highlight w:val="none"/>
                <w:lang w:val="en-US" w:eastAsia="zh-CN"/>
              </w:rPr>
              <w:t>。</w:t>
            </w:r>
          </w:p>
          <w:p w14:paraId="02883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）生活垃圾</w:t>
            </w:r>
          </w:p>
          <w:p w14:paraId="6F808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项目劳动定员</w:t>
            </w:r>
            <w:r>
              <w:rPr>
                <w:rFonts w:hint="eastAsia" w:cs="Times New Roman"/>
                <w:b w:val="0"/>
                <w:bCs w:val="0"/>
                <w:color w:val="000000" w:themeColor="text1"/>
                <w:sz w:val="24"/>
                <w:highlight w:val="none"/>
                <w:lang w:val="en-US"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人，流动顾客约</w:t>
            </w:r>
            <w:r>
              <w:rPr>
                <w:rFonts w:hint="eastAsia" w:cs="Times New Roman"/>
                <w:b w:val="0"/>
                <w:bCs w:val="0"/>
                <w:color w:val="000000" w:themeColor="text1"/>
                <w:sz w:val="24"/>
                <w:highlight w:val="none"/>
                <w:lang w:val="en-US" w:eastAsia="zh-CN"/>
                <w14:textFill>
                  <w14:solidFill>
                    <w14:schemeClr w14:val="tx1"/>
                  </w14:solidFill>
                </w14:textFill>
              </w:rPr>
              <w:t>36</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人/次·d，生活垃圾产生系数以0.5kg/人·d计，则生活垃圾产生量约</w:t>
            </w:r>
            <w:r>
              <w:rPr>
                <w:rFonts w:hint="eastAsia" w:cs="Times New Roman"/>
                <w:b w:val="0"/>
                <w:bCs w:val="0"/>
                <w:color w:val="000000" w:themeColor="text1"/>
                <w:sz w:val="24"/>
                <w:highlight w:val="none"/>
                <w:lang w:val="en-US" w:eastAsia="zh-CN"/>
                <w14:textFill>
                  <w14:solidFill>
                    <w14:schemeClr w14:val="tx1"/>
                  </w14:solidFill>
                </w14:textFill>
              </w:rPr>
              <w:t>7.1175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t/a，定期交环卫部门处置。</w:t>
            </w:r>
          </w:p>
          <w:p w14:paraId="42CF5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危险废物及医疗废物汇总表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39"/>
              <w:gridCol w:w="1039"/>
              <w:gridCol w:w="1039"/>
              <w:gridCol w:w="1039"/>
              <w:gridCol w:w="1039"/>
              <w:gridCol w:w="1044"/>
              <w:gridCol w:w="1044"/>
            </w:tblGrid>
            <w:tr w14:paraId="115E0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1B6343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危险废物名称</w:t>
                  </w:r>
                </w:p>
              </w:tc>
              <w:tc>
                <w:tcPr>
                  <w:tcW w:w="624" w:type="pct"/>
                  <w:tcBorders>
                    <w:tl2br w:val="nil"/>
                    <w:tr2bl w:val="nil"/>
                  </w:tcBorders>
                  <w:vAlign w:val="center"/>
                </w:tcPr>
                <w:p w14:paraId="67BDA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危险废物类别</w:t>
                  </w:r>
                </w:p>
              </w:tc>
              <w:tc>
                <w:tcPr>
                  <w:tcW w:w="624" w:type="pct"/>
                  <w:tcBorders>
                    <w:tl2br w:val="nil"/>
                    <w:tr2bl w:val="nil"/>
                  </w:tcBorders>
                  <w:vAlign w:val="center"/>
                </w:tcPr>
                <w:p w14:paraId="41AB5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危险废物代码</w:t>
                  </w:r>
                </w:p>
              </w:tc>
              <w:tc>
                <w:tcPr>
                  <w:tcW w:w="624" w:type="pct"/>
                  <w:tcBorders>
                    <w:tl2br w:val="nil"/>
                    <w:tr2bl w:val="nil"/>
                  </w:tcBorders>
                  <w:vAlign w:val="center"/>
                </w:tcPr>
                <w:p w14:paraId="486BD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产生量（t/a）</w:t>
                  </w:r>
                </w:p>
              </w:tc>
              <w:tc>
                <w:tcPr>
                  <w:tcW w:w="624" w:type="pct"/>
                  <w:tcBorders>
                    <w:tl2br w:val="nil"/>
                    <w:tr2bl w:val="nil"/>
                  </w:tcBorders>
                  <w:vAlign w:val="center"/>
                </w:tcPr>
                <w:p w14:paraId="59E360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产生工序</w:t>
                  </w:r>
                </w:p>
              </w:tc>
              <w:tc>
                <w:tcPr>
                  <w:tcW w:w="624" w:type="pct"/>
                  <w:tcBorders>
                    <w:tl2br w:val="nil"/>
                    <w:tr2bl w:val="nil"/>
                  </w:tcBorders>
                  <w:vAlign w:val="center"/>
                </w:tcPr>
                <w:p w14:paraId="5CBE2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形态</w:t>
                  </w:r>
                </w:p>
              </w:tc>
              <w:tc>
                <w:tcPr>
                  <w:tcW w:w="626" w:type="pct"/>
                  <w:tcBorders>
                    <w:tl2br w:val="nil"/>
                    <w:tr2bl w:val="nil"/>
                  </w:tcBorders>
                  <w:vAlign w:val="center"/>
                </w:tcPr>
                <w:p w14:paraId="7423F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危险特性</w:t>
                  </w:r>
                </w:p>
              </w:tc>
              <w:tc>
                <w:tcPr>
                  <w:tcW w:w="626" w:type="pct"/>
                  <w:tcBorders>
                    <w:tl2br w:val="nil"/>
                    <w:tr2bl w:val="nil"/>
                  </w:tcBorders>
                  <w:vAlign w:val="center"/>
                </w:tcPr>
                <w:p w14:paraId="200765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污染防治措施</w:t>
                  </w:r>
                </w:p>
              </w:tc>
            </w:tr>
            <w:tr w14:paraId="7CCA2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3BDA4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废紫外灯管</w:t>
                  </w:r>
                </w:p>
              </w:tc>
              <w:tc>
                <w:tcPr>
                  <w:tcW w:w="624" w:type="pct"/>
                  <w:tcBorders>
                    <w:tl2br w:val="nil"/>
                    <w:tr2bl w:val="nil"/>
                  </w:tcBorders>
                  <w:vAlign w:val="center"/>
                </w:tcPr>
                <w:p w14:paraId="2AA518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HW29</w:t>
                  </w:r>
                </w:p>
              </w:tc>
              <w:tc>
                <w:tcPr>
                  <w:tcW w:w="624" w:type="pct"/>
                  <w:tcBorders>
                    <w:tl2br w:val="nil"/>
                    <w:tr2bl w:val="nil"/>
                  </w:tcBorders>
                  <w:vAlign w:val="center"/>
                </w:tcPr>
                <w:p w14:paraId="382B39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624" w:type="pct"/>
                  <w:tcBorders>
                    <w:tl2br w:val="nil"/>
                    <w:tr2bl w:val="nil"/>
                  </w:tcBorders>
                  <w:vAlign w:val="center"/>
                </w:tcPr>
                <w:p w14:paraId="615B46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624" w:type="pct"/>
                  <w:tcBorders>
                    <w:tl2br w:val="nil"/>
                    <w:tr2bl w:val="nil"/>
                  </w:tcBorders>
                  <w:vAlign w:val="center"/>
                </w:tcPr>
                <w:p w14:paraId="39317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消毒</w:t>
                  </w:r>
                </w:p>
              </w:tc>
              <w:tc>
                <w:tcPr>
                  <w:tcW w:w="624" w:type="pct"/>
                  <w:tcBorders>
                    <w:tl2br w:val="nil"/>
                    <w:tr2bl w:val="nil"/>
                  </w:tcBorders>
                  <w:vAlign w:val="center"/>
                </w:tcPr>
                <w:p w14:paraId="4B055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w:t>
                  </w:r>
                </w:p>
              </w:tc>
              <w:tc>
                <w:tcPr>
                  <w:tcW w:w="626" w:type="pct"/>
                  <w:tcBorders>
                    <w:tl2br w:val="nil"/>
                    <w:tr2bl w:val="nil"/>
                  </w:tcBorders>
                  <w:vAlign w:val="center"/>
                </w:tcPr>
                <w:p w14:paraId="7C819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w:t>
                  </w:r>
                </w:p>
              </w:tc>
              <w:tc>
                <w:tcPr>
                  <w:tcW w:w="626" w:type="pct"/>
                  <w:vMerge w:val="restart"/>
                  <w:tcBorders>
                    <w:tl2br w:val="nil"/>
                    <w:tr2bl w:val="nil"/>
                  </w:tcBorders>
                  <w:vAlign w:val="center"/>
                </w:tcPr>
                <w:p w14:paraId="225A0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分类收集后暂存于医废暂存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，定期交有处理资质单位进行处置</w:t>
                  </w:r>
                </w:p>
              </w:tc>
            </w:tr>
            <w:tr w14:paraId="5D1AA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4" w:type="pct"/>
                  <w:tcBorders>
                    <w:tl2br w:val="nil"/>
                    <w:tr2bl w:val="nil"/>
                  </w:tcBorders>
                  <w:vAlign w:val="center"/>
                </w:tcPr>
                <w:p w14:paraId="604E2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624" w:type="pct"/>
                  <w:tcBorders>
                    <w:tl2br w:val="nil"/>
                    <w:tr2bl w:val="nil"/>
                  </w:tcBorders>
                  <w:vAlign w:val="center"/>
                </w:tcPr>
                <w:p w14:paraId="103E53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HW01</w:t>
                  </w:r>
                </w:p>
              </w:tc>
              <w:tc>
                <w:tcPr>
                  <w:tcW w:w="624" w:type="pct"/>
                  <w:tcBorders>
                    <w:tl2br w:val="nil"/>
                    <w:tr2bl w:val="nil"/>
                  </w:tcBorders>
                  <w:vAlign w:val="center"/>
                </w:tcPr>
                <w:p w14:paraId="3AB58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841-001-01、</w:t>
                  </w:r>
                </w:p>
                <w:p w14:paraId="5529F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841-002-01、841-003-01、</w:t>
                  </w:r>
                </w:p>
                <w:p w14:paraId="70702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841-004-01、</w:t>
                  </w:r>
                </w:p>
                <w:p w14:paraId="11056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841-005-01</w:t>
                  </w:r>
                </w:p>
              </w:tc>
              <w:tc>
                <w:tcPr>
                  <w:tcW w:w="624" w:type="pct"/>
                  <w:tcBorders>
                    <w:tl2br w:val="nil"/>
                    <w:tr2bl w:val="nil"/>
                  </w:tcBorders>
                  <w:vAlign w:val="center"/>
                </w:tcPr>
                <w:p w14:paraId="41A5D1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1.606</w:t>
                  </w:r>
                </w:p>
              </w:tc>
              <w:tc>
                <w:tcPr>
                  <w:tcW w:w="624" w:type="pct"/>
                  <w:tcBorders>
                    <w:tl2br w:val="nil"/>
                    <w:tr2bl w:val="nil"/>
                  </w:tcBorders>
                  <w:vAlign w:val="center"/>
                </w:tcPr>
                <w:p w14:paraId="26714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诊疗、化验、手术等</w:t>
                  </w:r>
                </w:p>
              </w:tc>
              <w:tc>
                <w:tcPr>
                  <w:tcW w:w="624" w:type="pct"/>
                  <w:tcBorders>
                    <w:tl2br w:val="nil"/>
                    <w:tr2bl w:val="nil"/>
                  </w:tcBorders>
                  <w:vAlign w:val="center"/>
                </w:tcPr>
                <w:p w14:paraId="7DA34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固体</w:t>
                  </w:r>
                </w:p>
              </w:tc>
              <w:tc>
                <w:tcPr>
                  <w:tcW w:w="626" w:type="pct"/>
                  <w:tcBorders>
                    <w:tl2br w:val="nil"/>
                    <w:tr2bl w:val="nil"/>
                  </w:tcBorders>
                  <w:vAlign w:val="center"/>
                </w:tcPr>
                <w:p w14:paraId="23050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T/C</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/I</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/R/In</w:t>
                  </w:r>
                </w:p>
              </w:tc>
              <w:tc>
                <w:tcPr>
                  <w:tcW w:w="626" w:type="pct"/>
                  <w:vMerge w:val="continue"/>
                  <w:tcBorders>
                    <w:tl2br w:val="nil"/>
                    <w:tr2bl w:val="nil"/>
                  </w:tcBorders>
                  <w:vAlign w:val="center"/>
                </w:tcPr>
                <w:p w14:paraId="068CD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bl>
          <w:p w14:paraId="35884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12</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固体废物产生及排放信息一览表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68"/>
              <w:gridCol w:w="1387"/>
              <w:gridCol w:w="1387"/>
              <w:gridCol w:w="1387"/>
              <w:gridCol w:w="1387"/>
            </w:tblGrid>
            <w:tr w14:paraId="4E4A5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395F2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固废名称</w:t>
                  </w:r>
                </w:p>
              </w:tc>
              <w:tc>
                <w:tcPr>
                  <w:tcW w:w="833" w:type="pct"/>
                  <w:tcBorders>
                    <w:tl2br w:val="nil"/>
                    <w:tr2bl w:val="nil"/>
                  </w:tcBorders>
                  <w:vAlign w:val="center"/>
                </w:tcPr>
                <w:p w14:paraId="3D2FA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特性</w:t>
                  </w:r>
                </w:p>
              </w:tc>
              <w:tc>
                <w:tcPr>
                  <w:tcW w:w="833" w:type="pct"/>
                  <w:tcBorders>
                    <w:tl2br w:val="nil"/>
                    <w:tr2bl w:val="nil"/>
                  </w:tcBorders>
                  <w:vAlign w:val="center"/>
                </w:tcPr>
                <w:p w14:paraId="3390F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性质/代码</w:t>
                  </w:r>
                </w:p>
              </w:tc>
              <w:tc>
                <w:tcPr>
                  <w:tcW w:w="833" w:type="pct"/>
                  <w:tcBorders>
                    <w:tl2br w:val="nil"/>
                    <w:tr2bl w:val="nil"/>
                  </w:tcBorders>
                  <w:vAlign w:val="center"/>
                </w:tcPr>
                <w:p w14:paraId="1615C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产生量</w:t>
                  </w:r>
                </w:p>
                <w:p w14:paraId="07402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（t/a）</w:t>
                  </w:r>
                </w:p>
              </w:tc>
              <w:tc>
                <w:tcPr>
                  <w:tcW w:w="833" w:type="pct"/>
                  <w:tcBorders>
                    <w:tl2br w:val="nil"/>
                    <w:tr2bl w:val="nil"/>
                  </w:tcBorders>
                  <w:vAlign w:val="center"/>
                </w:tcPr>
                <w:p w14:paraId="0E1BB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处理、利用措施</w:t>
                  </w:r>
                </w:p>
              </w:tc>
            </w:tr>
            <w:tr w14:paraId="230E9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restart"/>
                  <w:tcBorders>
                    <w:tl2br w:val="nil"/>
                    <w:tr2bl w:val="nil"/>
                  </w:tcBorders>
                  <w:vAlign w:val="center"/>
                </w:tcPr>
                <w:p w14:paraId="799D71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1242" w:type="pct"/>
                  <w:tcBorders>
                    <w:tl2br w:val="nil"/>
                    <w:tr2bl w:val="nil"/>
                  </w:tcBorders>
                  <w:vAlign w:val="center"/>
                </w:tcPr>
                <w:p w14:paraId="26DE8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感染性废物</w:t>
                  </w:r>
                </w:p>
              </w:tc>
              <w:tc>
                <w:tcPr>
                  <w:tcW w:w="833" w:type="pct"/>
                  <w:vMerge w:val="restart"/>
                  <w:tcBorders>
                    <w:tl2br w:val="nil"/>
                    <w:tr2bl w:val="nil"/>
                  </w:tcBorders>
                  <w:vAlign w:val="center"/>
                </w:tcPr>
                <w:p w14:paraId="7E50C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w:t>
                  </w:r>
                </w:p>
              </w:tc>
              <w:tc>
                <w:tcPr>
                  <w:tcW w:w="833" w:type="pct"/>
                  <w:tcBorders>
                    <w:tl2br w:val="nil"/>
                    <w:tr2bl w:val="nil"/>
                  </w:tcBorders>
                  <w:vAlign w:val="center"/>
                </w:tcPr>
                <w:p w14:paraId="37C68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841-001-01</w:t>
                  </w:r>
                </w:p>
              </w:tc>
              <w:tc>
                <w:tcPr>
                  <w:tcW w:w="833" w:type="pct"/>
                  <w:vMerge w:val="restart"/>
                  <w:tcBorders>
                    <w:tl2br w:val="nil"/>
                    <w:tr2bl w:val="nil"/>
                  </w:tcBorders>
                  <w:vAlign w:val="center"/>
                </w:tcPr>
                <w:p w14:paraId="1ED5A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833" w:type="pct"/>
                  <w:vMerge w:val="restart"/>
                  <w:tcBorders>
                    <w:tl2br w:val="nil"/>
                    <w:tr2bl w:val="nil"/>
                  </w:tcBorders>
                  <w:vAlign w:val="center"/>
                </w:tcPr>
                <w:p w14:paraId="10770B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暂存于医疗废物暂存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1F5D4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596F01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27DE2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损伤性废物</w:t>
                  </w:r>
                </w:p>
              </w:tc>
              <w:tc>
                <w:tcPr>
                  <w:tcW w:w="833" w:type="pct"/>
                  <w:vMerge w:val="continue"/>
                  <w:tcBorders>
                    <w:tl2br w:val="nil"/>
                    <w:tr2bl w:val="nil"/>
                  </w:tcBorders>
                  <w:vAlign w:val="center"/>
                </w:tcPr>
                <w:p w14:paraId="06932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vAlign w:val="center"/>
                </w:tcPr>
                <w:p w14:paraId="2B1474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841-002-01</w:t>
                  </w:r>
                </w:p>
              </w:tc>
              <w:tc>
                <w:tcPr>
                  <w:tcW w:w="833" w:type="pct"/>
                  <w:vMerge w:val="continue"/>
                  <w:tcBorders>
                    <w:tl2br w:val="nil"/>
                    <w:tr2bl w:val="nil"/>
                  </w:tcBorders>
                  <w:vAlign w:val="center"/>
                </w:tcPr>
                <w:p w14:paraId="6B86B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continue"/>
                  <w:tcBorders>
                    <w:tl2br w:val="nil"/>
                    <w:tr2bl w:val="nil"/>
                  </w:tcBorders>
                  <w:vAlign w:val="center"/>
                </w:tcPr>
                <w:p w14:paraId="2A1F3E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70579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4A21C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2FD0E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病理性废物</w:t>
                  </w:r>
                </w:p>
              </w:tc>
              <w:tc>
                <w:tcPr>
                  <w:tcW w:w="833" w:type="pct"/>
                  <w:vMerge w:val="continue"/>
                  <w:tcBorders>
                    <w:tl2br w:val="nil"/>
                    <w:tr2bl w:val="nil"/>
                  </w:tcBorders>
                  <w:vAlign w:val="center"/>
                </w:tcPr>
                <w:p w14:paraId="13687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59C68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841-003-01</w:t>
                  </w:r>
                </w:p>
              </w:tc>
              <w:tc>
                <w:tcPr>
                  <w:tcW w:w="833" w:type="pct"/>
                  <w:vMerge w:val="continue"/>
                  <w:tcBorders>
                    <w:tl2br w:val="nil"/>
                    <w:tr2bl w:val="nil"/>
                  </w:tcBorders>
                  <w:vAlign w:val="center"/>
                </w:tcPr>
                <w:p w14:paraId="59F978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vAlign w:val="center"/>
                </w:tcPr>
                <w:p w14:paraId="095B57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及时交</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资质单位无害化处置</w:t>
                  </w:r>
                </w:p>
              </w:tc>
            </w:tr>
            <w:tr w14:paraId="02A0E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6446B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66D50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药理性废物</w:t>
                  </w:r>
                </w:p>
              </w:tc>
              <w:tc>
                <w:tcPr>
                  <w:tcW w:w="833" w:type="pct"/>
                  <w:vMerge w:val="continue"/>
                  <w:tcBorders>
                    <w:tl2br w:val="nil"/>
                    <w:tr2bl w:val="nil"/>
                  </w:tcBorders>
                  <w:vAlign w:val="center"/>
                </w:tcPr>
                <w:p w14:paraId="5820AC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153BED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841-004-01</w:t>
                  </w:r>
                </w:p>
              </w:tc>
              <w:tc>
                <w:tcPr>
                  <w:tcW w:w="833" w:type="pct"/>
                  <w:vMerge w:val="continue"/>
                  <w:tcBorders>
                    <w:tl2br w:val="nil"/>
                    <w:tr2bl w:val="nil"/>
                  </w:tcBorders>
                  <w:vAlign w:val="center"/>
                </w:tcPr>
                <w:p w14:paraId="255767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restart"/>
                  <w:tcBorders>
                    <w:tl2br w:val="nil"/>
                    <w:tr2bl w:val="nil"/>
                  </w:tcBorders>
                  <w:vAlign w:val="center"/>
                </w:tcPr>
                <w:p w14:paraId="68591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暂存于医疗废物暂存</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点</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5D1AF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4" w:type="pct"/>
                  <w:vMerge w:val="continue"/>
                  <w:tcBorders>
                    <w:tl2br w:val="nil"/>
                    <w:tr2bl w:val="nil"/>
                  </w:tcBorders>
                  <w:vAlign w:val="center"/>
                </w:tcPr>
                <w:p w14:paraId="0B9A4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1242" w:type="pct"/>
                  <w:tcBorders>
                    <w:tl2br w:val="nil"/>
                    <w:tr2bl w:val="nil"/>
                  </w:tcBorders>
                  <w:vAlign w:val="center"/>
                </w:tcPr>
                <w:p w14:paraId="6A16E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化学性废物</w:t>
                  </w:r>
                </w:p>
              </w:tc>
              <w:tc>
                <w:tcPr>
                  <w:tcW w:w="833" w:type="pct"/>
                  <w:vMerge w:val="continue"/>
                  <w:tcBorders>
                    <w:tl2br w:val="nil"/>
                    <w:tr2bl w:val="nil"/>
                  </w:tcBorders>
                  <w:vAlign w:val="center"/>
                </w:tcPr>
                <w:p w14:paraId="02BF2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tcBorders>
                    <w:tl2br w:val="nil"/>
                    <w:tr2bl w:val="nil"/>
                  </w:tcBorders>
                  <w:shd w:val="clear" w:color="auto" w:fill="auto"/>
                  <w:vAlign w:val="center"/>
                </w:tcPr>
                <w:p w14:paraId="70FA0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841-005-01</w:t>
                  </w:r>
                </w:p>
              </w:tc>
              <w:tc>
                <w:tcPr>
                  <w:tcW w:w="833" w:type="pct"/>
                  <w:vMerge w:val="continue"/>
                  <w:tcBorders>
                    <w:tl2br w:val="nil"/>
                    <w:tr2bl w:val="nil"/>
                  </w:tcBorders>
                  <w:vAlign w:val="center"/>
                </w:tcPr>
                <w:p w14:paraId="460DD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833" w:type="pct"/>
                  <w:vMerge w:val="continue"/>
                  <w:tcBorders>
                    <w:tl2br w:val="nil"/>
                    <w:tr2bl w:val="nil"/>
                  </w:tcBorders>
                  <w:vAlign w:val="center"/>
                </w:tcPr>
                <w:p w14:paraId="0AC8E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50B5F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06585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废紫外灯管</w:t>
                  </w:r>
                </w:p>
              </w:tc>
              <w:tc>
                <w:tcPr>
                  <w:tcW w:w="833" w:type="pct"/>
                  <w:tcBorders>
                    <w:tl2br w:val="nil"/>
                    <w:tr2bl w:val="nil"/>
                  </w:tcBorders>
                  <w:vAlign w:val="center"/>
                </w:tcPr>
                <w:p w14:paraId="4D68E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w:t>
                  </w:r>
                </w:p>
              </w:tc>
              <w:tc>
                <w:tcPr>
                  <w:tcW w:w="833" w:type="pct"/>
                  <w:tcBorders>
                    <w:tl2br w:val="nil"/>
                    <w:tr2bl w:val="nil"/>
                  </w:tcBorders>
                  <w:vAlign w:val="center"/>
                </w:tcPr>
                <w:p w14:paraId="6E8EDC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833" w:type="pct"/>
                  <w:tcBorders>
                    <w:tl2br w:val="nil"/>
                    <w:tr2bl w:val="nil"/>
                  </w:tcBorders>
                  <w:vAlign w:val="center"/>
                </w:tcPr>
                <w:p w14:paraId="5FD59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833" w:type="pct"/>
                  <w:tcBorders>
                    <w:tl2br w:val="nil"/>
                    <w:tr2bl w:val="nil"/>
                  </w:tcBorders>
                  <w:vAlign w:val="center"/>
                </w:tcPr>
                <w:p w14:paraId="70504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定期交由有资质单位处置</w:t>
                  </w:r>
                </w:p>
              </w:tc>
            </w:tr>
            <w:tr w14:paraId="19BDD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5852E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动物尸体</w:t>
                  </w:r>
                </w:p>
              </w:tc>
              <w:tc>
                <w:tcPr>
                  <w:tcW w:w="833" w:type="pct"/>
                  <w:tcBorders>
                    <w:tl2br w:val="nil"/>
                    <w:tr2bl w:val="nil"/>
                  </w:tcBorders>
                  <w:vAlign w:val="center"/>
                </w:tcPr>
                <w:p w14:paraId="473B9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val="en-US" w:eastAsia="zh-CN"/>
                    </w:rPr>
                    <w:t>一般固废</w:t>
                  </w:r>
                </w:p>
              </w:tc>
              <w:tc>
                <w:tcPr>
                  <w:tcW w:w="833" w:type="pct"/>
                  <w:tcBorders>
                    <w:tl2br w:val="nil"/>
                    <w:tr2bl w:val="nil"/>
                  </w:tcBorders>
                  <w:vAlign w:val="center"/>
                </w:tcPr>
                <w:p w14:paraId="7D952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eastAsia" w:cs="Times New Roman"/>
                      <w:b w:val="0"/>
                      <w:bCs w:val="0"/>
                      <w:color w:val="auto"/>
                      <w:sz w:val="21"/>
                      <w:szCs w:val="21"/>
                      <w:highlight w:val="none"/>
                      <w:vertAlign w:val="baseline"/>
                      <w:lang w:val="en-US" w:eastAsia="zh-CN"/>
                    </w:rPr>
                    <w:t>/</w:t>
                  </w:r>
                </w:p>
              </w:tc>
              <w:tc>
                <w:tcPr>
                  <w:tcW w:w="833" w:type="pct"/>
                  <w:tcBorders>
                    <w:tl2br w:val="nil"/>
                    <w:tr2bl w:val="nil"/>
                  </w:tcBorders>
                  <w:vAlign w:val="center"/>
                </w:tcPr>
                <w:p w14:paraId="1E1D3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少量</w:t>
                  </w:r>
                </w:p>
              </w:tc>
              <w:tc>
                <w:tcPr>
                  <w:tcW w:w="833" w:type="pct"/>
                  <w:tcBorders>
                    <w:tl2br w:val="nil"/>
                    <w:tr2bl w:val="nil"/>
                  </w:tcBorders>
                  <w:vAlign w:val="center"/>
                </w:tcPr>
                <w:p w14:paraId="3C669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及时交资质单位无害</w:t>
                  </w:r>
                </w:p>
                <w:p w14:paraId="13161A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化处置</w:t>
                  </w:r>
                </w:p>
              </w:tc>
            </w:tr>
            <w:tr w14:paraId="249F2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0F3950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动物粪污</w:t>
                  </w:r>
                </w:p>
              </w:tc>
              <w:tc>
                <w:tcPr>
                  <w:tcW w:w="833" w:type="pct"/>
                  <w:tcBorders>
                    <w:tl2br w:val="nil"/>
                    <w:tr2bl w:val="nil"/>
                  </w:tcBorders>
                  <w:vAlign w:val="center"/>
                </w:tcPr>
                <w:p w14:paraId="526E8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一般固废</w:t>
                  </w:r>
                </w:p>
              </w:tc>
              <w:tc>
                <w:tcPr>
                  <w:tcW w:w="833" w:type="pct"/>
                  <w:tcBorders>
                    <w:tl2br w:val="nil"/>
                    <w:tr2bl w:val="nil"/>
                  </w:tcBorders>
                  <w:vAlign w:val="center"/>
                </w:tcPr>
                <w:p w14:paraId="037F3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030-001-S82</w:t>
                  </w:r>
                </w:p>
              </w:tc>
              <w:tc>
                <w:tcPr>
                  <w:tcW w:w="833" w:type="pct"/>
                  <w:tcBorders>
                    <w:tl2br w:val="nil"/>
                    <w:tr2bl w:val="nil"/>
                  </w:tcBorders>
                  <w:vAlign w:val="center"/>
                </w:tcPr>
                <w:p w14:paraId="5E0F2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2.9748</w:t>
                  </w:r>
                </w:p>
              </w:tc>
              <w:tc>
                <w:tcPr>
                  <w:tcW w:w="833" w:type="pct"/>
                  <w:tcBorders>
                    <w:tl2br w:val="nil"/>
                    <w:tr2bl w:val="nil"/>
                  </w:tcBorders>
                  <w:vAlign w:val="center"/>
                </w:tcPr>
                <w:p w14:paraId="0BD060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消毒后交市政环卫部门处置</w:t>
                  </w:r>
                </w:p>
              </w:tc>
            </w:tr>
            <w:tr w14:paraId="572A0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73D50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动物毛发</w:t>
                  </w:r>
                </w:p>
              </w:tc>
              <w:tc>
                <w:tcPr>
                  <w:tcW w:w="833" w:type="pct"/>
                  <w:tcBorders>
                    <w:tl2br w:val="nil"/>
                    <w:tr2bl w:val="nil"/>
                  </w:tcBorders>
                  <w:vAlign w:val="center"/>
                </w:tcPr>
                <w:p w14:paraId="1E354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一般固废</w:t>
                  </w:r>
                </w:p>
              </w:tc>
              <w:tc>
                <w:tcPr>
                  <w:tcW w:w="833" w:type="pct"/>
                  <w:tcBorders>
                    <w:tl2br w:val="nil"/>
                    <w:tr2bl w:val="nil"/>
                  </w:tcBorders>
                  <w:vAlign w:val="center"/>
                </w:tcPr>
                <w:p w14:paraId="5AB43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33" w:type="pct"/>
                  <w:tcBorders>
                    <w:tl2br w:val="nil"/>
                    <w:tr2bl w:val="nil"/>
                  </w:tcBorders>
                  <w:vAlign w:val="center"/>
                </w:tcPr>
                <w:p w14:paraId="08F6F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833" w:type="pct"/>
                  <w:tcBorders>
                    <w:tl2br w:val="nil"/>
                    <w:tr2bl w:val="nil"/>
                  </w:tcBorders>
                  <w:vAlign w:val="center"/>
                </w:tcPr>
                <w:p w14:paraId="7B8A9D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交市政环卫部门处置</w:t>
                  </w:r>
                </w:p>
              </w:tc>
            </w:tr>
            <w:tr w14:paraId="5E319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gridSpan w:val="2"/>
                  <w:tcBorders>
                    <w:tl2br w:val="nil"/>
                    <w:tr2bl w:val="nil"/>
                  </w:tcBorders>
                  <w:vAlign w:val="center"/>
                </w:tcPr>
                <w:p w14:paraId="721CF0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833" w:type="pct"/>
                  <w:tcBorders>
                    <w:tl2br w:val="nil"/>
                    <w:tr2bl w:val="nil"/>
                  </w:tcBorders>
                  <w:vAlign w:val="center"/>
                </w:tcPr>
                <w:p w14:paraId="6FD8CA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833" w:type="pct"/>
                  <w:tcBorders>
                    <w:tl2br w:val="nil"/>
                    <w:tr2bl w:val="nil"/>
                  </w:tcBorders>
                  <w:vAlign w:val="center"/>
                </w:tcPr>
                <w:p w14:paraId="5E96C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33" w:type="pct"/>
                  <w:tcBorders>
                    <w:tl2br w:val="nil"/>
                    <w:tr2bl w:val="nil"/>
                  </w:tcBorders>
                  <w:vAlign w:val="center"/>
                </w:tcPr>
                <w:p w14:paraId="06CD7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833" w:type="pct"/>
                  <w:tcBorders>
                    <w:tl2br w:val="nil"/>
                    <w:tr2bl w:val="nil"/>
                  </w:tcBorders>
                  <w:vAlign w:val="center"/>
                </w:tcPr>
                <w:p w14:paraId="68859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交市政环卫部门处置</w:t>
                  </w:r>
                </w:p>
              </w:tc>
            </w:tr>
          </w:tbl>
          <w:p w14:paraId="3630C51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4.2.4.2 固体废物的处置、暂存和管理要求</w:t>
            </w:r>
          </w:p>
          <w:p w14:paraId="5E4BB5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w:t>
            </w:r>
          </w:p>
          <w:p w14:paraId="19C34B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根据《国家危险废物名录》（202</w:t>
            </w:r>
            <w:r>
              <w:rPr>
                <w:rFonts w:hint="eastAsia"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年版）、《医疗废物分类目录》（2021年版）相关规定，项目产生的医疗废物属于危险废物，必须按照《医疗废物专用包装袋、容器和警示标志标准》（HJ421-2008）、《危险废物识别标志设置技术规范》（HJ1276-2022）、《危险废物贮存污染控制标准》（GB 18597-2023）、《危险废物收集贮存运输技术规范》（HJ2025-2012）等相关要求进行管理，送有资质单位处置。</w:t>
            </w:r>
          </w:p>
          <w:p w14:paraId="7BC41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危险废物收集贮存运输技术规范》（HJ2025-2012），在危险废物的收集和转运过程中，应采取相应的安全防护和污染防治措施，包括防、防火、防中毒防感染、防泄漏、防飞扬、防雨或其他防止污染环境的措施。</w:t>
            </w:r>
          </w:p>
          <w:p w14:paraId="24FD4E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①医疗废物的收集</w:t>
            </w:r>
          </w:p>
          <w:p w14:paraId="13D670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医疗废物应采用专用容器进行收集，明确各类废弃物标识，分类包装，并本着及时、方便、安全、快捷的原则，进行收集。感染性废物、损伤性废物、药物性废物及化学性废物不能混合收集</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放入存放容器包装物内的各类废物不得取出。当盛装的医疗废物达到存储容器的3/</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时，应当使用有效的封口方法对包装进行封口密封。医疗废物中的锐利物必须单独存放，并统一按照医学废物处理。收集锐利物的包装容器应使用硬质、防漏、防刺破的材料。</w:t>
            </w:r>
          </w:p>
          <w:p w14:paraId="7DB3F4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②医疗废物包装</w:t>
            </w:r>
          </w:p>
          <w:p w14:paraId="0BB99C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PVC</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）塑料为制造原料。利器盒整体颜色为黄色，在盒体侧面注明</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损伤性物质</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利器盒上应印刷医疗废物警示标志。</w:t>
            </w:r>
          </w:p>
          <w:p w14:paraId="2D4B78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③医疗废物暂存点</w:t>
            </w:r>
          </w:p>
          <w:p w14:paraId="6F090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项目</w:t>
            </w:r>
            <w:r>
              <w:rPr>
                <w:rFonts w:hint="eastAsia" w:cs="Times New Roman"/>
                <w:b w:val="0"/>
                <w:bCs w:val="0"/>
                <w:color w:val="auto"/>
                <w:sz w:val="24"/>
                <w:highlight w:val="none"/>
                <w:lang w:val="en-US" w:eastAsia="zh-CN"/>
              </w:rPr>
              <w:t>医废暂存点</w:t>
            </w:r>
            <w:r>
              <w:rPr>
                <w:rFonts w:hint="default" w:ascii="Times New Roman" w:hAnsi="Times New Roman" w:eastAsia="宋体" w:cs="Times New Roman"/>
                <w:b w:val="0"/>
                <w:bCs w:val="0"/>
                <w:color w:val="auto"/>
                <w:sz w:val="24"/>
                <w:highlight w:val="none"/>
                <w:lang w:eastAsia="zh-CN"/>
              </w:rPr>
              <w:t>位于医院</w:t>
            </w:r>
            <w:r>
              <w:rPr>
                <w:rFonts w:hint="eastAsia" w:cs="Times New Roman"/>
                <w:b w:val="0"/>
                <w:bCs w:val="0"/>
                <w:color w:val="auto"/>
                <w:sz w:val="24"/>
                <w:highlight w:val="none"/>
                <w:lang w:val="en-US" w:eastAsia="zh-CN"/>
              </w:rPr>
              <w:t>化验室内</w:t>
            </w:r>
            <w:r>
              <w:rPr>
                <w:rFonts w:hint="default" w:ascii="Times New Roman" w:hAnsi="Times New Roman" w:eastAsia="宋体" w:cs="Times New Roman"/>
                <w:b w:val="0"/>
                <w:bCs w:val="0"/>
                <w:color w:val="auto"/>
                <w:sz w:val="24"/>
                <w:highlight w:val="none"/>
                <w:lang w:eastAsia="zh-CN"/>
              </w:rPr>
              <w:t>，面积约</w:t>
            </w: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m</w:t>
            </w:r>
            <w:r>
              <w:rPr>
                <w:rFonts w:hint="default" w:ascii="Times New Roman" w:hAnsi="Times New Roman" w:eastAsia="宋体" w:cs="Times New Roman"/>
                <w:b w:val="0"/>
                <w:bCs w:val="0"/>
                <w:color w:val="auto"/>
                <w:sz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eastAsia="zh-CN"/>
              </w:rPr>
              <w:t>，并设置明显的警示标识和防渗漏、防鼠、防蚊蝇、防蟑螂、防盗以及预防儿童接触等安全措施，定期进行消毒和清洁。医疗废物暂时贮存时间不得超过2天。</w:t>
            </w:r>
          </w:p>
          <w:p w14:paraId="5AF24B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eastAsia" w:cs="Times New Roman"/>
                <w:b w:val="0"/>
                <w:bCs/>
                <w:color w:val="auto"/>
                <w:sz w:val="24"/>
                <w:szCs w:val="24"/>
                <w:highlight w:val="none"/>
                <w:lang w:val="en-US" w:eastAsia="zh-CN"/>
              </w:rPr>
              <w:t>医废暂存点应满足</w:t>
            </w:r>
            <w:r>
              <w:rPr>
                <w:rFonts w:hint="default" w:ascii="Times New Roman" w:hAnsi="Times New Roman" w:cs="Times New Roman"/>
                <w:b w:val="0"/>
                <w:bCs w:val="0"/>
                <w:color w:val="auto"/>
                <w:sz w:val="24"/>
                <w:highlight w:val="none"/>
                <w:lang w:eastAsia="zh-CN"/>
              </w:rPr>
              <w:t>《危险废物贮存污染控制标准》（GB 18597-2023）</w:t>
            </w:r>
            <w:r>
              <w:rPr>
                <w:rFonts w:hint="eastAsia" w:cs="Times New Roman"/>
                <w:b w:val="0"/>
                <w:bCs/>
                <w:color w:val="auto"/>
                <w:sz w:val="24"/>
                <w:szCs w:val="24"/>
                <w:highlight w:val="none"/>
                <w:lang w:val="en-US" w:eastAsia="zh-CN"/>
              </w:rPr>
              <w:t>医废暂存点贮存要求。</w:t>
            </w:r>
          </w:p>
          <w:p w14:paraId="32923F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收集的医疗废物采用防渗漏、防遗撒、防锐器穿透的专用包装物或者密闭的容器，按照本单位确定的内部医疗废物运送时间、路线，将医疗废物收集运送至暂时贮存设施贮存，然后运往有资质单位处理。运送工具使用后应当在医疗卫生机构内指定的地点及时消毒和清洁。</w:t>
            </w:r>
          </w:p>
          <w:p w14:paraId="62967B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④医疗废物交接、转移</w:t>
            </w:r>
          </w:p>
          <w:p w14:paraId="32BDDF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eastAsia" w:cs="Times New Roman"/>
                <w:b w:val="0"/>
                <w:bCs w:val="0"/>
                <w:color w:val="auto"/>
                <w:sz w:val="24"/>
                <w:highlight w:val="none"/>
                <w:lang w:val="en-US" w:eastAsia="zh-CN"/>
              </w:rPr>
              <w:t>医废暂存点</w:t>
            </w:r>
            <w:r>
              <w:rPr>
                <w:rFonts w:hint="default" w:ascii="Times New Roman" w:hAnsi="Times New Roman" w:cs="Times New Roman"/>
                <w:b w:val="0"/>
                <w:bCs w:val="0"/>
                <w:color w:val="auto"/>
                <w:sz w:val="24"/>
                <w:highlight w:val="none"/>
                <w:lang w:eastAsia="zh-CN"/>
              </w:rPr>
              <w:t>贮存的医疗废物定期交有明显医疗废物标识的专用车辆运至有资质的单位处理。医疗废物转移必须按照《危险废物转移管理办法》（生态环境部、公安部、交通运输部令）的规定，执行危险废物转移联单制度。宠物医院禁止转让、买卖医疗废物，禁止在运输过程中丢弃医疗废物，禁止随意倾倒、堆放医疗废物或者医疗废物混入其他废物或生活垃圾中。</w:t>
            </w:r>
          </w:p>
          <w:p w14:paraId="13F2E0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处置单位有资质单位处理。</w:t>
            </w:r>
          </w:p>
          <w:p w14:paraId="3677B2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医疗废物处理单位应对医疗废物的来源、种类、数量、交接时间、处置方法等情况进行登记，登记资料保存时间不少于3年，定期接受环保、卫生部门检查。</w:t>
            </w:r>
          </w:p>
          <w:p w14:paraId="26F402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⑤</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医疗废物处置</w:t>
            </w:r>
          </w:p>
          <w:p w14:paraId="5D2F4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项目产生医疗废物分类收集后暂存于</w:t>
            </w:r>
            <w:r>
              <w:rPr>
                <w:rFonts w:hint="eastAsia" w:cs="Times New Roman"/>
                <w:b w:val="0"/>
                <w:bCs w:val="0"/>
                <w:color w:val="000000" w:themeColor="text1"/>
                <w:sz w:val="24"/>
                <w:highlight w:val="none"/>
                <w:lang w:val="en-US" w:eastAsia="zh-CN"/>
                <w14:textFill>
                  <w14:solidFill>
                    <w14:schemeClr w14:val="tx1"/>
                  </w14:solidFill>
                </w14:textFill>
              </w:rPr>
              <w:t>医废暂存点</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，定期送有医疗废物处理资质的单位处理。</w:t>
            </w:r>
          </w:p>
          <w:p w14:paraId="430838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lang w:eastAsia="zh-CN"/>
              </w:rPr>
              <w:t>）其他固体废物处置措施</w:t>
            </w:r>
          </w:p>
          <w:p w14:paraId="407A61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highlight w:val="none"/>
                <w:lang w:eastAsia="zh-CN"/>
              </w:rPr>
            </w:pPr>
            <w:r>
              <w:rPr>
                <w:rFonts w:hint="default" w:ascii="Times New Roman" w:hAnsi="Times New Roman" w:cs="Times New Roman"/>
                <w:b w:val="0"/>
                <w:bCs w:val="0"/>
                <w:color w:val="auto"/>
                <w:sz w:val="24"/>
                <w:highlight w:val="none"/>
                <w:lang w:eastAsia="zh-CN"/>
              </w:rPr>
              <w:t>猫住院、诊疗产生的猫砂及犬住院、门诊产生的动物粪污经消毒处理后交市政环卫部门</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生活垃圾交环卫部门统一收运</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动物尸体交有资质单位进行无害化处理</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eastAsia="zh-CN"/>
              </w:rPr>
              <w:t>废紫外线灯管属于危险废物，分类收集后暂存于</w:t>
            </w:r>
            <w:r>
              <w:rPr>
                <w:rFonts w:hint="eastAsia" w:cs="Times New Roman"/>
                <w:b w:val="0"/>
                <w:bCs w:val="0"/>
                <w:color w:val="auto"/>
                <w:sz w:val="24"/>
                <w:highlight w:val="none"/>
                <w:lang w:val="en-US" w:eastAsia="zh-CN"/>
              </w:rPr>
              <w:t>医废暂存点</w:t>
            </w:r>
            <w:r>
              <w:rPr>
                <w:rFonts w:hint="default" w:ascii="Times New Roman" w:hAnsi="Times New Roman" w:cs="Times New Roman"/>
                <w:b w:val="0"/>
                <w:bCs w:val="0"/>
                <w:color w:val="auto"/>
                <w:sz w:val="24"/>
                <w:highlight w:val="none"/>
                <w:lang w:eastAsia="zh-CN"/>
              </w:rPr>
              <w:t>，定期交有资质单位处置。</w:t>
            </w:r>
            <w:r>
              <w:rPr>
                <w:rFonts w:hint="eastAsia" w:cs="Times New Roman"/>
                <w:b w:val="0"/>
                <w:bCs w:val="0"/>
                <w:color w:val="auto"/>
                <w:sz w:val="24"/>
                <w:highlight w:val="none"/>
                <w:lang w:val="en-US" w:eastAsia="zh-CN"/>
              </w:rPr>
              <w:t>动物毛发</w:t>
            </w:r>
            <w:r>
              <w:rPr>
                <w:rFonts w:hint="default" w:ascii="Times New Roman" w:hAnsi="Times New Roman" w:cs="Times New Roman"/>
                <w:b w:val="0"/>
                <w:bCs w:val="0"/>
                <w:color w:val="auto"/>
                <w:sz w:val="24"/>
                <w:highlight w:val="none"/>
                <w:lang w:eastAsia="zh-CN"/>
              </w:rPr>
              <w:t>交市政环卫部门。</w:t>
            </w:r>
          </w:p>
          <w:p w14:paraId="641A9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综上所述，项目营运期产生的固体废物能得到综合利用及合理处置，不会对周边环境造成影响。</w:t>
            </w:r>
          </w:p>
          <w:p w14:paraId="1F36A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13</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项目危险废物贮存场所（设施）基本情况表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89"/>
              <w:gridCol w:w="792"/>
              <w:gridCol w:w="790"/>
              <w:gridCol w:w="1197"/>
              <w:gridCol w:w="792"/>
              <w:gridCol w:w="564"/>
              <w:gridCol w:w="1516"/>
              <w:gridCol w:w="556"/>
              <w:gridCol w:w="531"/>
            </w:tblGrid>
            <w:tr w14:paraId="49BD3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tcBorders>
                    <w:tl2br w:val="nil"/>
                    <w:tr2bl w:val="nil"/>
                  </w:tcBorders>
                  <w:vAlign w:val="center"/>
                </w:tcPr>
                <w:p w14:paraId="7C9AC5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贮存场所名称</w:t>
                  </w:r>
                </w:p>
              </w:tc>
              <w:tc>
                <w:tcPr>
                  <w:tcW w:w="950" w:type="pct"/>
                  <w:gridSpan w:val="2"/>
                  <w:tcBorders>
                    <w:tl2br w:val="nil"/>
                    <w:tr2bl w:val="nil"/>
                  </w:tcBorders>
                  <w:vAlign w:val="center"/>
                </w:tcPr>
                <w:p w14:paraId="1F00B2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危险废物名称</w:t>
                  </w:r>
                </w:p>
              </w:tc>
              <w:tc>
                <w:tcPr>
                  <w:tcW w:w="475" w:type="pct"/>
                  <w:tcBorders>
                    <w:tl2br w:val="nil"/>
                    <w:tr2bl w:val="nil"/>
                  </w:tcBorders>
                  <w:vAlign w:val="center"/>
                </w:tcPr>
                <w:p w14:paraId="45986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危险废物类别</w:t>
                  </w:r>
                </w:p>
              </w:tc>
              <w:tc>
                <w:tcPr>
                  <w:tcW w:w="719" w:type="pct"/>
                  <w:tcBorders>
                    <w:tl2br w:val="nil"/>
                    <w:tr2bl w:val="nil"/>
                  </w:tcBorders>
                  <w:shd w:val="clear" w:color="auto" w:fill="auto"/>
                  <w:vAlign w:val="center"/>
                </w:tcPr>
                <w:p w14:paraId="089E5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危险废物代码</w:t>
                  </w:r>
                </w:p>
              </w:tc>
              <w:tc>
                <w:tcPr>
                  <w:tcW w:w="476" w:type="pct"/>
                  <w:tcBorders>
                    <w:tl2br w:val="nil"/>
                    <w:tr2bl w:val="nil"/>
                  </w:tcBorders>
                  <w:shd w:val="clear" w:color="auto" w:fill="auto"/>
                  <w:vAlign w:val="center"/>
                </w:tcPr>
                <w:p w14:paraId="32CCE1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位置</w:t>
                  </w:r>
                </w:p>
              </w:tc>
              <w:tc>
                <w:tcPr>
                  <w:tcW w:w="339" w:type="pct"/>
                  <w:tcBorders>
                    <w:tl2br w:val="nil"/>
                    <w:tr2bl w:val="nil"/>
                  </w:tcBorders>
                  <w:shd w:val="clear" w:color="auto" w:fill="auto"/>
                  <w:vAlign w:val="center"/>
                </w:tcPr>
                <w:p w14:paraId="77A13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占地面积</w:t>
                  </w:r>
                </w:p>
              </w:tc>
              <w:tc>
                <w:tcPr>
                  <w:tcW w:w="911" w:type="pct"/>
                  <w:tcBorders>
                    <w:tl2br w:val="nil"/>
                    <w:tr2bl w:val="nil"/>
                  </w:tcBorders>
                  <w:shd w:val="clear" w:color="auto" w:fill="auto"/>
                  <w:vAlign w:val="center"/>
                </w:tcPr>
                <w:p w14:paraId="22640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贮存方式</w:t>
                  </w:r>
                </w:p>
              </w:tc>
              <w:tc>
                <w:tcPr>
                  <w:tcW w:w="334" w:type="pct"/>
                  <w:tcBorders>
                    <w:tl2br w:val="nil"/>
                    <w:tr2bl w:val="nil"/>
                  </w:tcBorders>
                  <w:shd w:val="clear" w:color="auto" w:fill="auto"/>
                  <w:vAlign w:val="center"/>
                </w:tcPr>
                <w:p w14:paraId="65EA1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总贮存能力</w:t>
                  </w:r>
                </w:p>
              </w:tc>
              <w:tc>
                <w:tcPr>
                  <w:tcW w:w="319" w:type="pct"/>
                  <w:tcBorders>
                    <w:tl2br w:val="nil"/>
                    <w:tr2bl w:val="nil"/>
                  </w:tcBorders>
                  <w:vAlign w:val="center"/>
                </w:tcPr>
                <w:p w14:paraId="31BF0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贮存周期</w:t>
                  </w:r>
                </w:p>
              </w:tc>
            </w:tr>
            <w:tr w14:paraId="71FC6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restart"/>
                  <w:tcBorders>
                    <w:tl2br w:val="nil"/>
                    <w:tr2bl w:val="nil"/>
                  </w:tcBorders>
                  <w:vAlign w:val="center"/>
                </w:tcPr>
                <w:p w14:paraId="15B9D3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暂存点</w:t>
                  </w:r>
                </w:p>
              </w:tc>
              <w:tc>
                <w:tcPr>
                  <w:tcW w:w="474" w:type="pct"/>
                  <w:vMerge w:val="restart"/>
                  <w:tcBorders>
                    <w:tl2br w:val="nil"/>
                    <w:tr2bl w:val="nil"/>
                  </w:tcBorders>
                  <w:vAlign w:val="center"/>
                </w:tcPr>
                <w:p w14:paraId="3764B9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医疗废物</w:t>
                  </w:r>
                </w:p>
              </w:tc>
              <w:tc>
                <w:tcPr>
                  <w:tcW w:w="476" w:type="pct"/>
                  <w:tcBorders>
                    <w:tl2br w:val="nil"/>
                    <w:tr2bl w:val="nil"/>
                  </w:tcBorders>
                  <w:shd w:val="clear" w:color="auto" w:fill="auto"/>
                  <w:vAlign w:val="center"/>
                </w:tcPr>
                <w:p w14:paraId="0C9FDC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感染性废物</w:t>
                  </w:r>
                </w:p>
              </w:tc>
              <w:tc>
                <w:tcPr>
                  <w:tcW w:w="475" w:type="pct"/>
                  <w:vMerge w:val="restart"/>
                  <w:tcBorders>
                    <w:tl2br w:val="nil"/>
                    <w:tr2bl w:val="nil"/>
                  </w:tcBorders>
                  <w:vAlign w:val="center"/>
                </w:tcPr>
                <w:p w14:paraId="184E0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HW01</w:t>
                  </w:r>
                </w:p>
              </w:tc>
              <w:tc>
                <w:tcPr>
                  <w:tcW w:w="719" w:type="pct"/>
                  <w:tcBorders>
                    <w:tl2br w:val="nil"/>
                    <w:tr2bl w:val="nil"/>
                  </w:tcBorders>
                  <w:shd w:val="clear" w:color="auto" w:fill="auto"/>
                  <w:vAlign w:val="center"/>
                </w:tcPr>
                <w:p w14:paraId="2542A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841-001-01</w:t>
                  </w:r>
                </w:p>
              </w:tc>
              <w:tc>
                <w:tcPr>
                  <w:tcW w:w="476" w:type="pct"/>
                  <w:vMerge w:val="restart"/>
                  <w:tcBorders>
                    <w:tl2br w:val="nil"/>
                    <w:tr2bl w:val="nil"/>
                  </w:tcBorders>
                  <w:vAlign w:val="center"/>
                </w:tcPr>
                <w:p w14:paraId="27090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2F北侧</w:t>
                  </w:r>
                </w:p>
              </w:tc>
              <w:tc>
                <w:tcPr>
                  <w:tcW w:w="339" w:type="pct"/>
                  <w:vMerge w:val="restart"/>
                  <w:tcBorders>
                    <w:tl2br w:val="nil"/>
                    <w:tr2bl w:val="nil"/>
                  </w:tcBorders>
                  <w:vAlign w:val="center"/>
                </w:tcPr>
                <w:p w14:paraId="045531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911" w:type="pct"/>
                  <w:tcBorders>
                    <w:tl2br w:val="nil"/>
                    <w:tr2bl w:val="nil"/>
                  </w:tcBorders>
                  <w:vAlign w:val="center"/>
                </w:tcPr>
                <w:p w14:paraId="141E6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采用医疗废物包装袋收集后暂存于专用的医疗废物桶内</w:t>
                  </w:r>
                </w:p>
              </w:tc>
              <w:tc>
                <w:tcPr>
                  <w:tcW w:w="334" w:type="pct"/>
                  <w:vMerge w:val="restart"/>
                  <w:tcBorders>
                    <w:tl2br w:val="nil"/>
                    <w:tr2bl w:val="nil"/>
                  </w:tcBorders>
                  <w:vAlign w:val="center"/>
                </w:tcPr>
                <w:p w14:paraId="16822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0.05t</w:t>
                  </w:r>
                </w:p>
              </w:tc>
              <w:tc>
                <w:tcPr>
                  <w:tcW w:w="319" w:type="pct"/>
                  <w:vMerge w:val="restart"/>
                  <w:tcBorders>
                    <w:tl2br w:val="nil"/>
                    <w:tr2bl w:val="nil"/>
                  </w:tcBorders>
                  <w:vAlign w:val="center"/>
                </w:tcPr>
                <w:p w14:paraId="4B73D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2d</w:t>
                  </w:r>
                </w:p>
              </w:tc>
            </w:tr>
            <w:tr w14:paraId="2BC55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10EF83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1CDE5C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10EF6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损伤性废物</w:t>
                  </w:r>
                </w:p>
              </w:tc>
              <w:tc>
                <w:tcPr>
                  <w:tcW w:w="475" w:type="pct"/>
                  <w:vMerge w:val="continue"/>
                  <w:tcBorders>
                    <w:tl2br w:val="nil"/>
                    <w:tr2bl w:val="nil"/>
                  </w:tcBorders>
                  <w:vAlign w:val="center"/>
                </w:tcPr>
                <w:p w14:paraId="3D390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4B298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841-002-01</w:t>
                  </w:r>
                </w:p>
              </w:tc>
              <w:tc>
                <w:tcPr>
                  <w:tcW w:w="476" w:type="pct"/>
                  <w:vMerge w:val="continue"/>
                  <w:tcBorders>
                    <w:tl2br w:val="nil"/>
                    <w:tr2bl w:val="nil"/>
                  </w:tcBorders>
                  <w:vAlign w:val="center"/>
                </w:tcPr>
                <w:p w14:paraId="313DE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5FA55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5AC75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采用利器盒收集后，暂存于专用的医疗废物桶内</w:t>
                  </w:r>
                </w:p>
              </w:tc>
              <w:tc>
                <w:tcPr>
                  <w:tcW w:w="334" w:type="pct"/>
                  <w:vMerge w:val="continue"/>
                  <w:tcBorders>
                    <w:tl2br w:val="nil"/>
                    <w:tr2bl w:val="nil"/>
                  </w:tcBorders>
                  <w:vAlign w:val="center"/>
                </w:tcPr>
                <w:p w14:paraId="65200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2760A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36E65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29F69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75C7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107EE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病理性废物</w:t>
                  </w:r>
                </w:p>
              </w:tc>
              <w:tc>
                <w:tcPr>
                  <w:tcW w:w="475" w:type="pct"/>
                  <w:vMerge w:val="continue"/>
                  <w:tcBorders>
                    <w:tl2br w:val="nil"/>
                    <w:tr2bl w:val="nil"/>
                  </w:tcBorders>
                  <w:vAlign w:val="center"/>
                </w:tcPr>
                <w:p w14:paraId="78C75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5A6F2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841-003-01</w:t>
                  </w:r>
                </w:p>
              </w:tc>
              <w:tc>
                <w:tcPr>
                  <w:tcW w:w="476" w:type="pct"/>
                  <w:vMerge w:val="continue"/>
                  <w:tcBorders>
                    <w:tl2br w:val="nil"/>
                    <w:tr2bl w:val="nil"/>
                  </w:tcBorders>
                  <w:vAlign w:val="center"/>
                </w:tcPr>
                <w:p w14:paraId="17C1C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29F4C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0F176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采用医疗废物包装袋收集后暂存于专用的医疗废物桶内</w:t>
                  </w:r>
                </w:p>
              </w:tc>
              <w:tc>
                <w:tcPr>
                  <w:tcW w:w="334" w:type="pct"/>
                  <w:vMerge w:val="continue"/>
                  <w:tcBorders>
                    <w:tl2br w:val="nil"/>
                    <w:tr2bl w:val="nil"/>
                  </w:tcBorders>
                  <w:vAlign w:val="center"/>
                </w:tcPr>
                <w:p w14:paraId="2096B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34A90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2A6A6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3C82A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26BC7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439AE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药理性废物</w:t>
                  </w:r>
                </w:p>
              </w:tc>
              <w:tc>
                <w:tcPr>
                  <w:tcW w:w="475" w:type="pct"/>
                  <w:vMerge w:val="continue"/>
                  <w:tcBorders>
                    <w:tl2br w:val="nil"/>
                    <w:tr2bl w:val="nil"/>
                  </w:tcBorders>
                  <w:vAlign w:val="center"/>
                </w:tcPr>
                <w:p w14:paraId="01897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35D3E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841-004-01</w:t>
                  </w:r>
                </w:p>
              </w:tc>
              <w:tc>
                <w:tcPr>
                  <w:tcW w:w="476" w:type="pct"/>
                  <w:vMerge w:val="continue"/>
                  <w:tcBorders>
                    <w:tl2br w:val="nil"/>
                    <w:tr2bl w:val="nil"/>
                  </w:tcBorders>
                  <w:vAlign w:val="center"/>
                </w:tcPr>
                <w:p w14:paraId="2A503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0CA21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7B4A91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采用医疗废物包装袋收集后</w:t>
                  </w:r>
                  <w:r>
                    <w:rPr>
                      <w:rFonts w:hint="eastAsia" w:cs="Times New Roman"/>
                      <w:b w:val="0"/>
                      <w:bCs w:val="0"/>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暂存于专用的医疗废物桶内</w:t>
                  </w:r>
                </w:p>
              </w:tc>
              <w:tc>
                <w:tcPr>
                  <w:tcW w:w="334" w:type="pct"/>
                  <w:vMerge w:val="continue"/>
                  <w:tcBorders>
                    <w:tl2br w:val="nil"/>
                    <w:tr2bl w:val="nil"/>
                  </w:tcBorders>
                  <w:vAlign w:val="center"/>
                </w:tcPr>
                <w:p w14:paraId="0DE91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5F98D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02F81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3A80E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4" w:type="pct"/>
                  <w:vMerge w:val="continue"/>
                  <w:tcBorders>
                    <w:tl2br w:val="nil"/>
                    <w:tr2bl w:val="nil"/>
                  </w:tcBorders>
                  <w:vAlign w:val="center"/>
                </w:tcPr>
                <w:p w14:paraId="23EEA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476" w:type="pct"/>
                  <w:tcBorders>
                    <w:tl2br w:val="nil"/>
                    <w:tr2bl w:val="nil"/>
                  </w:tcBorders>
                  <w:shd w:val="clear" w:color="auto" w:fill="auto"/>
                  <w:vAlign w:val="center"/>
                </w:tcPr>
                <w:p w14:paraId="76929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化学性废物</w:t>
                  </w:r>
                </w:p>
              </w:tc>
              <w:tc>
                <w:tcPr>
                  <w:tcW w:w="475" w:type="pct"/>
                  <w:vMerge w:val="continue"/>
                  <w:tcBorders>
                    <w:tl2br w:val="nil"/>
                    <w:tr2bl w:val="nil"/>
                  </w:tcBorders>
                  <w:vAlign w:val="center"/>
                </w:tcPr>
                <w:p w14:paraId="4B30B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719" w:type="pct"/>
                  <w:tcBorders>
                    <w:tl2br w:val="nil"/>
                    <w:tr2bl w:val="nil"/>
                  </w:tcBorders>
                  <w:shd w:val="clear" w:color="auto" w:fill="auto"/>
                  <w:vAlign w:val="center"/>
                </w:tcPr>
                <w:p w14:paraId="40E1E7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841-005-01</w:t>
                  </w:r>
                </w:p>
              </w:tc>
              <w:tc>
                <w:tcPr>
                  <w:tcW w:w="476" w:type="pct"/>
                  <w:vMerge w:val="continue"/>
                  <w:tcBorders>
                    <w:tl2br w:val="nil"/>
                    <w:tr2bl w:val="nil"/>
                  </w:tcBorders>
                  <w:vAlign w:val="center"/>
                </w:tcPr>
                <w:p w14:paraId="65FB16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1C84B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37F8B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收集于容器中暂存于专用的医疗废物桶内</w:t>
                  </w:r>
                </w:p>
              </w:tc>
              <w:tc>
                <w:tcPr>
                  <w:tcW w:w="334" w:type="pct"/>
                  <w:vMerge w:val="continue"/>
                  <w:tcBorders>
                    <w:tl2br w:val="nil"/>
                    <w:tr2bl w:val="nil"/>
                  </w:tcBorders>
                  <w:vAlign w:val="center"/>
                </w:tcPr>
                <w:p w14:paraId="3D171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289A4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r w14:paraId="46773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tcBorders>
                    <w:tl2br w:val="nil"/>
                    <w:tr2bl w:val="nil"/>
                  </w:tcBorders>
                  <w:vAlign w:val="center"/>
                </w:tcPr>
                <w:p w14:paraId="50A0B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50" w:type="pct"/>
                  <w:gridSpan w:val="2"/>
                  <w:tcBorders>
                    <w:tl2br w:val="nil"/>
                    <w:tr2bl w:val="nil"/>
                  </w:tcBorders>
                  <w:vAlign w:val="center"/>
                </w:tcPr>
                <w:p w14:paraId="66442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废紫外线灯管</w:t>
                  </w:r>
                </w:p>
              </w:tc>
              <w:tc>
                <w:tcPr>
                  <w:tcW w:w="475" w:type="pct"/>
                  <w:tcBorders>
                    <w:tl2br w:val="nil"/>
                    <w:tr2bl w:val="nil"/>
                  </w:tcBorders>
                  <w:vAlign w:val="center"/>
                </w:tcPr>
                <w:p w14:paraId="64820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HW29</w:t>
                  </w:r>
                </w:p>
              </w:tc>
              <w:tc>
                <w:tcPr>
                  <w:tcW w:w="719" w:type="pct"/>
                  <w:tcBorders>
                    <w:tl2br w:val="nil"/>
                    <w:tr2bl w:val="nil"/>
                  </w:tcBorders>
                  <w:vAlign w:val="center"/>
                </w:tcPr>
                <w:p w14:paraId="13C98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900-023-29</w:t>
                  </w:r>
                </w:p>
              </w:tc>
              <w:tc>
                <w:tcPr>
                  <w:tcW w:w="476" w:type="pct"/>
                  <w:vMerge w:val="continue"/>
                  <w:tcBorders>
                    <w:tl2br w:val="nil"/>
                    <w:tr2bl w:val="nil"/>
                  </w:tcBorders>
                  <w:vAlign w:val="center"/>
                </w:tcPr>
                <w:p w14:paraId="7F5D5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39" w:type="pct"/>
                  <w:vMerge w:val="continue"/>
                  <w:tcBorders>
                    <w:tl2br w:val="nil"/>
                    <w:tr2bl w:val="nil"/>
                  </w:tcBorders>
                  <w:vAlign w:val="center"/>
                </w:tcPr>
                <w:p w14:paraId="278C4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911" w:type="pct"/>
                  <w:tcBorders>
                    <w:tl2br w:val="nil"/>
                    <w:tr2bl w:val="nil"/>
                  </w:tcBorders>
                  <w:vAlign w:val="center"/>
                </w:tcPr>
                <w:p w14:paraId="38DBB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暂存于危废袋内，放置于收集桶内</w:t>
                  </w:r>
                </w:p>
              </w:tc>
              <w:tc>
                <w:tcPr>
                  <w:tcW w:w="334" w:type="pct"/>
                  <w:vMerge w:val="continue"/>
                  <w:tcBorders>
                    <w:tl2br w:val="nil"/>
                    <w:tr2bl w:val="nil"/>
                  </w:tcBorders>
                  <w:vAlign w:val="center"/>
                </w:tcPr>
                <w:p w14:paraId="447BF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c>
                <w:tcPr>
                  <w:tcW w:w="319" w:type="pct"/>
                  <w:vMerge w:val="continue"/>
                  <w:tcBorders>
                    <w:tl2br w:val="nil"/>
                    <w:tr2bl w:val="nil"/>
                  </w:tcBorders>
                  <w:vAlign w:val="center"/>
                </w:tcPr>
                <w:p w14:paraId="044E6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p>
              </w:tc>
            </w:tr>
          </w:tbl>
          <w:p w14:paraId="455A83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经上述措施妥善处置后，固体废物对环境的影响较小。</w:t>
            </w:r>
          </w:p>
          <w:p w14:paraId="4109D9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环境风险</w:t>
            </w:r>
          </w:p>
          <w:p w14:paraId="4D82623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4.2.</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highlight w:val="none"/>
                <w:lang w:eastAsia="zh-CN"/>
                <w14:textFill>
                  <w14:solidFill>
                    <w14:schemeClr w14:val="tx1"/>
                  </w14:solidFill>
                </w14:textFill>
              </w:rPr>
              <w:t>.1 环境风险物质及风险源分布</w:t>
            </w:r>
          </w:p>
          <w:p w14:paraId="227E9D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按照《建设项目环境风险评价技术导则》（HJ169-2018）附录中附录B中</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附录A 突发环境事件风险物质及临界量清单</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。项目风险物质及储存量见下表。</w:t>
            </w:r>
          </w:p>
          <w:p w14:paraId="60B579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14</w:t>
            </w:r>
            <w:r>
              <w:rPr>
                <w:rFonts w:hint="default" w:ascii="Times New Roman" w:hAnsi="Times New Roman" w:cs="Times New Roman"/>
                <w:b/>
                <w:bCs/>
                <w:color w:val="000000" w:themeColor="text1"/>
                <w:sz w:val="24"/>
                <w:highlight w:val="none"/>
                <w:lang w:eastAsia="zh-CN"/>
                <w14:textFill>
                  <w14:solidFill>
                    <w14:schemeClr w14:val="tx1"/>
                  </w14:solidFill>
                </w14:textFill>
              </w:rPr>
              <w:t xml:space="preserve"> 项目风险物质储存情况见下表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3123"/>
              <w:gridCol w:w="2081"/>
              <w:gridCol w:w="2081"/>
            </w:tblGrid>
            <w:tr w14:paraId="0A0ED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4AEBB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序号</w:t>
                  </w:r>
                </w:p>
              </w:tc>
              <w:tc>
                <w:tcPr>
                  <w:tcW w:w="1876" w:type="pct"/>
                  <w:tcBorders>
                    <w:tl2br w:val="nil"/>
                    <w:tr2bl w:val="nil"/>
                  </w:tcBorders>
                  <w:vAlign w:val="center"/>
                </w:tcPr>
                <w:p w14:paraId="613805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名称</w:t>
                  </w:r>
                </w:p>
              </w:tc>
              <w:tc>
                <w:tcPr>
                  <w:tcW w:w="1250" w:type="pct"/>
                  <w:tcBorders>
                    <w:tl2br w:val="nil"/>
                    <w:tr2bl w:val="nil"/>
                  </w:tcBorders>
                  <w:vAlign w:val="center"/>
                </w:tcPr>
                <w:p w14:paraId="1D36F3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储存位置</w:t>
                  </w:r>
                </w:p>
              </w:tc>
              <w:tc>
                <w:tcPr>
                  <w:tcW w:w="1250" w:type="pct"/>
                  <w:tcBorders>
                    <w:tl2br w:val="nil"/>
                    <w:tr2bl w:val="nil"/>
                  </w:tcBorders>
                  <w:vAlign w:val="center"/>
                </w:tcPr>
                <w:p w14:paraId="0189F0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最大储存量（t）</w:t>
                  </w:r>
                </w:p>
              </w:tc>
            </w:tr>
            <w:tr w14:paraId="72B5A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654A11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876" w:type="pct"/>
                  <w:tcBorders>
                    <w:tl2br w:val="nil"/>
                    <w:tr2bl w:val="nil"/>
                  </w:tcBorders>
                  <w:vAlign w:val="center"/>
                </w:tcPr>
                <w:p w14:paraId="46AE81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二氧化氯</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消毒片</w:t>
                  </w:r>
                </w:p>
              </w:tc>
              <w:tc>
                <w:tcPr>
                  <w:tcW w:w="1250" w:type="pct"/>
                  <w:tcBorders>
                    <w:tl2br w:val="nil"/>
                    <w:tr2bl w:val="nil"/>
                  </w:tcBorders>
                  <w:vAlign w:val="center"/>
                </w:tcPr>
                <w:p w14:paraId="0AEB96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59732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0.0001</w:t>
                  </w:r>
                </w:p>
              </w:tc>
            </w:tr>
            <w:tr w14:paraId="2E1EB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7CBB100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876" w:type="pct"/>
                  <w:tcBorders>
                    <w:tl2br w:val="nil"/>
                    <w:tr2bl w:val="nil"/>
                  </w:tcBorders>
                  <w:vAlign w:val="center"/>
                </w:tcPr>
                <w:p w14:paraId="3D2A99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color w:val="auto"/>
                      <w:sz w:val="21"/>
                      <w:lang w:val="en-US" w:eastAsia="zh-CN" w:bidi="ar-SA"/>
                    </w:rPr>
                    <w:t>三氯异氰尿酸消毒片</w:t>
                  </w:r>
                </w:p>
              </w:tc>
              <w:tc>
                <w:tcPr>
                  <w:tcW w:w="1250" w:type="pct"/>
                  <w:tcBorders>
                    <w:tl2br w:val="nil"/>
                    <w:tr2bl w:val="nil"/>
                  </w:tcBorders>
                  <w:vAlign w:val="center"/>
                </w:tcPr>
                <w:p w14:paraId="405F02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69FCC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0.001</w:t>
                  </w:r>
                </w:p>
              </w:tc>
            </w:tr>
            <w:tr w14:paraId="5C100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23" w:type="pct"/>
                  <w:tcBorders>
                    <w:tl2br w:val="nil"/>
                    <w:tr2bl w:val="nil"/>
                  </w:tcBorders>
                  <w:vAlign w:val="center"/>
                </w:tcPr>
                <w:p w14:paraId="22625F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876" w:type="pct"/>
                  <w:tcBorders>
                    <w:tl2br w:val="nil"/>
                    <w:tr2bl w:val="nil"/>
                  </w:tcBorders>
                  <w:vAlign w:val="center"/>
                </w:tcPr>
                <w:p w14:paraId="2DF1CE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84消毒液（次氯酸钠）</w:t>
                  </w:r>
                </w:p>
              </w:tc>
              <w:tc>
                <w:tcPr>
                  <w:tcW w:w="1250" w:type="pct"/>
                  <w:tcBorders>
                    <w:tl2br w:val="nil"/>
                    <w:tr2bl w:val="nil"/>
                  </w:tcBorders>
                  <w:vAlign w:val="center"/>
                </w:tcPr>
                <w:p w14:paraId="1AFAAA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61470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r>
            <w:tr w14:paraId="5B521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vAlign w:val="center"/>
                </w:tcPr>
                <w:p w14:paraId="3C618C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876" w:type="pct"/>
                  <w:tcBorders>
                    <w:tl2br w:val="nil"/>
                    <w:tr2bl w:val="nil"/>
                  </w:tcBorders>
                  <w:vAlign w:val="center"/>
                </w:tcPr>
                <w:p w14:paraId="282776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1250" w:type="pct"/>
                  <w:tcBorders>
                    <w:tl2br w:val="nil"/>
                    <w:tr2bl w:val="nil"/>
                  </w:tcBorders>
                  <w:vAlign w:val="center"/>
                </w:tcPr>
                <w:p w14:paraId="231B5E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2081" w:type="dxa"/>
                  <w:tcBorders>
                    <w:tl2br w:val="nil"/>
                    <w:tr2bl w:val="nil"/>
                  </w:tcBorders>
                  <w:vAlign w:val="center"/>
                </w:tcPr>
                <w:p w14:paraId="5E1BF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0.04125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r>
          </w:tbl>
          <w:p w14:paraId="3E13D51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（1）临界量Q值计算</w:t>
            </w:r>
          </w:p>
          <w:p w14:paraId="48EC2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根据《建设项目环境风险评价技术导则》（HJ169-2018），计算Q值。Q值计算有两种情况：当只涉及一种危险物质时，计算该物质的总量及与其临界量比值，即为Q</w:t>
            </w:r>
            <w:r>
              <w:rPr>
                <w:rFonts w:hint="eastAsia"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eastAsia="zh-CN"/>
                <w14:textFill>
                  <w14:solidFill>
                    <w14:schemeClr w14:val="tx1"/>
                  </w14:solidFill>
                </w14:textFill>
              </w:rPr>
              <w:t>当存在多种危险物质时，则按下式计算物质总量与其临界量比值</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（Q）：</w:t>
            </w:r>
          </w:p>
          <w:p w14:paraId="4181678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drawing>
                <wp:inline distT="0" distB="0" distL="114300" distR="114300">
                  <wp:extent cx="2457450" cy="371475"/>
                  <wp:effectExtent l="0" t="0" r="0" b="9525"/>
                  <wp:docPr id="16" name="图片 16" descr="dd81be10106d6cb56e6edfe6fdc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81be10106d6cb56e6edfe6fdc0d04"/>
                          <pic:cNvPicPr>
                            <a:picLocks noChangeAspect="1"/>
                          </pic:cNvPicPr>
                        </pic:nvPicPr>
                        <pic:blipFill>
                          <a:blip r:embed="rId31"/>
                          <a:stretch>
                            <a:fillRect/>
                          </a:stretch>
                        </pic:blipFill>
                        <pic:spPr>
                          <a:xfrm>
                            <a:off x="0" y="0"/>
                            <a:ext cx="2457450" cy="371475"/>
                          </a:xfrm>
                          <a:prstGeom prst="rect">
                            <a:avLst/>
                          </a:prstGeom>
                        </pic:spPr>
                      </pic:pic>
                    </a:graphicData>
                  </a:graphic>
                </wp:inline>
              </w:drawing>
            </w:r>
          </w:p>
          <w:p w14:paraId="3DB65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式中：ql，q2，…，qn—每种危险物质的最大存在总量，t</w:t>
            </w:r>
            <w:r>
              <w:rPr>
                <w:rFonts w:hint="eastAsia" w:cs="Times New Roman"/>
                <w:b w:val="0"/>
                <w:bCs/>
                <w:color w:val="000000" w:themeColor="text1"/>
                <w:sz w:val="24"/>
                <w:szCs w:val="24"/>
                <w:highlight w:val="none"/>
                <w:lang w:val="en-US" w:eastAsia="zh-CN"/>
                <w14:textFill>
                  <w14:solidFill>
                    <w14:schemeClr w14:val="tx1"/>
                  </w14:solidFill>
                </w14:textFill>
              </w:rPr>
              <w:t>；</w:t>
            </w:r>
          </w:p>
          <w:p w14:paraId="071B54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Q1，Q2，…，Qn—每种危险物质的临界量，t。</w:t>
            </w:r>
          </w:p>
          <w:p w14:paraId="3E6007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项目风险物质临界量比值Q详见下表：</w:t>
            </w:r>
          </w:p>
          <w:p w14:paraId="5DF9A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表4.2-</w:t>
            </w:r>
            <w:r>
              <w:rPr>
                <w:rFonts w:hint="eastAsia" w:cs="Times New Roman"/>
                <w:b/>
                <w:bCs/>
                <w:color w:val="000000" w:themeColor="text1"/>
                <w:sz w:val="24"/>
                <w:highlight w:val="none"/>
                <w:lang w:val="en-US" w:eastAsia="zh-CN"/>
                <w14:textFill>
                  <w14:solidFill>
                    <w14:schemeClr w14:val="tx1"/>
                  </w14:solidFill>
                </w14:textFill>
              </w:rPr>
              <w:t>15</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环境风险物质单元、设施及物质情况</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1386"/>
              <w:gridCol w:w="1386"/>
              <w:gridCol w:w="1390"/>
              <w:gridCol w:w="1389"/>
            </w:tblGrid>
            <w:tr w14:paraId="1AB41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vAlign w:val="center"/>
                </w:tcPr>
                <w:p w14:paraId="525784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物质名称</w:t>
                  </w:r>
                </w:p>
              </w:tc>
              <w:tc>
                <w:tcPr>
                  <w:tcW w:w="832" w:type="pct"/>
                  <w:tcBorders>
                    <w:tl2br w:val="nil"/>
                    <w:tr2bl w:val="nil"/>
                  </w:tcBorders>
                  <w:vAlign w:val="center"/>
                </w:tcPr>
                <w:p w14:paraId="6841A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事故类型</w:t>
                  </w:r>
                </w:p>
              </w:tc>
              <w:tc>
                <w:tcPr>
                  <w:tcW w:w="832" w:type="pct"/>
                  <w:tcBorders>
                    <w:tl2br w:val="nil"/>
                    <w:tr2bl w:val="nil"/>
                  </w:tcBorders>
                  <w:vAlign w:val="center"/>
                </w:tcPr>
                <w:p w14:paraId="6A37D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最大储存量q（t）</w:t>
                  </w:r>
                </w:p>
              </w:tc>
              <w:tc>
                <w:tcPr>
                  <w:tcW w:w="835" w:type="pct"/>
                  <w:tcBorders>
                    <w:tl2br w:val="nil"/>
                    <w:tr2bl w:val="nil"/>
                  </w:tcBorders>
                  <w:vAlign w:val="center"/>
                </w:tcPr>
                <w:p w14:paraId="3FA98A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临界量Q（t）</w:t>
                  </w:r>
                </w:p>
              </w:tc>
              <w:tc>
                <w:tcPr>
                  <w:tcW w:w="834" w:type="pct"/>
                  <w:tcBorders>
                    <w:tl2br w:val="nil"/>
                    <w:tr2bl w:val="nil"/>
                  </w:tcBorders>
                  <w:vAlign w:val="center"/>
                </w:tcPr>
                <w:p w14:paraId="493934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q/Q</w:t>
                  </w:r>
                </w:p>
              </w:tc>
            </w:tr>
            <w:tr w14:paraId="626AC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0CB3C3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二氧化氯</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消毒片</w:t>
                  </w:r>
                </w:p>
              </w:tc>
              <w:tc>
                <w:tcPr>
                  <w:tcW w:w="832" w:type="pct"/>
                  <w:tcBorders>
                    <w:tl2br w:val="nil"/>
                    <w:tr2bl w:val="nil"/>
                  </w:tcBorders>
                  <w:vAlign w:val="center"/>
                </w:tcPr>
                <w:p w14:paraId="5949B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75EC2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0.0001</w:t>
                  </w:r>
                </w:p>
              </w:tc>
              <w:tc>
                <w:tcPr>
                  <w:tcW w:w="835" w:type="pct"/>
                  <w:tcBorders>
                    <w:tl2br w:val="nil"/>
                    <w:tr2bl w:val="nil"/>
                  </w:tcBorders>
                  <w:vAlign w:val="center"/>
                </w:tcPr>
                <w:p w14:paraId="2EE77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0.5</w:t>
                  </w:r>
                </w:p>
              </w:tc>
              <w:tc>
                <w:tcPr>
                  <w:tcW w:w="1389" w:type="dxa"/>
                  <w:tcBorders>
                    <w:tl2br w:val="nil"/>
                    <w:tr2bl w:val="nil"/>
                  </w:tcBorders>
                  <w:vAlign w:val="center"/>
                </w:tcPr>
                <w:p w14:paraId="22DCA962">
                  <w:pPr>
                    <w:bidi w:val="0"/>
                    <w:jc w:val="center"/>
                    <w:rPr>
                      <w:rFonts w:hint="default"/>
                      <w:lang w:val="en-US" w:eastAsia="zh-CN"/>
                    </w:rPr>
                  </w:pPr>
                  <w:r>
                    <w:rPr>
                      <w:rFonts w:hint="eastAsia"/>
                      <w:lang w:val="en-US" w:eastAsia="zh-CN"/>
                    </w:rPr>
                    <w:t>0.0002</w:t>
                  </w:r>
                </w:p>
              </w:tc>
            </w:tr>
            <w:tr w14:paraId="7FE60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49E30E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color w:val="auto"/>
                      <w:sz w:val="21"/>
                      <w:lang w:val="en-US" w:eastAsia="zh-CN" w:bidi="ar-SA"/>
                    </w:rPr>
                    <w:t>三氯异氰尿酸消毒片</w:t>
                  </w:r>
                </w:p>
              </w:tc>
              <w:tc>
                <w:tcPr>
                  <w:tcW w:w="832" w:type="pct"/>
                  <w:tcBorders>
                    <w:tl2br w:val="nil"/>
                    <w:tr2bl w:val="nil"/>
                  </w:tcBorders>
                  <w:vAlign w:val="center"/>
                </w:tcPr>
                <w:p w14:paraId="0B64D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2B91A8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0.001</w:t>
                  </w:r>
                </w:p>
              </w:tc>
              <w:tc>
                <w:tcPr>
                  <w:tcW w:w="835" w:type="pct"/>
                  <w:tcBorders>
                    <w:tl2br w:val="nil"/>
                    <w:tr2bl w:val="nil"/>
                  </w:tcBorders>
                  <w:vAlign w:val="center"/>
                </w:tcPr>
                <w:p w14:paraId="4D1513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389" w:type="dxa"/>
                  <w:tcBorders>
                    <w:tl2br w:val="nil"/>
                    <w:tr2bl w:val="nil"/>
                  </w:tcBorders>
                  <w:vAlign w:val="center"/>
                </w:tcPr>
                <w:p w14:paraId="6ADB0E82">
                  <w:pPr>
                    <w:bidi w:val="0"/>
                    <w:jc w:val="center"/>
                    <w:rPr>
                      <w:rFonts w:hint="default"/>
                      <w:lang w:val="en-US" w:eastAsia="zh-CN"/>
                    </w:rPr>
                  </w:pPr>
                  <w:r>
                    <w:rPr>
                      <w:rFonts w:hint="eastAsia"/>
                      <w:lang w:val="en-US" w:eastAsia="zh-CN"/>
                    </w:rPr>
                    <w:t>0.0002</w:t>
                  </w:r>
                </w:p>
              </w:tc>
            </w:tr>
            <w:tr w14:paraId="79FF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587F9D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84消毒液（次氯酸钠）</w:t>
                  </w:r>
                </w:p>
              </w:tc>
              <w:tc>
                <w:tcPr>
                  <w:tcW w:w="832" w:type="pct"/>
                  <w:tcBorders>
                    <w:tl2br w:val="nil"/>
                    <w:tr2bl w:val="nil"/>
                  </w:tcBorders>
                  <w:vAlign w:val="center"/>
                </w:tcPr>
                <w:p w14:paraId="01DE8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有毒</w:t>
                  </w:r>
                </w:p>
              </w:tc>
              <w:tc>
                <w:tcPr>
                  <w:tcW w:w="832" w:type="pct"/>
                  <w:tcBorders>
                    <w:tl2br w:val="nil"/>
                    <w:tr2bl w:val="nil"/>
                  </w:tcBorders>
                  <w:vAlign w:val="center"/>
                </w:tcPr>
                <w:p w14:paraId="5F78D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1625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c>
                <w:tcPr>
                  <w:tcW w:w="835" w:type="pct"/>
                  <w:tcBorders>
                    <w:tl2br w:val="nil"/>
                    <w:tr2bl w:val="nil"/>
                  </w:tcBorders>
                  <w:vAlign w:val="center"/>
                </w:tcPr>
                <w:p w14:paraId="53D120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1389" w:type="dxa"/>
                  <w:tcBorders>
                    <w:tl2br w:val="nil"/>
                    <w:tr2bl w:val="nil"/>
                  </w:tcBorders>
                  <w:vAlign w:val="center"/>
                </w:tcPr>
                <w:p w14:paraId="02997F19">
                  <w:pPr>
                    <w:bidi w:val="0"/>
                    <w:jc w:val="center"/>
                    <w:rPr>
                      <w:rFonts w:hint="default"/>
                      <w:lang w:val="en-US" w:eastAsia="zh-CN"/>
                    </w:rPr>
                  </w:pPr>
                  <w:r>
                    <w:rPr>
                      <w:rFonts w:hint="eastAsia"/>
                      <w:lang w:val="en-US" w:eastAsia="zh-CN"/>
                    </w:rPr>
                    <w:t>0.0000325</w:t>
                  </w:r>
                </w:p>
              </w:tc>
            </w:tr>
            <w:tr w14:paraId="686EE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4" w:type="pct"/>
                  <w:tcBorders>
                    <w:tl2br w:val="nil"/>
                    <w:tr2bl w:val="nil"/>
                  </w:tcBorders>
                  <w:shd w:val="clear" w:color="auto" w:fill="auto"/>
                  <w:vAlign w:val="center"/>
                </w:tcPr>
                <w:p w14:paraId="0979AF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832" w:type="pct"/>
                  <w:tcBorders>
                    <w:tl2br w:val="nil"/>
                    <w:tr2bl w:val="nil"/>
                  </w:tcBorders>
                  <w:vAlign w:val="center"/>
                </w:tcPr>
                <w:p w14:paraId="6830C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泄露、火灾</w:t>
                  </w:r>
                </w:p>
              </w:tc>
              <w:tc>
                <w:tcPr>
                  <w:tcW w:w="832" w:type="pct"/>
                  <w:tcBorders>
                    <w:tl2br w:val="nil"/>
                    <w:tr2bl w:val="nil"/>
                  </w:tcBorders>
                  <w:vAlign w:val="center"/>
                </w:tcPr>
                <w:p w14:paraId="6DAC9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0.04125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（折纯）</w:t>
                  </w:r>
                </w:p>
              </w:tc>
              <w:tc>
                <w:tcPr>
                  <w:tcW w:w="835" w:type="pct"/>
                  <w:tcBorders>
                    <w:tl2br w:val="nil"/>
                    <w:tr2bl w:val="nil"/>
                  </w:tcBorders>
                  <w:vAlign w:val="center"/>
                </w:tcPr>
                <w:p w14:paraId="08B53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500</w:t>
                  </w:r>
                </w:p>
              </w:tc>
              <w:tc>
                <w:tcPr>
                  <w:tcW w:w="1389" w:type="dxa"/>
                  <w:tcBorders>
                    <w:tl2br w:val="nil"/>
                    <w:tr2bl w:val="nil"/>
                  </w:tcBorders>
                  <w:vAlign w:val="center"/>
                </w:tcPr>
                <w:p w14:paraId="7A4B2329">
                  <w:pPr>
                    <w:bidi w:val="0"/>
                    <w:jc w:val="center"/>
                    <w:rPr>
                      <w:rFonts w:hint="default"/>
                      <w:lang w:val="en-US" w:eastAsia="zh-CN"/>
                    </w:rPr>
                  </w:pPr>
                  <w:r>
                    <w:rPr>
                      <w:rFonts w:hint="eastAsia"/>
                      <w:lang w:val="en-US" w:eastAsia="zh-CN"/>
                    </w:rPr>
                    <w:t>0.0000825</w:t>
                  </w:r>
                </w:p>
              </w:tc>
            </w:tr>
            <w:tr w14:paraId="167A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65" w:type="pct"/>
                  <w:gridSpan w:val="4"/>
                  <w:tcBorders>
                    <w:tl2br w:val="nil"/>
                    <w:tr2bl w:val="nil"/>
                  </w:tcBorders>
                  <w:vAlign w:val="center"/>
                </w:tcPr>
                <w:p w14:paraId="4CDF4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1389" w:type="dxa"/>
                  <w:tcBorders>
                    <w:tl2br w:val="nil"/>
                    <w:tr2bl w:val="nil"/>
                  </w:tcBorders>
                  <w:vAlign w:val="center"/>
                </w:tcPr>
                <w:p w14:paraId="3F0680D9">
                  <w:pPr>
                    <w:bidi w:val="0"/>
                    <w:jc w:val="center"/>
                    <w:rPr>
                      <w:rFonts w:hint="default"/>
                      <w:lang w:val="en-US" w:eastAsia="zh-CN"/>
                    </w:rPr>
                  </w:pPr>
                  <w:r>
                    <w:rPr>
                      <w:rFonts w:hint="eastAsia"/>
                      <w:lang w:val="en-US" w:eastAsia="zh-CN"/>
                    </w:rPr>
                    <w:t>0.000515</w:t>
                  </w:r>
                </w:p>
              </w:tc>
            </w:tr>
            <w:tr w14:paraId="0FB0C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79611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注：84消毒液的浓度在5.5%~6.5%，本次评价取6.5%进行折纯</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bl>
          <w:p w14:paraId="6AFBE9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由上表可知：项目危险物质最大储存量不超过临界量，未构成重大危险源</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Q&lt;1，风险潜势为I，仅进行简单分析并提出风险防控措施。</w:t>
            </w:r>
          </w:p>
          <w:p w14:paraId="0ACD72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（2）环境风险识别</w:t>
            </w:r>
          </w:p>
          <w:p w14:paraId="28660C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项目环境风险识别一览表见表4.2-1</w:t>
            </w:r>
            <w:r>
              <w:rPr>
                <w:rFonts w:hint="eastAsia" w:cs="Times New Roman"/>
                <w:b w:val="0"/>
                <w:bCs w:val="0"/>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229AF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表4.2-1</w:t>
            </w:r>
            <w:r>
              <w:rPr>
                <w:rFonts w:hint="eastAsia" w:cs="Times New Roman"/>
                <w:b/>
                <w:bCs/>
                <w:color w:val="000000" w:themeColor="text1"/>
                <w:sz w:val="24"/>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环境风险识别一览表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772"/>
              <w:gridCol w:w="2249"/>
              <w:gridCol w:w="2265"/>
            </w:tblGrid>
            <w:tr w14:paraId="44C1C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87" w:type="pct"/>
                  <w:gridSpan w:val="2"/>
                  <w:tcBorders>
                    <w:tl2br w:val="nil"/>
                    <w:tr2bl w:val="nil"/>
                  </w:tcBorders>
                  <w:vAlign w:val="center"/>
                </w:tcPr>
                <w:p w14:paraId="4B50E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风险设施</w:t>
                  </w:r>
                </w:p>
              </w:tc>
              <w:tc>
                <w:tcPr>
                  <w:tcW w:w="1351" w:type="pct"/>
                  <w:tcBorders>
                    <w:tl2br w:val="nil"/>
                    <w:tr2bl w:val="nil"/>
                  </w:tcBorders>
                  <w:vAlign w:val="center"/>
                </w:tcPr>
                <w:p w14:paraId="5266D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风险因素</w:t>
                  </w:r>
                </w:p>
              </w:tc>
              <w:tc>
                <w:tcPr>
                  <w:tcW w:w="1360" w:type="pct"/>
                  <w:tcBorders>
                    <w:tl2br w:val="nil"/>
                    <w:tr2bl w:val="nil"/>
                  </w:tcBorders>
                  <w:vAlign w:val="center"/>
                </w:tcPr>
                <w:p w14:paraId="4B628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风险类型及后果</w:t>
                  </w:r>
                </w:p>
              </w:tc>
            </w:tr>
            <w:tr w14:paraId="01FD3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pct"/>
                  <w:tcBorders>
                    <w:tl2br w:val="nil"/>
                    <w:tr2bl w:val="nil"/>
                  </w:tcBorders>
                  <w:vAlign w:val="center"/>
                </w:tcPr>
                <w:p w14:paraId="4C014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医院</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消毒设施</w:t>
                  </w:r>
                </w:p>
              </w:tc>
              <w:tc>
                <w:tcPr>
                  <w:tcW w:w="1064" w:type="pct"/>
                  <w:tcBorders>
                    <w:tl2br w:val="nil"/>
                    <w:tr2bl w:val="nil"/>
                  </w:tcBorders>
                  <w:vAlign w:val="center"/>
                </w:tcPr>
                <w:p w14:paraId="3576C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处理设施</w:t>
                  </w:r>
                </w:p>
              </w:tc>
              <w:tc>
                <w:tcPr>
                  <w:tcW w:w="1351" w:type="pct"/>
                  <w:tcBorders>
                    <w:tl2br w:val="nil"/>
                    <w:tr2bl w:val="nil"/>
                  </w:tcBorders>
                  <w:vAlign w:val="center"/>
                </w:tcPr>
                <w:p w14:paraId="7E434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停电、设备事故</w:t>
                  </w:r>
                </w:p>
              </w:tc>
              <w:tc>
                <w:tcPr>
                  <w:tcW w:w="1360" w:type="pct"/>
                  <w:tcBorders>
                    <w:tl2br w:val="nil"/>
                    <w:tr2bl w:val="nil"/>
                  </w:tcBorders>
                  <w:vAlign w:val="center"/>
                </w:tcPr>
                <w:p w14:paraId="2E8C7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医院污水超标排放</w:t>
                  </w:r>
                </w:p>
              </w:tc>
            </w:tr>
            <w:tr w14:paraId="28534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pct"/>
                  <w:tcBorders>
                    <w:tl2br w:val="nil"/>
                    <w:tr2bl w:val="nil"/>
                  </w:tcBorders>
                  <w:vAlign w:val="center"/>
                </w:tcPr>
                <w:p w14:paraId="11DFF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药房</w:t>
                  </w:r>
                </w:p>
              </w:tc>
              <w:tc>
                <w:tcPr>
                  <w:tcW w:w="1064" w:type="pct"/>
                  <w:tcBorders>
                    <w:tl2br w:val="nil"/>
                    <w:tr2bl w:val="nil"/>
                  </w:tcBorders>
                  <w:vAlign w:val="center"/>
                </w:tcPr>
                <w:p w14:paraId="3A4C4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二氧化氯消毒片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三氯异氰尿酸消毒片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84消毒液（次氯酸钠）</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医用酒精</w:t>
                  </w:r>
                </w:p>
              </w:tc>
              <w:tc>
                <w:tcPr>
                  <w:tcW w:w="1351" w:type="pct"/>
                  <w:tcBorders>
                    <w:tl2br w:val="nil"/>
                    <w:tr2bl w:val="nil"/>
                  </w:tcBorders>
                  <w:vAlign w:val="center"/>
                </w:tcPr>
                <w:p w14:paraId="477C7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贮存不当、容器破裂</w:t>
                  </w:r>
                </w:p>
              </w:tc>
              <w:tc>
                <w:tcPr>
                  <w:tcW w:w="1360" w:type="pct"/>
                  <w:tcBorders>
                    <w:tl2br w:val="nil"/>
                    <w:tr2bl w:val="nil"/>
                  </w:tcBorders>
                  <w:vAlign w:val="center"/>
                </w:tcPr>
                <w:p w14:paraId="09297E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地表流经污染环境、对员工产生健康危害</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容易引发火灾，对员工健康产生危害</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遇明火，容易引发爆炸</w:t>
                  </w:r>
                </w:p>
              </w:tc>
            </w:tr>
          </w:tbl>
          <w:p w14:paraId="341239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4.2.5.2 环境风险防范措施</w:t>
            </w:r>
          </w:p>
          <w:p w14:paraId="1F68AE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（1）医疗废水事故排放防范及应急措施</w:t>
            </w:r>
          </w:p>
          <w:p w14:paraId="18232A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为减轻污染负荷，应避免出现医疗废水未消毒排放情况，项目采取以下防范及应急措施：</w:t>
            </w:r>
          </w:p>
          <w:p w14:paraId="66FF56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①加强项目消毒设备、管线、阀门等设备元器件的维护保养，对系统的薄弱环节，加强检查、维护保养，及时更新。对处理设备故障要及时维修处理，防止因处理设备故障维修处理不及时而造成污水超标排放。</w:t>
            </w:r>
          </w:p>
          <w:p w14:paraId="67B3EF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②加强对操作人员的岗位培训，建立健全的环保管理机制和各项环保规章制度，落实岗位环保责任制，加强环境风险防范工作，防止事故排放导致环境问题。  </w:t>
            </w:r>
          </w:p>
          <w:p w14:paraId="7C46DD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③</w:t>
            </w:r>
            <w:r>
              <w:rPr>
                <w:rFonts w:hint="eastAsia" w:cs="Times New Roman"/>
                <w:b w:val="0"/>
                <w:bCs w:val="0"/>
                <w:color w:val="000000" w:themeColor="text1"/>
                <w:sz w:val="24"/>
                <w:highlight w:val="none"/>
                <w:lang w:val="en-US" w:eastAsia="zh-CN"/>
                <w14:textFill>
                  <w14:solidFill>
                    <w14:schemeClr w14:val="tx1"/>
                  </w14:solidFill>
                </w14:textFill>
              </w:rPr>
              <w:t>消毒设施设置一个收集桶，</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有效容积为1m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，若</w:t>
            </w:r>
            <w:r>
              <w:rPr>
                <w:rFonts w:hint="eastAsia" w:cs="Times New Roman"/>
                <w:b w:val="0"/>
                <w:bCs w:val="0"/>
                <w:color w:val="000000" w:themeColor="text1"/>
                <w:sz w:val="24"/>
                <w:highlight w:val="none"/>
                <w:lang w:val="en-US" w:eastAsia="zh-CN"/>
                <w14:textFill>
                  <w14:solidFill>
                    <w14:schemeClr w14:val="tx1"/>
                  </w14:solidFill>
                </w14:textFill>
              </w:rPr>
              <w:t>消毒设施</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发生突发情况下，可将项目废水收集至收集桶，待事故结束后再分批次将收集内的污废水引入</w:t>
            </w:r>
            <w:r>
              <w:rPr>
                <w:rFonts w:hint="eastAsia" w:cs="Times New Roman"/>
                <w:b w:val="0"/>
                <w:bCs w:val="0"/>
                <w:color w:val="000000" w:themeColor="text1"/>
                <w:sz w:val="24"/>
                <w:highlight w:val="none"/>
                <w:lang w:val="en-US" w:eastAsia="zh-CN"/>
                <w14:textFill>
                  <w14:solidFill>
                    <w14:schemeClr w14:val="tx1"/>
                  </w14:solidFill>
                </w14:textFill>
              </w:rPr>
              <w:t>消毒设施</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进行处理，直到事故解除。</w:t>
            </w:r>
          </w:p>
          <w:p w14:paraId="7C1384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（2）医疗废物收集、贮存和运输风险防范措施</w:t>
            </w:r>
          </w:p>
          <w:p w14:paraId="75DF31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运营期产生的医疗废物，根据《国家危险废物名录》、《医疗废物分类目录》等相关规定，合理分类并严格按照有关规定进行运转及暂时存放前提下，项目医疗废物经预消毒后统一交由有资质的单位集中处置，不会对周围环境产生大的影响。</w:t>
            </w:r>
          </w:p>
          <w:p w14:paraId="5F30E4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医院设置负责医疗废物管理的监控部门或者专（兼）职人员，负责检查、督促落实本单位医疗废物的管理工作，建立医疗废物管理责任制</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制定并落实相应的规章制度、工作程序和要求、有关人员的工作职责;对本单位从事医疗废物收集、运送、贮存等工作的人员和管理人员，进行相关法律和专业技术、安全防护以及紧急处理等知识的培训。</w:t>
            </w:r>
          </w:p>
          <w:p w14:paraId="2EB9AF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中华人民共和国卫生部48号令《医院感染管理办法》医院感染管理部门的职责中对医疗废物管理工作提供指导的要求，如发生医疗废物流失、泄漏、扩散和意外事故时，应当按照以下要求及时采取紧急处理措施：</w:t>
            </w:r>
          </w:p>
          <w:p w14:paraId="00651C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①医院发生医疗废物流失、泄漏、扩散和意外事故时，应当在48小时内向当地相关部门报告</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发生因医疗废物管理不当导致1人以上死亡或者3人以上健康损害，需要对致病人员提供医疗救护和现场救援时，应当在24小时内向相关部门报告，并按以下规定采取紧急处理措施：</w:t>
            </w:r>
          </w:p>
          <w:p w14:paraId="00AE59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A、确定流失、泄漏、扩散的医疗废物的类别、数量、发生时间、影响范围及严重程度</w:t>
            </w:r>
            <w:r>
              <w:rPr>
                <w:rFonts w:hint="eastAsia" w:cs="Times New Roman"/>
                <w:b w:val="0"/>
                <w:bCs w:val="0"/>
                <w:color w:val="000000" w:themeColor="text1"/>
                <w:sz w:val="24"/>
                <w:highlight w:val="none"/>
                <w:lang w:val="en-US" w:eastAsia="zh-CN"/>
                <w14:textFill>
                  <w14:solidFill>
                    <w14:schemeClr w14:val="tx1"/>
                  </w14:solidFill>
                </w14:textFill>
              </w:rPr>
              <w:t>；</w:t>
            </w:r>
          </w:p>
          <w:p w14:paraId="474D68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B、组织有关人员尽快按照应急方案，对发生医疗废物泄漏、扩散的现场进行处理</w:t>
            </w:r>
            <w:r>
              <w:rPr>
                <w:rFonts w:hint="eastAsia" w:cs="Times New Roman"/>
                <w:b w:val="0"/>
                <w:bCs w:val="0"/>
                <w:color w:val="000000" w:themeColor="text1"/>
                <w:sz w:val="24"/>
                <w:highlight w:val="none"/>
                <w:lang w:val="en-US" w:eastAsia="zh-CN"/>
                <w14:textFill>
                  <w14:solidFill>
                    <w14:schemeClr w14:val="tx1"/>
                  </w14:solidFill>
                </w14:textFill>
              </w:rPr>
              <w:t>；</w:t>
            </w:r>
          </w:p>
          <w:p w14:paraId="3B433A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C、对被医疗废物污染的区域进行处理时，应当尽可能减少对病例、医务人员、其它现场人员及环境的影响</w:t>
            </w:r>
            <w:r>
              <w:rPr>
                <w:rFonts w:hint="eastAsia" w:cs="Times New Roman"/>
                <w:b w:val="0"/>
                <w:bCs w:val="0"/>
                <w:color w:val="000000" w:themeColor="text1"/>
                <w:sz w:val="24"/>
                <w:highlight w:val="none"/>
                <w:lang w:val="en-US" w:eastAsia="zh-CN"/>
                <w14:textFill>
                  <w14:solidFill>
                    <w14:schemeClr w14:val="tx1"/>
                  </w14:solidFill>
                </w14:textFill>
              </w:rPr>
              <w:t>；</w:t>
            </w:r>
          </w:p>
          <w:p w14:paraId="0407E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D、采取适当的安全处置措施，对泄漏物及受污染的区域、物品进行消毒或者其他无害化处置，污染或可疑污染处用2000mg含氯消毒剂喷洒消毒，停留30 分钟后再做处理。必要时封锁污染区域，以防扩大污染</w:t>
            </w:r>
            <w:r>
              <w:rPr>
                <w:rFonts w:hint="eastAsia" w:cs="Times New Roman"/>
                <w:b w:val="0"/>
                <w:bCs w:val="0"/>
                <w:color w:val="000000" w:themeColor="text1"/>
                <w:sz w:val="24"/>
                <w:highlight w:val="none"/>
                <w:lang w:val="en-US" w:eastAsia="zh-CN"/>
                <w14:textFill>
                  <w14:solidFill>
                    <w14:schemeClr w14:val="tx1"/>
                  </w14:solidFill>
                </w14:textFill>
              </w:rPr>
              <w:t>；</w:t>
            </w:r>
          </w:p>
          <w:p w14:paraId="142D37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E、对感染性废物污染区域进行消毒时，消毒工作从污染最轻区域向污染最严重区域进行，对可能被污染的所有使用过的工具也应当用2000mg/L 含氯消毒剂喷酒消毒</w:t>
            </w:r>
            <w:r>
              <w:rPr>
                <w:rFonts w:hint="eastAsia" w:cs="Times New Roman"/>
                <w:b w:val="0"/>
                <w:bCs w:val="0"/>
                <w:color w:val="000000" w:themeColor="text1"/>
                <w:sz w:val="24"/>
                <w:highlight w:val="none"/>
                <w:lang w:val="en-US" w:eastAsia="zh-CN"/>
                <w14:textFill>
                  <w14:solidFill>
                    <w14:schemeClr w14:val="tx1"/>
                  </w14:solidFill>
                </w14:textFill>
              </w:rPr>
              <w:t>；</w:t>
            </w:r>
          </w:p>
          <w:p w14:paraId="44AE70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F、工作人员应当做好卫生安全防护后进行工作，戴口罩、帽子和手套，进行工作时应避免用污染的手套接触其他物品，以避免污染环境。</w:t>
            </w:r>
          </w:p>
          <w:p w14:paraId="72CCBB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②调查处理工作结束后，及时将处理结果报告相关部门。</w:t>
            </w:r>
          </w:p>
          <w:p w14:paraId="0E07CD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③处理工作结束后，及时对事件的起因进行调查，并采取有效的防范措施预防类似事件的发生。</w:t>
            </w:r>
          </w:p>
          <w:p w14:paraId="23DCBC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（3）医用危险化学品事故性泄漏防范及应急措施</w:t>
            </w:r>
          </w:p>
          <w:p w14:paraId="5CC363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不涉及配制试剂，故项目风险管理主要为药品、消毒剂的风险管理。项目为正规动物医院，其药品专门放置在药房内，试剂存放于化验室内。项目参照实验室药品管理要求：所有试剂应摆放至相应位置，贴上相应标签</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有效期已过的试剂、药品，由化验室负责人按照</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危险废弃物及其包装物管理</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进行处理并负责清洗容器</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检测人员应不断增强自我保护意识，加强学习，避免出现试剂混装的现象。消毒间的消毒剂均为瓶装贮存，项目建议各储存瓶放置在托盘内，托盘容积能够保证最大瓶容器泄漏的需求。若发生少量泄漏，则用毛巾蘸取吸收后作为危废处置，若发生大量泄漏事故，利用托盘对泄漏的物料进行收集，看能否回收利用，若不能则作为危废处置，交有资质单位处置。</w:t>
            </w:r>
          </w:p>
          <w:p w14:paraId="18FE89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医用酒精等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52F308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（4）动物疫病风险防控措施</w:t>
            </w:r>
          </w:p>
          <w:p w14:paraId="41B904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为宠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w:t>
            </w:r>
            <w:r>
              <w:rPr>
                <w:rFonts w:hint="eastAsia" w:cs="Times New Roman"/>
                <w:b w:val="0"/>
                <w:bCs w:val="0"/>
                <w:color w:val="000000" w:themeColor="text1"/>
                <w:sz w:val="24"/>
                <w:highlight w:val="none"/>
                <w:lang w:val="en-US" w:eastAsia="zh-CN"/>
                <w14:textFill>
                  <w14:solidFill>
                    <w14:schemeClr w14:val="tx1"/>
                  </w14:solidFill>
                </w14:textFill>
              </w:rPr>
              <w:t>重庆市动物防疫条例</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》、《重庆市无规定动物疫病区管理办法》的相关规定进行管理。</w:t>
            </w:r>
          </w:p>
          <w:p w14:paraId="5CFD0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为预防动物疫情的风险，主要采取的措施包括：</w:t>
            </w:r>
          </w:p>
          <w:p w14:paraId="0C4E83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w:t>
            </w:r>
          </w:p>
          <w:p w14:paraId="30588A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根据《病死及病害动物无害化处理技术规范》（农医发[2017]25号），发生动物疫情或自然灾害等突发事件时病死及病害动物的应急无害化处理方式为深埋法，本项目送资质单位无害化处理。</w:t>
            </w:r>
          </w:p>
          <w:p w14:paraId="2CD5BE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建立严格的卫生防疫制度，要认真贯彻</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防重于治</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66E277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（5）酒精风险防范措施</w:t>
            </w:r>
          </w:p>
          <w:p w14:paraId="755B5F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项目存放的酒精每次取用后应立即将容器上盖封闭，严禁敞开放置</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酒精应避免用玻璃瓶存放，防止跌落破损</w:t>
            </w:r>
            <w:r>
              <w:rPr>
                <w:rFonts w:hint="eastAsia"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酒精应远离火种、热源，温度不宜超过30℃，防止阳光直射。</w:t>
            </w:r>
          </w:p>
          <w:p w14:paraId="2F9BEB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FF0000"/>
                <w:sz w:val="24"/>
                <w:highlight w:val="none"/>
                <w:lang w:val="en-US" w:eastAsia="zh-CN"/>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若酒精着火后，着火面积较大时，应第一时间拨打119，使用干粉灭火器或二氧化碳灭火器进行灭火。如果有沙子或土，可使用沙子或土进行灭火。不能使用水进行泼洒灭火。</w:t>
            </w:r>
          </w:p>
        </w:tc>
      </w:tr>
    </w:tbl>
    <w:p w14:paraId="3FC4BACA">
      <w:pPr>
        <w:adjustRightInd w:val="0"/>
        <w:snapToGrid w:val="0"/>
        <w:spacing w:line="360" w:lineRule="auto"/>
        <w:rPr>
          <w:rFonts w:hint="default" w:ascii="Times New Roman" w:hAnsi="Times New Roman" w:cs="Times New Roman"/>
          <w:b/>
          <w:color w:val="FF0000"/>
          <w:kern w:val="0"/>
          <w:sz w:val="28"/>
          <w:szCs w:val="28"/>
          <w:highlight w:val="none"/>
        </w:rPr>
        <w:sectPr>
          <w:footerReference r:id="rId9"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C1D963">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五、</w:t>
      </w:r>
      <w:bookmarkStart w:id="0" w:name="_Hlk5416791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环境保护措施监督检查清单</w:t>
      </w:r>
      <w:bookmarkEnd w:id="0"/>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79351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367EA316">
            <w:pPr>
              <w:adjustRightInd w:val="0"/>
              <w:snapToGrid w:val="0"/>
              <w:ind w:firstLine="84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内容</w:t>
            </w:r>
          </w:p>
          <w:p w14:paraId="04BBD39C">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要素</w:t>
            </w:r>
          </w:p>
        </w:tc>
        <w:tc>
          <w:tcPr>
            <w:tcW w:w="1755" w:type="dxa"/>
            <w:noWrap w:val="0"/>
            <w:vAlign w:val="center"/>
          </w:tcPr>
          <w:p w14:paraId="2CF2547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排放口(编号、</w:t>
            </w:r>
          </w:p>
          <w:p w14:paraId="5185947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名称)/污染源</w:t>
            </w:r>
          </w:p>
        </w:tc>
        <w:tc>
          <w:tcPr>
            <w:tcW w:w="1755" w:type="dxa"/>
            <w:noWrap w:val="0"/>
            <w:vAlign w:val="center"/>
          </w:tcPr>
          <w:p w14:paraId="0EACDB1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污染物项目</w:t>
            </w:r>
          </w:p>
        </w:tc>
        <w:tc>
          <w:tcPr>
            <w:tcW w:w="1755" w:type="dxa"/>
            <w:noWrap w:val="0"/>
            <w:vAlign w:val="center"/>
          </w:tcPr>
          <w:p w14:paraId="62F6AF6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环境保护措施</w:t>
            </w:r>
          </w:p>
        </w:tc>
        <w:tc>
          <w:tcPr>
            <w:tcW w:w="1757" w:type="dxa"/>
            <w:noWrap w:val="0"/>
            <w:vAlign w:val="center"/>
          </w:tcPr>
          <w:p w14:paraId="0F1014F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执行标准</w:t>
            </w:r>
          </w:p>
        </w:tc>
      </w:tr>
      <w:tr w14:paraId="4A2DC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459694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大气环境</w:t>
            </w:r>
          </w:p>
        </w:tc>
        <w:tc>
          <w:tcPr>
            <w:tcW w:w="1755" w:type="dxa"/>
            <w:noWrap w:val="0"/>
            <w:vAlign w:val="center"/>
          </w:tcPr>
          <w:p w14:paraId="29637B8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诊疗、住院、</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等</w:t>
            </w:r>
          </w:p>
        </w:tc>
        <w:tc>
          <w:tcPr>
            <w:tcW w:w="1755" w:type="dxa"/>
            <w:noWrap w:val="0"/>
            <w:vAlign w:val="center"/>
          </w:tcPr>
          <w:p w14:paraId="04E6B05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臭气</w:t>
            </w:r>
            <w:r>
              <w:rPr>
                <w:rFonts w:hint="default" w:ascii="Times New Roman" w:hAnsi="Times New Roman" w:cs="Times New Roman"/>
                <w:color w:val="000000" w:themeColor="text1"/>
                <w:szCs w:val="21"/>
                <w:highlight w:val="none"/>
                <w14:textFill>
                  <w14:solidFill>
                    <w14:schemeClr w14:val="tx1"/>
                  </w14:solidFill>
                </w14:textFill>
              </w:rPr>
              <w:t>、非甲烷总</w:t>
            </w:r>
          </w:p>
          <w:p w14:paraId="4EC4E56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烃</w:t>
            </w:r>
          </w:p>
        </w:tc>
        <w:tc>
          <w:tcPr>
            <w:tcW w:w="1755" w:type="dxa"/>
            <w:noWrap w:val="0"/>
            <w:vAlign w:val="center"/>
          </w:tcPr>
          <w:p w14:paraId="61CEA4D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采用自然通风和空调系统结合的形式进行通风</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病房设有紫外线灯管消毒杀菌</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每天使用84消毒液等对医院进</w:t>
            </w:r>
          </w:p>
          <w:p w14:paraId="461E034B">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行消毒</w:t>
            </w:r>
            <w:r>
              <w:rPr>
                <w:rFonts w:hint="eastAsia" w:cs="Times New Roman"/>
                <w:color w:val="000000" w:themeColor="text1"/>
                <w:szCs w:val="21"/>
                <w:highlight w:val="none"/>
                <w:lang w:eastAsia="zh-CN"/>
                <w14:textFill>
                  <w14:solidFill>
                    <w14:schemeClr w14:val="tx1"/>
                  </w14:solidFill>
                </w14:textFill>
              </w:rPr>
              <w:t>；</w:t>
            </w:r>
          </w:p>
        </w:tc>
        <w:tc>
          <w:tcPr>
            <w:tcW w:w="1757" w:type="dxa"/>
            <w:noWrap w:val="0"/>
            <w:vAlign w:val="center"/>
          </w:tcPr>
          <w:p w14:paraId="37FCF9E6">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恶臭污染物排放标准》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GB14554-93</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《大气污染物综合排放标准》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(DB50/418-2016</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w:t>
            </w:r>
          </w:p>
        </w:tc>
      </w:tr>
      <w:tr w14:paraId="081D5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332E6E3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地表水环境</w:t>
            </w:r>
          </w:p>
        </w:tc>
        <w:tc>
          <w:tcPr>
            <w:tcW w:w="1755" w:type="dxa"/>
            <w:noWrap w:val="0"/>
            <w:vAlign w:val="center"/>
          </w:tcPr>
          <w:p w14:paraId="6C5E8199">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生化池排放口（DW001）</w:t>
            </w:r>
          </w:p>
        </w:tc>
        <w:tc>
          <w:tcPr>
            <w:tcW w:w="1755" w:type="dxa"/>
            <w:noWrap w:val="0"/>
            <w:vAlign w:val="center"/>
          </w:tcPr>
          <w:p w14:paraId="5226BCBB">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pH、COD、BOD</w:t>
            </w:r>
            <w:r>
              <w:rPr>
                <w:rFonts w:hint="default" w:ascii="Times New Roman" w:hAnsi="Times New Roman" w:cs="Times New Roman"/>
                <w:color w:val="000000" w:themeColor="text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Cs w:val="21"/>
                <w:highlight w:val="none"/>
                <w:lang w:val="en-US" w:eastAsia="zh-CN"/>
                <w14:textFill>
                  <w14:solidFill>
                    <w14:schemeClr w14:val="tx1"/>
                  </w14:solidFill>
                </w14:textFill>
              </w:rPr>
              <w:t>、SS、氨氮、总磷、LAS、粪大肠菌群</w:t>
            </w:r>
          </w:p>
        </w:tc>
        <w:tc>
          <w:tcPr>
            <w:tcW w:w="1755" w:type="dxa"/>
            <w:vMerge w:val="restart"/>
            <w:noWrap w:val="0"/>
            <w:vAlign w:val="center"/>
          </w:tcPr>
          <w:p w14:paraId="30E74C3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项目设置</w:t>
            </w:r>
            <w:r>
              <w:rPr>
                <w:rFonts w:hint="eastAsia" w:cs="Times New Roman"/>
                <w:color w:val="000000" w:themeColor="text1"/>
                <w:szCs w:val="21"/>
                <w:highlight w:val="none"/>
                <w:lang w:val="en-US" w:eastAsia="zh-CN"/>
                <w14:textFill>
                  <w14:solidFill>
                    <w14:schemeClr w14:val="tx1"/>
                  </w14:solidFill>
                </w14:textFill>
              </w:rPr>
              <w:t>有2</w:t>
            </w:r>
            <w:r>
              <w:rPr>
                <w:rFonts w:hint="default" w:ascii="Times New Roman" w:hAnsi="Times New Roman" w:cs="Times New Roman"/>
                <w:color w:val="000000" w:themeColor="text1"/>
                <w:szCs w:val="21"/>
                <w:highlight w:val="none"/>
                <w14:textFill>
                  <w14:solidFill>
                    <w14:schemeClr w14:val="tx1"/>
                  </w14:solidFill>
                </w14:textFill>
              </w:rPr>
              <w:t>台医疗废水</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，医疗废水经</w:t>
            </w:r>
            <w:r>
              <w:rPr>
                <w:rFonts w:hint="eastAsia" w:cs="Times New Roman"/>
                <w:color w:val="000000" w:themeColor="text1"/>
                <w:szCs w:val="21"/>
                <w:highlight w:val="none"/>
                <w:lang w:eastAsia="zh-CN"/>
                <w14:textFill>
                  <w14:solidFill>
                    <w14:schemeClr w14:val="tx1"/>
                  </w14:solidFill>
                </w14:textFill>
              </w:rPr>
              <w:t>消毒设施消毒</w:t>
            </w:r>
            <w:r>
              <w:rPr>
                <w:rFonts w:hint="eastAsia" w:ascii="Times New Roman" w:hAnsi="Times New Roman" w:cs="Times New Roman"/>
                <w:color w:val="000000" w:themeColor="text1"/>
                <w:szCs w:val="21"/>
                <w:highlight w:val="none"/>
                <w:lang w:val="en-US" w:eastAsia="zh-CN"/>
                <w14:textFill>
                  <w14:solidFill>
                    <w14:schemeClr w14:val="tx1"/>
                  </w14:solidFill>
                </w14:textFill>
              </w:rPr>
              <w:t>（本项目使用</w:t>
            </w:r>
            <w:r>
              <w:rPr>
                <w:rFonts w:hint="eastAsia" w:cs="Times New Roman"/>
                <w:color w:val="000000" w:themeColor="text1"/>
                <w:szCs w:val="21"/>
                <w:highlight w:val="none"/>
                <w:lang w:val="en-US" w:eastAsia="zh-CN"/>
                <w14:textFill>
                  <w14:solidFill>
                    <w14:schemeClr w14:val="tx1"/>
                  </w14:solidFill>
                </w14:textFill>
              </w:rPr>
              <w:t>二氧化氯</w:t>
            </w:r>
            <w:r>
              <w:rPr>
                <w:rFonts w:hint="eastAsia" w:ascii="Times New Roman" w:hAnsi="Times New Roman" w:cs="Times New Roman"/>
                <w:color w:val="000000" w:themeColor="text1"/>
                <w:szCs w:val="21"/>
                <w:highlight w:val="none"/>
                <w:lang w:val="en-US" w:eastAsia="zh-CN"/>
                <w14:textFill>
                  <w14:solidFill>
                    <w14:schemeClr w14:val="tx1"/>
                  </w14:solidFill>
                </w14:textFill>
              </w:rPr>
              <w:t>消毒片</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 w:val="0"/>
                <w:color w:val="auto"/>
                <w:sz w:val="21"/>
                <w:lang w:val="en-US" w:eastAsia="zh-CN" w:bidi="ar-SA"/>
              </w:rPr>
              <w:t>三氯异氰尿酸消毒片</w:t>
            </w:r>
            <w:r>
              <w:rPr>
                <w:rFonts w:hint="eastAsia" w:ascii="Times New Roman" w:hAnsi="Times New Roman" w:cs="Times New Roman"/>
                <w:color w:val="000000" w:themeColor="text1"/>
                <w:szCs w:val="21"/>
                <w:highlight w:val="none"/>
                <w:lang w:val="en-US" w:eastAsia="zh-CN"/>
                <w14:textFill>
                  <w14:solidFill>
                    <w14:schemeClr w14:val="tx1"/>
                  </w14:solidFill>
                </w14:textFill>
              </w:rPr>
              <w:t>对医疗废水进行消毒处理，对消毒设施出口粪大肠菌群、总余氯排放限值作出要求，粪大肠菌群、总余氯参照《医疗机构水污染物排放标准》（GB 18466-2005）表2预处理标准）</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美容洗浴废水经滤网过滤</w:t>
            </w:r>
            <w:r>
              <w:rPr>
                <w:rFonts w:hint="default" w:ascii="Times New Roman" w:hAnsi="Times New Roman" w:cs="Times New Roman"/>
                <w:color w:val="000000" w:themeColor="text1"/>
                <w:szCs w:val="21"/>
                <w:highlight w:val="none"/>
                <w14:textFill>
                  <w14:solidFill>
                    <w14:schemeClr w14:val="tx1"/>
                  </w14:solidFill>
                </w14:textFill>
              </w:rPr>
              <w:t>后与生活污水、</w:t>
            </w:r>
            <w:r>
              <w:rPr>
                <w:rFonts w:hint="eastAsia" w:cs="Times New Roman"/>
                <w:color w:val="000000" w:themeColor="text1"/>
                <w:szCs w:val="21"/>
                <w:highlight w:val="none"/>
                <w:lang w:val="en-US" w:eastAsia="zh-CN"/>
                <w14:textFill>
                  <w14:solidFill>
                    <w14:schemeClr w14:val="tx1"/>
                  </w14:solidFill>
                </w14:textFill>
              </w:rPr>
              <w:t>其他废水</w:t>
            </w:r>
            <w:r>
              <w:rPr>
                <w:rFonts w:hint="default" w:ascii="Times New Roman" w:hAnsi="Times New Roman" w:cs="Times New Roman"/>
                <w:color w:val="000000" w:themeColor="text1"/>
                <w:szCs w:val="21"/>
                <w:highlight w:val="none"/>
                <w14:textFill>
                  <w14:solidFill>
                    <w14:schemeClr w14:val="tx1"/>
                  </w14:solidFill>
                </w14:textFill>
              </w:rPr>
              <w:t>一并进入生化池，处理达标后排入市政污水管网</w:t>
            </w:r>
          </w:p>
        </w:tc>
        <w:tc>
          <w:tcPr>
            <w:tcW w:w="1757" w:type="dxa"/>
            <w:noWrap w:val="0"/>
            <w:vAlign w:val="center"/>
          </w:tcPr>
          <w:p w14:paraId="1DEB553D">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《污水综合排放标准》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GB8978-1996</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三级标准</w:t>
            </w:r>
            <w:r>
              <w:rPr>
                <w:rFonts w:hint="eastAsia" w:cs="Times New Roman"/>
                <w:color w:val="000000" w:themeColor="text1"/>
                <w:szCs w:val="21"/>
                <w:highlight w:val="none"/>
                <w:lang w:eastAsia="zh-CN"/>
                <w14:textFill>
                  <w14:solidFill>
                    <w14:schemeClr w14:val="tx1"/>
                  </w14:solidFill>
                </w14:textFill>
              </w:rPr>
              <w:t>；</w:t>
            </w:r>
          </w:p>
        </w:tc>
      </w:tr>
      <w:tr w14:paraId="68B1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66496CE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755" w:type="dxa"/>
            <w:noWrap w:val="0"/>
            <w:vAlign w:val="center"/>
          </w:tcPr>
          <w:p w14:paraId="4C26CC54">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消毒设施</w:t>
            </w:r>
            <w:r>
              <w:rPr>
                <w:rFonts w:hint="default" w:ascii="Times New Roman" w:hAnsi="Times New Roman" w:cs="Times New Roman"/>
                <w:color w:val="000000" w:themeColor="text1"/>
                <w:szCs w:val="21"/>
                <w:highlight w:val="none"/>
                <w:lang w:val="en-US" w:eastAsia="zh-CN"/>
                <w14:textFill>
                  <w14:solidFill>
                    <w14:schemeClr w14:val="tx1"/>
                  </w14:solidFill>
                </w14:textFill>
              </w:rPr>
              <w:t>排放口（DW002）</w:t>
            </w:r>
          </w:p>
        </w:tc>
        <w:tc>
          <w:tcPr>
            <w:tcW w:w="1755" w:type="dxa"/>
            <w:noWrap w:val="0"/>
            <w:vAlign w:val="center"/>
          </w:tcPr>
          <w:p w14:paraId="1EBCB450">
            <w:pPr>
              <w:adjustRightInd w:val="0"/>
              <w:snapToGrid w:val="0"/>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粪大肠菌群、总余氯</w:t>
            </w:r>
          </w:p>
        </w:tc>
        <w:tc>
          <w:tcPr>
            <w:tcW w:w="1755" w:type="dxa"/>
            <w:vMerge w:val="continue"/>
            <w:noWrap w:val="0"/>
            <w:vAlign w:val="center"/>
          </w:tcPr>
          <w:p w14:paraId="05AB5E9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757" w:type="dxa"/>
            <w:noWrap w:val="0"/>
            <w:vAlign w:val="center"/>
          </w:tcPr>
          <w:p w14:paraId="056C299D">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总余氯在</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排放口进行控制，医疗废水</w:t>
            </w:r>
            <w:r>
              <w:rPr>
                <w:rFonts w:hint="eastAsia" w:cs="Times New Roman"/>
                <w:color w:val="000000" w:themeColor="text1"/>
                <w:szCs w:val="21"/>
                <w:highlight w:val="none"/>
                <w:lang w:eastAsia="zh-CN"/>
                <w14:textFill>
                  <w14:solidFill>
                    <w14:schemeClr w14:val="tx1"/>
                  </w14:solidFill>
                </w14:textFill>
              </w:rPr>
              <w:t>消毒设施</w:t>
            </w:r>
            <w:r>
              <w:rPr>
                <w:rFonts w:hint="default" w:ascii="Times New Roman" w:hAnsi="Times New Roman" w:cs="Times New Roman"/>
                <w:color w:val="000000" w:themeColor="text1"/>
                <w:szCs w:val="21"/>
                <w:highlight w:val="none"/>
                <w14:textFill>
                  <w14:solidFill>
                    <w14:schemeClr w14:val="tx1"/>
                  </w14:solidFill>
                </w14:textFill>
              </w:rPr>
              <w:t>排放口出水参照执行《医疗机构水污染物排放标准》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GB18466-2005</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预处理标准</w:t>
            </w:r>
            <w:r>
              <w:rPr>
                <w:rFonts w:hint="eastAsia" w:cs="Times New Roman"/>
                <w:color w:val="000000" w:themeColor="text1"/>
                <w:szCs w:val="21"/>
                <w:highlight w:val="none"/>
                <w:lang w:eastAsia="zh-CN"/>
                <w14:textFill>
                  <w14:solidFill>
                    <w14:schemeClr w14:val="tx1"/>
                  </w14:solidFill>
                </w14:textFill>
              </w:rPr>
              <w:t>；</w:t>
            </w:r>
          </w:p>
        </w:tc>
      </w:tr>
      <w:tr w14:paraId="5C573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A256C9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w:t>
            </w:r>
          </w:p>
        </w:tc>
        <w:tc>
          <w:tcPr>
            <w:tcW w:w="1755" w:type="dxa"/>
            <w:noWrap w:val="0"/>
            <w:vAlign w:val="center"/>
          </w:tcPr>
          <w:p w14:paraId="0A12C194">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场界</w:t>
            </w:r>
          </w:p>
        </w:tc>
        <w:tc>
          <w:tcPr>
            <w:tcW w:w="1755" w:type="dxa"/>
            <w:noWrap w:val="0"/>
            <w:vAlign w:val="center"/>
          </w:tcPr>
          <w:p w14:paraId="26AEA38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动物叫声等</w:t>
            </w:r>
          </w:p>
        </w:tc>
        <w:tc>
          <w:tcPr>
            <w:tcW w:w="1755" w:type="dxa"/>
            <w:noWrap w:val="0"/>
            <w:vAlign w:val="center"/>
          </w:tcPr>
          <w:p w14:paraId="428FDF7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加强管理，避免动物乱叫</w:t>
            </w:r>
          </w:p>
        </w:tc>
        <w:tc>
          <w:tcPr>
            <w:tcW w:w="1757" w:type="dxa"/>
            <w:noWrap w:val="0"/>
            <w:vAlign w:val="center"/>
          </w:tcPr>
          <w:p w14:paraId="04A791F8">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《工业企业厂界环境噪声排放标准》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GB</w:t>
            </w:r>
            <w:r>
              <w:rPr>
                <w:rFonts w:hint="default" w:ascii="Times New Roman" w:hAnsi="Times New Roman" w:cs="Times New Roman"/>
                <w:color w:val="auto"/>
                <w:szCs w:val="21"/>
                <w:highlight w:val="none"/>
              </w:rPr>
              <w:t>12348-2008</w:t>
            </w:r>
            <w:r>
              <w:rPr>
                <w:rFonts w:hint="default" w:ascii="Times New Roman" w:hAnsi="Times New Roman" w:cs="Times New Roman"/>
                <w:color w:val="auto"/>
                <w:szCs w:val="21"/>
                <w:highlight w:val="none"/>
                <w:lang w:eastAsia="zh-CN"/>
              </w:rPr>
              <w:t>）</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类</w:t>
            </w:r>
            <w:r>
              <w:rPr>
                <w:rFonts w:hint="eastAsia" w:cs="Times New Roman"/>
                <w:color w:val="auto"/>
                <w:szCs w:val="21"/>
                <w:highlight w:val="none"/>
                <w:lang w:eastAsia="zh-CN"/>
              </w:rPr>
              <w:t>、</w:t>
            </w:r>
            <w:r>
              <w:rPr>
                <w:rFonts w:hint="eastAsia" w:cs="Times New Roman"/>
                <w:color w:val="auto"/>
                <w:szCs w:val="21"/>
                <w:highlight w:val="none"/>
                <w:lang w:val="en-US" w:eastAsia="zh-CN"/>
              </w:rPr>
              <w:t>4类</w:t>
            </w:r>
            <w:r>
              <w:rPr>
                <w:rFonts w:hint="default" w:ascii="Times New Roman" w:hAnsi="Times New Roman" w:cs="Times New Roman"/>
                <w:color w:val="auto"/>
                <w:szCs w:val="21"/>
                <w:highlight w:val="none"/>
              </w:rPr>
              <w:t>标准</w:t>
            </w:r>
          </w:p>
        </w:tc>
      </w:tr>
      <w:tr w14:paraId="1C799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01C8057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电磁辐射</w:t>
            </w:r>
          </w:p>
        </w:tc>
        <w:tc>
          <w:tcPr>
            <w:tcW w:w="1755" w:type="dxa"/>
            <w:noWrap w:val="0"/>
            <w:vAlign w:val="center"/>
          </w:tcPr>
          <w:p w14:paraId="6C63479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5" w:type="dxa"/>
            <w:noWrap w:val="0"/>
            <w:vAlign w:val="center"/>
          </w:tcPr>
          <w:p w14:paraId="5FCE681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5" w:type="dxa"/>
            <w:noWrap w:val="0"/>
            <w:vAlign w:val="center"/>
          </w:tcPr>
          <w:p w14:paraId="4CABE08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c>
          <w:tcPr>
            <w:tcW w:w="1757" w:type="dxa"/>
            <w:noWrap w:val="0"/>
            <w:vAlign w:val="center"/>
          </w:tcPr>
          <w:p w14:paraId="6372526F">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62D6B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C299F7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7022" w:type="dxa"/>
            <w:gridSpan w:val="4"/>
            <w:noWrap w:val="0"/>
            <w:vAlign w:val="center"/>
          </w:tcPr>
          <w:p w14:paraId="6354CA38">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猫住院、诊疗产生的猫砂及犬住院、门诊产生的动物粪污经消毒后交市政环卫部门处置</w:t>
            </w:r>
            <w:r>
              <w:rPr>
                <w:rFonts w:hint="eastAsia" w:cs="Times New Roman"/>
                <w:color w:val="000000" w:themeColor="text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动物毛发</w:t>
            </w:r>
            <w:r>
              <w:rPr>
                <w:rFonts w:hint="default" w:ascii="Times New Roman" w:hAnsi="Times New Roman" w:cs="Times New Roman"/>
                <w:color w:val="000000" w:themeColor="text1"/>
                <w:szCs w:val="21"/>
                <w:highlight w:val="none"/>
                <w:lang w:val="en-US" w:eastAsia="zh-CN"/>
                <w14:textFill>
                  <w14:solidFill>
                    <w14:schemeClr w14:val="tx1"/>
                  </w14:solidFill>
                </w14:textFill>
              </w:rPr>
              <w:t>交市政环卫部门</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动物尸体交由有资质单位进行无害化处理</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废紫外线灯管定期交有资质单位处置</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医疗废物交有资质单位处置。生活垃圾经垃圾桶分类收集后交由环卫部门统一清运处理。</w:t>
            </w:r>
          </w:p>
        </w:tc>
      </w:tr>
      <w:tr w14:paraId="3B262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3CFB73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土壤及地下水</w:t>
            </w:r>
          </w:p>
          <w:p w14:paraId="6BCCCAA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污染防治措施</w:t>
            </w:r>
          </w:p>
        </w:tc>
        <w:tc>
          <w:tcPr>
            <w:tcW w:w="7022" w:type="dxa"/>
            <w:gridSpan w:val="4"/>
            <w:noWrap w:val="0"/>
            <w:vAlign w:val="center"/>
          </w:tcPr>
          <w:p w14:paraId="2ED4CD0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5ED34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AD37C4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生态保护措施</w:t>
            </w:r>
          </w:p>
        </w:tc>
        <w:tc>
          <w:tcPr>
            <w:tcW w:w="7022" w:type="dxa"/>
            <w:gridSpan w:val="4"/>
            <w:noWrap w:val="0"/>
            <w:vAlign w:val="center"/>
          </w:tcPr>
          <w:p w14:paraId="2CA4FCC0">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2B0F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C5E6305">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环境风险</w:t>
            </w:r>
          </w:p>
          <w:p w14:paraId="5F5402D6">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防范措施</w:t>
            </w:r>
          </w:p>
        </w:tc>
        <w:tc>
          <w:tcPr>
            <w:tcW w:w="7022" w:type="dxa"/>
            <w:gridSpan w:val="4"/>
            <w:noWrap w:val="0"/>
            <w:vAlign w:val="center"/>
          </w:tcPr>
          <w:p w14:paraId="2F77C404">
            <w:pPr>
              <w:adjustRightInd w:val="0"/>
              <w:snapToGrid w:val="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潜在环境事故为医疗废物泄漏、医疗废水未消毒排放、动物疫情风险等。应加强医院管理，搞好劳动保护，落实设备、管件的维修管理工作，采取积极的风险防范措施以及应急体系，降低事故发生的概率，设置应急桶。评价认为只要采取适当的防范措施，在事故发生时采取正确的风险防范措施，项目造成的风险是可控制的。</w:t>
            </w:r>
          </w:p>
        </w:tc>
      </w:tr>
      <w:tr w14:paraId="6E84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0B372343">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其他环境</w:t>
            </w:r>
          </w:p>
          <w:p w14:paraId="30D1DE97">
            <w:pPr>
              <w:adjustRightInd w:val="0"/>
              <w:snapToGrid w:val="0"/>
              <w:jc w:val="center"/>
              <w:rPr>
                <w:rFonts w:hint="default" w:ascii="Times New Roman" w:hAnsi="Times New Roman" w:cs="Times New Roman"/>
                <w:color w:val="000000" w:themeColor="text1"/>
                <w:spacing w:val="-8"/>
                <w:szCs w:val="21"/>
                <w:highlight w:val="none"/>
                <w14:textFill>
                  <w14:solidFill>
                    <w14:schemeClr w14:val="tx1"/>
                  </w14:solidFill>
                </w14:textFill>
              </w:rPr>
            </w:pPr>
            <w:r>
              <w:rPr>
                <w:rFonts w:hint="default" w:ascii="Times New Roman" w:hAnsi="Times New Roman" w:cs="Times New Roman"/>
                <w:color w:val="000000" w:themeColor="text1"/>
                <w:spacing w:val="-8"/>
                <w:szCs w:val="21"/>
                <w:highlight w:val="none"/>
                <w14:textFill>
                  <w14:solidFill>
                    <w14:schemeClr w14:val="tx1"/>
                  </w14:solidFill>
                </w14:textFill>
              </w:rPr>
              <w:t>管理要求</w:t>
            </w:r>
          </w:p>
        </w:tc>
        <w:tc>
          <w:tcPr>
            <w:tcW w:w="7022" w:type="dxa"/>
            <w:gridSpan w:val="4"/>
            <w:noWrap w:val="0"/>
            <w:vAlign w:val="center"/>
          </w:tcPr>
          <w:p w14:paraId="79643B4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环境管理</w:t>
            </w:r>
          </w:p>
          <w:p w14:paraId="74782C1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为保证项目建设的社会经济效益与环境效益相协调，实现可持续发展的目标，应加强对工程的环境管理工作，由建设单位安排专人负责项目日常的环境管理工作，配合环境保护行政主管部门做好施工期和营运期的环保工作。其主要职责是</w:t>
            </w:r>
            <w:r>
              <w:rPr>
                <w:rFonts w:hint="default" w:ascii="Times New Roman" w:hAnsi="Times New Roman" w:cs="Times New Roman"/>
                <w:color w:val="000000" w:themeColor="text1"/>
                <w:szCs w:val="21"/>
                <w:highlight w:val="none"/>
                <w:lang w:eastAsia="zh-CN"/>
                <w14:textFill>
                  <w14:solidFill>
                    <w14:schemeClr w14:val="tx1"/>
                  </w14:solidFill>
                </w14:textFill>
              </w:rPr>
              <w:t>：</w:t>
            </w:r>
          </w:p>
          <w:p w14:paraId="3DE8207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①执行国家及地方的环保方针、政策和有关法律、法规，协助制订与实施项目环境保护计划，配合有关部门审查落实项目设计中的环保设施设计内容及项目环保设施的竣工验收。</w:t>
            </w:r>
          </w:p>
          <w:p w14:paraId="563F19D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②在项目建设过程中，负责项目的环境监理，监督检查施工期环保设施落实和运行情况。落实好施工期环保措施，做到不破坏环境、不扰民。</w:t>
            </w:r>
          </w:p>
          <w:p w14:paraId="03EAD1B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③根据地方环保部门提出的环境质量要求，制定项目环境管理条例，对因项目引发或增加的环境污染进行严格控制，并提出改善环境质量的措施和计划。</w:t>
            </w:r>
          </w:p>
          <w:p w14:paraId="3DBF79B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④做好危险废物管理台账等记录。</w:t>
            </w:r>
          </w:p>
          <w:p w14:paraId="57302153">
            <w:pPr>
              <w:keepNext w:val="0"/>
              <w:keepLines w:val="0"/>
              <w:pageBreakBefore w:val="0"/>
              <w:widowControl w:val="0"/>
              <w:numPr>
                <w:ilvl w:val="0"/>
                <w:numId w:val="8"/>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验收管理要求</w:t>
            </w:r>
          </w:p>
          <w:p w14:paraId="7D24F02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依据《建设项目竣工环境保护验收暂行办法》文件要求。</w:t>
            </w:r>
          </w:p>
          <w:p w14:paraId="1CC73F66">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验收时间</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项目竣工后</w:t>
            </w:r>
          </w:p>
          <w:p w14:paraId="180078D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验收内容</w:t>
            </w:r>
            <w:r>
              <w:rPr>
                <w:rFonts w:hint="default" w:ascii="Times New Roman" w:hAnsi="Times New Roman" w:cs="Times New Roman"/>
                <w:color w:val="000000" w:themeColor="text1"/>
                <w:szCs w:val="21"/>
                <w:highlight w:val="none"/>
                <w:lang w:eastAsia="zh-CN"/>
                <w14:textFill>
                  <w14:solidFill>
                    <w14:schemeClr w14:val="tx1"/>
                  </w14:solidFill>
                </w14:textFill>
              </w:rPr>
              <w:t>：</w:t>
            </w:r>
          </w:p>
          <w:p w14:paraId="3E358F6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建设单位应当如实查验、监测、记载建设项目环境保护设施的建设和调试情况，参照《建设项目竣工环境保护验收技术指南污染影响类》</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公告 2018 年第9号</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编制验收监测报告。</w:t>
            </w:r>
          </w:p>
          <w:p w14:paraId="2EF1453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在全国建设项目环境影响评价管理信息平台进行自主验收公示。</w:t>
            </w:r>
          </w:p>
        </w:tc>
      </w:tr>
    </w:tbl>
    <w:p w14:paraId="695933C0">
      <w:pPr>
        <w:pStyle w:val="16"/>
        <w:jc w:val="center"/>
        <w:outlineLvl w:val="0"/>
        <w:rPr>
          <w:rFonts w:hint="default" w:ascii="Times New Roman" w:hAnsi="Times New Roman" w:cs="Times New Roman"/>
          <w:snapToGrid w:val="0"/>
          <w:color w:val="FF000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87B728B">
      <w:pPr>
        <w:pStyle w:val="16"/>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73E9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4B29D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FF0000"/>
                <w:sz w:val="24"/>
                <w:highlight w:val="none"/>
              </w:rPr>
            </w:pPr>
            <w:r>
              <w:rPr>
                <w:rFonts w:hint="eastAsia" w:cs="Times New Roman"/>
                <w:b w:val="0"/>
                <w:bCs/>
                <w:color w:val="000000" w:themeColor="text1"/>
                <w:sz w:val="24"/>
                <w:szCs w:val="24"/>
                <w:highlight w:val="none"/>
                <w:lang w:val="en-US" w:eastAsia="zh-CN"/>
                <w14:textFill>
                  <w14:solidFill>
                    <w14:schemeClr w14:val="tx1"/>
                  </w14:solidFill>
                </w14:textFill>
              </w:rPr>
              <w:t>九龙坡区渝爱动物医院店</w:t>
            </w:r>
            <w:r>
              <w:rPr>
                <w:rFonts w:hint="eastAsia" w:cs="Times New Roman"/>
                <w:b w:val="0"/>
                <w:bCs/>
                <w:color w:val="auto"/>
                <w:sz w:val="24"/>
                <w:szCs w:val="24"/>
                <w:highlight w:val="none"/>
                <w:lang w:val="en-US" w:eastAsia="zh-CN"/>
              </w:rPr>
              <w:t>（个体工商户）</w:t>
            </w:r>
            <w:r>
              <w:rPr>
                <w:rFonts w:hint="eastAsia" w:cs="Times New Roman"/>
                <w:b w:val="0"/>
                <w:bCs/>
                <w:color w:val="000000" w:themeColor="text1"/>
                <w:sz w:val="24"/>
                <w:szCs w:val="24"/>
                <w:highlight w:val="none"/>
                <w:lang w:val="en-US" w:eastAsia="zh-CN"/>
                <w14:textFill>
                  <w14:solidFill>
                    <w14:schemeClr w14:val="tx1"/>
                  </w14:solidFill>
                </w14:textFill>
              </w:rPr>
              <w:t>渝爱动物医院建设项目</w:t>
            </w:r>
            <w:r>
              <w:rPr>
                <w:rFonts w:hint="default" w:ascii="Times New Roman" w:hAnsi="Times New Roman" w:cs="Times New Roman"/>
                <w:color w:val="000000" w:themeColor="text1"/>
                <w:sz w:val="24"/>
                <w:highlight w:val="none"/>
                <w14:textFill>
                  <w14:solidFill>
                    <w14:schemeClr w14:val="tx1"/>
                  </w14:solidFill>
                </w14:textFill>
              </w:rPr>
              <w:t>符合国家及地方相关政策要求，其建设过程和营运期产生的各类污染物在采取污染防治措施后可得到有效的控制，外排污染物对环境影响小，能为环境所接受。从环境保护角度，建设项目环境影响可行。</w:t>
            </w:r>
          </w:p>
        </w:tc>
      </w:tr>
    </w:tbl>
    <w:p w14:paraId="76664F46">
      <w:pPr>
        <w:rPr>
          <w:rFonts w:hint="default" w:ascii="Times New Roman" w:hAnsi="Times New Roman" w:cs="Times New Roman"/>
          <w:color w:val="FF0000"/>
          <w:highlight w:val="none"/>
        </w:rPr>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81FBB6F">
      <w:pPr>
        <w:pStyle w:val="16"/>
        <w:adjustRightInd w:val="0"/>
        <w:snapToGrid w:val="0"/>
        <w:spacing w:before="0" w:beforeAutospacing="0" w:after="0" w:afterAutospacing="0" w:line="240" w:lineRule="auto"/>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p>
    <w:p w14:paraId="7BC2FF54">
      <w:pPr>
        <w:bidi w:val="0"/>
        <w:jc w:val="center"/>
        <w:rPr>
          <w:rFonts w:hint="default"/>
          <w:b/>
          <w:bCs/>
          <w:sz w:val="30"/>
          <w:szCs w:val="30"/>
        </w:rPr>
      </w:pPr>
      <w:r>
        <w:rPr>
          <w:rFonts w:hint="default"/>
          <w:b/>
          <w:bCs/>
          <w:sz w:val="30"/>
          <w:szCs w:val="30"/>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86"/>
        <w:gridCol w:w="1417"/>
        <w:gridCol w:w="1701"/>
        <w:gridCol w:w="1276"/>
        <w:gridCol w:w="1701"/>
        <w:gridCol w:w="1559"/>
        <w:gridCol w:w="1761"/>
        <w:gridCol w:w="1959"/>
        <w:gridCol w:w="826"/>
      </w:tblGrid>
      <w:tr w14:paraId="2ACF1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noWrap w:val="0"/>
            <w:tcMar>
              <w:left w:w="28" w:type="dxa"/>
              <w:right w:w="28" w:type="dxa"/>
            </w:tcMar>
            <w:vAlign w:val="center"/>
          </w:tcPr>
          <w:p w14:paraId="6A02859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990" w:firstLineChars="500"/>
              <w:jc w:val="both"/>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项目</w:t>
            </w:r>
          </w:p>
          <w:p w14:paraId="1910DD1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分类</w:t>
            </w:r>
          </w:p>
        </w:tc>
        <w:tc>
          <w:tcPr>
            <w:tcW w:w="1417" w:type="dxa"/>
            <w:noWrap w:val="0"/>
            <w:tcMar>
              <w:left w:w="28" w:type="dxa"/>
              <w:right w:w="28" w:type="dxa"/>
            </w:tcMar>
            <w:vAlign w:val="center"/>
          </w:tcPr>
          <w:p w14:paraId="1E66D3F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污染物</w:t>
            </w:r>
            <w:r>
              <w:rPr>
                <w:rFonts w:hint="eastAsia" w:ascii="Times New Roman" w:eastAsia="黑体" w:cs="Times New Roman"/>
                <w:snapToGrid w:val="0"/>
                <w:color w:val="000000" w:themeColor="text1"/>
                <w:spacing w:val="-6"/>
                <w:kern w:val="21"/>
                <w:szCs w:val="21"/>
                <w:highlight w:val="none"/>
                <w:lang w:val="en-US" w:eastAsia="zh-CN"/>
                <w14:textFill>
                  <w14:solidFill>
                    <w14:schemeClr w14:val="tx1"/>
                  </w14:solidFill>
                </w14:textFill>
              </w:rPr>
              <w:t>名</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称</w:t>
            </w:r>
          </w:p>
        </w:tc>
        <w:tc>
          <w:tcPr>
            <w:tcW w:w="1701" w:type="dxa"/>
            <w:noWrap w:val="0"/>
            <w:tcMar>
              <w:left w:w="28" w:type="dxa"/>
              <w:right w:w="28" w:type="dxa"/>
            </w:tcMar>
            <w:vAlign w:val="center"/>
          </w:tcPr>
          <w:p w14:paraId="75421150">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现有工程</w:t>
            </w:r>
          </w:p>
          <w:p w14:paraId="16E2546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14:paraId="33C5C98F">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现有工程</w:t>
            </w:r>
          </w:p>
          <w:p w14:paraId="497A792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许可排放量</w:t>
            </w:r>
          </w:p>
          <w:p w14:paraId="63376A68">
            <w:pPr>
              <w:pStyle w:val="41"/>
              <w:keepNext w:val="0"/>
              <w:keepLines w:val="0"/>
              <w:pageBreakBefore w:val="0"/>
              <w:widowControl w:val="0"/>
              <w:kinsoku/>
              <w:wordWrap/>
              <w:overflowPunct/>
              <w:topLinePunct w:val="0"/>
              <w:autoSpaceDE/>
              <w:autoSpaceDN/>
              <w:bidi w:val="0"/>
              <w:adjustRightInd w:val="0"/>
              <w:snapToGrid w:val="0"/>
              <w:spacing w:beforeLines="0" w:afterLines="0"/>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14:paraId="02AC23A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在建工程</w:t>
            </w:r>
          </w:p>
          <w:p w14:paraId="4B9EFE1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14:paraId="5BD1081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本项目</w:t>
            </w:r>
          </w:p>
          <w:p w14:paraId="13EF4F2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c>
          <w:tcPr>
            <w:tcW w:w="1761" w:type="dxa"/>
            <w:noWrap w:val="0"/>
            <w:tcMar>
              <w:left w:w="28" w:type="dxa"/>
              <w:right w:w="28" w:type="dxa"/>
            </w:tcMar>
            <w:vAlign w:val="center"/>
          </w:tcPr>
          <w:p w14:paraId="7872AB6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以新带老削减量</w:t>
            </w:r>
          </w:p>
          <w:p w14:paraId="7D35F30A">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end"/>
            </w:r>
          </w:p>
        </w:tc>
        <w:tc>
          <w:tcPr>
            <w:tcW w:w="1959" w:type="dxa"/>
            <w:noWrap w:val="0"/>
            <w:tcMar>
              <w:left w:w="28" w:type="dxa"/>
              <w:right w:w="28" w:type="dxa"/>
            </w:tcMar>
            <w:vAlign w:val="center"/>
          </w:tcPr>
          <w:p w14:paraId="4B6B18E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本项目建成后</w:t>
            </w:r>
          </w:p>
          <w:p w14:paraId="4DB2C26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Cs w:val="21"/>
                <w:highlight w:val="none"/>
                <w14:textFill>
                  <w14:solidFill>
                    <w14:schemeClr w14:val="tx1"/>
                  </w14:solidFill>
                </w14:textFill>
              </w:rPr>
              <w:fldChar w:fldCharType="end"/>
            </w:r>
          </w:p>
        </w:tc>
        <w:tc>
          <w:tcPr>
            <w:tcW w:w="826" w:type="dxa"/>
            <w:noWrap w:val="0"/>
            <w:tcMar>
              <w:left w:w="28" w:type="dxa"/>
              <w:right w:w="28" w:type="dxa"/>
            </w:tcMar>
            <w:vAlign w:val="center"/>
          </w:tcPr>
          <w:p w14:paraId="3291330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t>变化量</w:t>
            </w:r>
          </w:p>
          <w:p w14:paraId="2C4938C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Cs w:val="21"/>
                <w:highlight w:val="none"/>
                <w14:textFill>
                  <w14:solidFill>
                    <w14:schemeClr w14:val="tx1"/>
                  </w14:solidFill>
                </w14:textFill>
              </w:rPr>
              <w:fldChar w:fldCharType="end"/>
            </w:r>
          </w:p>
        </w:tc>
      </w:tr>
      <w:tr w14:paraId="0B52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noWrap w:val="0"/>
            <w:vAlign w:val="center"/>
          </w:tcPr>
          <w:p w14:paraId="6B7F9DF8">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废气</w:t>
            </w:r>
          </w:p>
        </w:tc>
        <w:tc>
          <w:tcPr>
            <w:tcW w:w="1417" w:type="dxa"/>
            <w:noWrap w:val="0"/>
            <w:vAlign w:val="center"/>
          </w:tcPr>
          <w:p w14:paraId="7B9DB33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D11D8B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1E8EF91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623B942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0154797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61" w:type="dxa"/>
            <w:noWrap w:val="0"/>
            <w:vAlign w:val="center"/>
          </w:tcPr>
          <w:p w14:paraId="0E20AB4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4A6180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826" w:type="dxa"/>
            <w:noWrap w:val="0"/>
            <w:vAlign w:val="center"/>
          </w:tcPr>
          <w:p w14:paraId="598E30AA">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r>
      <w:tr w14:paraId="25E08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14:paraId="1CDEF9A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废水</w:t>
            </w:r>
          </w:p>
        </w:tc>
        <w:tc>
          <w:tcPr>
            <w:tcW w:w="1417" w:type="dxa"/>
            <w:noWrap w:val="0"/>
            <w:vAlign w:val="center"/>
          </w:tcPr>
          <w:p w14:paraId="1054164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pH</w:t>
            </w:r>
          </w:p>
        </w:tc>
        <w:tc>
          <w:tcPr>
            <w:tcW w:w="1701" w:type="dxa"/>
            <w:noWrap w:val="0"/>
            <w:vAlign w:val="center"/>
          </w:tcPr>
          <w:p w14:paraId="53AD42F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1E0241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22EF1C5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5CFE18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6~9</w:t>
            </w:r>
          </w:p>
        </w:tc>
        <w:tc>
          <w:tcPr>
            <w:tcW w:w="1761" w:type="dxa"/>
            <w:noWrap w:val="0"/>
            <w:vAlign w:val="center"/>
          </w:tcPr>
          <w:p w14:paraId="0A35457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26021F3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6~9</w:t>
            </w:r>
          </w:p>
        </w:tc>
        <w:tc>
          <w:tcPr>
            <w:tcW w:w="826" w:type="dxa"/>
            <w:noWrap w:val="0"/>
            <w:vAlign w:val="center"/>
          </w:tcPr>
          <w:p w14:paraId="1CFBF94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r>
      <w:tr w14:paraId="12999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14EFC74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6A185D5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COD</w:t>
            </w:r>
          </w:p>
        </w:tc>
        <w:tc>
          <w:tcPr>
            <w:tcW w:w="1701" w:type="dxa"/>
            <w:noWrap w:val="0"/>
            <w:vAlign w:val="center"/>
          </w:tcPr>
          <w:p w14:paraId="75F6768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F143B6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4BB6E5F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06D7E9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c>
          <w:tcPr>
            <w:tcW w:w="1761" w:type="dxa"/>
            <w:noWrap w:val="0"/>
            <w:vAlign w:val="center"/>
          </w:tcPr>
          <w:p w14:paraId="2385965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0CE7212A">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c>
          <w:tcPr>
            <w:tcW w:w="826" w:type="dxa"/>
            <w:noWrap w:val="0"/>
            <w:vAlign w:val="center"/>
          </w:tcPr>
          <w:p w14:paraId="38BCBCC0">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r w14:paraId="3D292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19769B4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5AD72CFE">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BOD</w:t>
            </w:r>
            <w:r>
              <w:rPr>
                <w:rFonts w:hint="default" w:ascii="Times New Roman" w:hAnsi="Times New Roman" w:cs="Times New Roman"/>
                <w:snapToGrid w:val="0"/>
                <w:color w:val="000000" w:themeColor="text1"/>
                <w:kern w:val="21"/>
                <w:szCs w:val="21"/>
                <w:highlight w:val="none"/>
                <w:vertAlign w:val="subscript"/>
                <w:lang w:val="en-US" w:eastAsia="zh-CN"/>
                <w14:textFill>
                  <w14:solidFill>
                    <w14:schemeClr w14:val="tx1"/>
                  </w14:solidFill>
                </w14:textFill>
              </w:rPr>
              <w:t>5</w:t>
            </w:r>
          </w:p>
        </w:tc>
        <w:tc>
          <w:tcPr>
            <w:tcW w:w="1701" w:type="dxa"/>
            <w:noWrap w:val="0"/>
            <w:vAlign w:val="center"/>
          </w:tcPr>
          <w:p w14:paraId="5B58698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D6ED92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30989F6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27EC0F6">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1761" w:type="dxa"/>
            <w:noWrap w:val="0"/>
            <w:vAlign w:val="center"/>
          </w:tcPr>
          <w:p w14:paraId="6E25CE6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8281A7F">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26" w:type="dxa"/>
            <w:noWrap w:val="0"/>
            <w:vAlign w:val="center"/>
          </w:tcPr>
          <w:p w14:paraId="5502A906">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r>
      <w:tr w14:paraId="5E2C2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46F34B0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0E3A550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氨氮</w:t>
            </w:r>
          </w:p>
        </w:tc>
        <w:tc>
          <w:tcPr>
            <w:tcW w:w="1701" w:type="dxa"/>
            <w:noWrap w:val="0"/>
            <w:vAlign w:val="center"/>
          </w:tcPr>
          <w:p w14:paraId="2538890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D3236C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760BB63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588C2BD">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1761" w:type="dxa"/>
            <w:noWrap w:val="0"/>
            <w:vAlign w:val="center"/>
          </w:tcPr>
          <w:p w14:paraId="3115C3F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36D2430">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826" w:type="dxa"/>
            <w:noWrap w:val="0"/>
            <w:vAlign w:val="center"/>
          </w:tcPr>
          <w:p w14:paraId="468B5902">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722D3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4A6722E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086D4BCB">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SS</w:t>
            </w:r>
          </w:p>
        </w:tc>
        <w:tc>
          <w:tcPr>
            <w:tcW w:w="1701" w:type="dxa"/>
            <w:noWrap w:val="0"/>
            <w:vAlign w:val="center"/>
          </w:tcPr>
          <w:p w14:paraId="1BFB9F4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66112B4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73F53C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A6CAC0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1761" w:type="dxa"/>
            <w:noWrap w:val="0"/>
            <w:vAlign w:val="center"/>
          </w:tcPr>
          <w:p w14:paraId="27D620A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82A9E86">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826" w:type="dxa"/>
            <w:noWrap w:val="0"/>
            <w:vAlign w:val="center"/>
          </w:tcPr>
          <w:p w14:paraId="4F41F48F">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r>
      <w:tr w14:paraId="07B90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5990893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470832E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TP</w:t>
            </w:r>
          </w:p>
        </w:tc>
        <w:tc>
          <w:tcPr>
            <w:tcW w:w="1701" w:type="dxa"/>
            <w:noWrap w:val="0"/>
            <w:vAlign w:val="center"/>
          </w:tcPr>
          <w:p w14:paraId="307EB4F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0EF9642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0242400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06BDD8A1">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1761" w:type="dxa"/>
            <w:noWrap w:val="0"/>
            <w:vAlign w:val="center"/>
          </w:tcPr>
          <w:p w14:paraId="21EC9DF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CA8F2F6">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826" w:type="dxa"/>
            <w:noWrap w:val="0"/>
            <w:vAlign w:val="center"/>
          </w:tcPr>
          <w:p w14:paraId="79ECEF3F">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27D6F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7910D3E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6821B48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粪大肠菌群</w:t>
            </w:r>
          </w:p>
        </w:tc>
        <w:tc>
          <w:tcPr>
            <w:tcW w:w="1701" w:type="dxa"/>
            <w:noWrap w:val="0"/>
            <w:vAlign w:val="center"/>
          </w:tcPr>
          <w:p w14:paraId="4B23012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1A1151E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7024FCE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2F1FC3FC">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761" w:type="dxa"/>
            <w:noWrap w:val="0"/>
            <w:vAlign w:val="center"/>
          </w:tcPr>
          <w:p w14:paraId="2AF3639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B074A97">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826" w:type="dxa"/>
            <w:noWrap w:val="0"/>
            <w:vAlign w:val="center"/>
          </w:tcPr>
          <w:p w14:paraId="72CAB0B5">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3.9×10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r>
      <w:tr w14:paraId="6BBBF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3BDF900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795B4F1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LAS</w:t>
            </w:r>
          </w:p>
        </w:tc>
        <w:tc>
          <w:tcPr>
            <w:tcW w:w="1701" w:type="dxa"/>
            <w:noWrap w:val="0"/>
            <w:vAlign w:val="center"/>
          </w:tcPr>
          <w:p w14:paraId="398C498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22C5326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35687D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3D0E3A70">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1761" w:type="dxa"/>
            <w:noWrap w:val="0"/>
            <w:vAlign w:val="center"/>
          </w:tcPr>
          <w:p w14:paraId="3B5D912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4401D88D">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826" w:type="dxa"/>
            <w:noWrap w:val="0"/>
            <w:vAlign w:val="center"/>
          </w:tcPr>
          <w:p w14:paraId="07FDC49D">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r>
      <w:tr w14:paraId="67027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51B38D0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1259D02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总余氯</w:t>
            </w:r>
          </w:p>
        </w:tc>
        <w:tc>
          <w:tcPr>
            <w:tcW w:w="1701" w:type="dxa"/>
            <w:noWrap w:val="0"/>
            <w:vAlign w:val="center"/>
          </w:tcPr>
          <w:p w14:paraId="6E62B26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439F122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8338CB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17AE81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61" w:type="dxa"/>
            <w:noWrap w:val="0"/>
            <w:vAlign w:val="center"/>
          </w:tcPr>
          <w:p w14:paraId="6A4F796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5C68C1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826" w:type="dxa"/>
            <w:noWrap w:val="0"/>
            <w:vAlign w:val="center"/>
          </w:tcPr>
          <w:p w14:paraId="1D21DB83">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r>
      <w:tr w14:paraId="22103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14:paraId="333DB24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14:paraId="51BBC436">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C8"/>
                <w:kern w:val="21"/>
                <w:szCs w:val="21"/>
                <w:highlight w:val="none"/>
              </w:rPr>
            </w:pPr>
            <w:r>
              <w:rPr>
                <w:rFonts w:hint="default" w:ascii="Times New Roman" w:hAnsi="Times New Roman" w:cs="Times New Roman"/>
                <w:snapToGrid w:val="0"/>
                <w:color w:val="auto"/>
                <w:kern w:val="21"/>
                <w:szCs w:val="21"/>
                <w:highlight w:val="none"/>
              </w:rPr>
              <w:t>固体废物</w:t>
            </w:r>
          </w:p>
        </w:tc>
        <w:tc>
          <w:tcPr>
            <w:tcW w:w="1417" w:type="dxa"/>
            <w:noWrap w:val="0"/>
            <w:vAlign w:val="center"/>
          </w:tcPr>
          <w:p w14:paraId="787AA7BF">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宠物粪污</w:t>
            </w:r>
          </w:p>
        </w:tc>
        <w:tc>
          <w:tcPr>
            <w:tcW w:w="1701" w:type="dxa"/>
            <w:noWrap w:val="0"/>
            <w:vAlign w:val="center"/>
          </w:tcPr>
          <w:p w14:paraId="477F494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276" w:type="dxa"/>
            <w:noWrap w:val="0"/>
            <w:vAlign w:val="center"/>
          </w:tcPr>
          <w:p w14:paraId="29521FA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701" w:type="dxa"/>
            <w:noWrap w:val="0"/>
            <w:vAlign w:val="center"/>
          </w:tcPr>
          <w:p w14:paraId="261FC61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559" w:type="dxa"/>
            <w:noWrap w:val="0"/>
            <w:vAlign w:val="center"/>
          </w:tcPr>
          <w:p w14:paraId="572E3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cs="Times New Roman"/>
                <w:b w:val="0"/>
                <w:bCs w:val="0"/>
                <w:color w:val="auto"/>
                <w:sz w:val="21"/>
                <w:szCs w:val="21"/>
                <w:highlight w:val="none"/>
                <w:vertAlign w:val="baseline"/>
                <w:lang w:val="en-US" w:eastAsia="zh-CN"/>
              </w:rPr>
              <w:t>2.9748</w:t>
            </w:r>
          </w:p>
        </w:tc>
        <w:tc>
          <w:tcPr>
            <w:tcW w:w="1761" w:type="dxa"/>
            <w:noWrap w:val="0"/>
            <w:vAlign w:val="center"/>
          </w:tcPr>
          <w:p w14:paraId="0184A67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w:t>
            </w:r>
          </w:p>
        </w:tc>
        <w:tc>
          <w:tcPr>
            <w:tcW w:w="1959" w:type="dxa"/>
            <w:noWrap w:val="0"/>
            <w:vAlign w:val="center"/>
          </w:tcPr>
          <w:p w14:paraId="460F3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21"/>
                <w:szCs w:val="21"/>
                <w:highlight w:val="none"/>
              </w:rPr>
            </w:pPr>
            <w:r>
              <w:rPr>
                <w:rFonts w:hint="eastAsia" w:cs="Times New Roman"/>
                <w:b w:val="0"/>
                <w:bCs w:val="0"/>
                <w:color w:val="auto"/>
                <w:sz w:val="21"/>
                <w:szCs w:val="21"/>
                <w:highlight w:val="none"/>
                <w:vertAlign w:val="baseline"/>
                <w:lang w:val="en-US" w:eastAsia="zh-CN"/>
              </w:rPr>
              <w:t>2.9748</w:t>
            </w:r>
          </w:p>
        </w:tc>
        <w:tc>
          <w:tcPr>
            <w:tcW w:w="826" w:type="dxa"/>
            <w:noWrap w:val="0"/>
            <w:vAlign w:val="center"/>
          </w:tcPr>
          <w:p w14:paraId="573BC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21"/>
                <w:szCs w:val="21"/>
                <w:highlight w:val="none"/>
              </w:rPr>
            </w:pPr>
            <w:r>
              <w:rPr>
                <w:rFonts w:hint="eastAsia" w:cs="Times New Roman"/>
                <w:b w:val="0"/>
                <w:bCs w:val="0"/>
                <w:color w:val="auto"/>
                <w:sz w:val="21"/>
                <w:szCs w:val="21"/>
                <w:highlight w:val="none"/>
                <w:vertAlign w:val="baseline"/>
                <w:lang w:val="en-US" w:eastAsia="zh-CN"/>
              </w:rPr>
              <w:t>2.9748</w:t>
            </w:r>
          </w:p>
        </w:tc>
      </w:tr>
      <w:tr w14:paraId="42C79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14:paraId="0EEDF8B9">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30E8B65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宠物毛发</w:t>
            </w:r>
          </w:p>
        </w:tc>
        <w:tc>
          <w:tcPr>
            <w:tcW w:w="1701" w:type="dxa"/>
            <w:noWrap w:val="0"/>
            <w:vAlign w:val="center"/>
          </w:tcPr>
          <w:p w14:paraId="6C7E98E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2038B06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4657702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71672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1761" w:type="dxa"/>
            <w:noWrap w:val="0"/>
            <w:vAlign w:val="center"/>
          </w:tcPr>
          <w:p w14:paraId="7341FCC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16EA5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c>
          <w:tcPr>
            <w:tcW w:w="826" w:type="dxa"/>
            <w:noWrap w:val="0"/>
            <w:vAlign w:val="center"/>
          </w:tcPr>
          <w:p w14:paraId="440702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0.146</w:t>
            </w:r>
          </w:p>
        </w:tc>
      </w:tr>
      <w:tr w14:paraId="525EF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3"/>
            <w:noWrap w:val="0"/>
            <w:vAlign w:val="center"/>
          </w:tcPr>
          <w:p w14:paraId="12E7A3C7">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动物尸体</w:t>
            </w:r>
          </w:p>
        </w:tc>
        <w:tc>
          <w:tcPr>
            <w:tcW w:w="1701" w:type="dxa"/>
            <w:noWrap w:val="0"/>
            <w:vAlign w:val="center"/>
          </w:tcPr>
          <w:p w14:paraId="3B8E6590">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77A3B1C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10398ED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C6C3E2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c>
          <w:tcPr>
            <w:tcW w:w="1761" w:type="dxa"/>
            <w:noWrap w:val="0"/>
            <w:vAlign w:val="center"/>
          </w:tcPr>
          <w:p w14:paraId="3246BAC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00534E4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c>
          <w:tcPr>
            <w:tcW w:w="826" w:type="dxa"/>
            <w:noWrap w:val="0"/>
            <w:vAlign w:val="center"/>
          </w:tcPr>
          <w:p w14:paraId="692F22C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少量</w:t>
            </w:r>
          </w:p>
        </w:tc>
      </w:tr>
      <w:tr w14:paraId="185D9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2" w:type="dxa"/>
            <w:vMerge w:val="restart"/>
            <w:noWrap w:val="0"/>
            <w:vAlign w:val="center"/>
          </w:tcPr>
          <w:p w14:paraId="20EBA0F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危险废物</w:t>
            </w:r>
          </w:p>
        </w:tc>
        <w:tc>
          <w:tcPr>
            <w:tcW w:w="1503" w:type="dxa"/>
            <w:gridSpan w:val="2"/>
            <w:noWrap w:val="0"/>
            <w:vAlign w:val="center"/>
          </w:tcPr>
          <w:p w14:paraId="139CC98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医疗废物</w:t>
            </w:r>
          </w:p>
        </w:tc>
        <w:tc>
          <w:tcPr>
            <w:tcW w:w="1701" w:type="dxa"/>
            <w:noWrap w:val="0"/>
            <w:vAlign w:val="center"/>
          </w:tcPr>
          <w:p w14:paraId="303A374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3ACC7C8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021DA1C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1A860BA2">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1761" w:type="dxa"/>
            <w:noWrap w:val="0"/>
            <w:vAlign w:val="center"/>
          </w:tcPr>
          <w:p w14:paraId="279BE32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6F26612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c>
          <w:tcPr>
            <w:tcW w:w="826" w:type="dxa"/>
            <w:noWrap w:val="0"/>
            <w:vAlign w:val="center"/>
          </w:tcPr>
          <w:p w14:paraId="0103E8B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1.752</w:t>
            </w:r>
          </w:p>
        </w:tc>
      </w:tr>
      <w:tr w14:paraId="7DDF9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02" w:type="dxa"/>
            <w:vMerge w:val="continue"/>
            <w:noWrap w:val="0"/>
            <w:vAlign w:val="center"/>
          </w:tcPr>
          <w:p w14:paraId="4FD863FC">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503" w:type="dxa"/>
            <w:gridSpan w:val="2"/>
            <w:noWrap w:val="0"/>
            <w:vAlign w:val="center"/>
          </w:tcPr>
          <w:p w14:paraId="0133E0E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废紫外灯管</w:t>
            </w:r>
          </w:p>
        </w:tc>
        <w:tc>
          <w:tcPr>
            <w:tcW w:w="1701" w:type="dxa"/>
            <w:noWrap w:val="0"/>
            <w:vAlign w:val="center"/>
          </w:tcPr>
          <w:p w14:paraId="402B6FA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53945B0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60C567F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56AE98A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c>
          <w:tcPr>
            <w:tcW w:w="1761" w:type="dxa"/>
            <w:noWrap w:val="0"/>
            <w:vAlign w:val="center"/>
          </w:tcPr>
          <w:p w14:paraId="2245F39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7D0F7DAD">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c>
          <w:tcPr>
            <w:tcW w:w="826" w:type="dxa"/>
            <w:noWrap w:val="0"/>
            <w:vAlign w:val="center"/>
          </w:tcPr>
          <w:p w14:paraId="7B44FFA9">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420" w:leftChars="0" w:hanging="420" w:hangingChars="20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0.01</w:t>
            </w:r>
          </w:p>
        </w:tc>
      </w:tr>
      <w:tr w14:paraId="7AD96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3"/>
            <w:noWrap w:val="0"/>
            <w:vAlign w:val="center"/>
          </w:tcPr>
          <w:p w14:paraId="2BC41024">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生活垃圾</w:t>
            </w:r>
          </w:p>
        </w:tc>
        <w:tc>
          <w:tcPr>
            <w:tcW w:w="1701" w:type="dxa"/>
            <w:noWrap w:val="0"/>
            <w:vAlign w:val="center"/>
          </w:tcPr>
          <w:p w14:paraId="5B5CF0D5">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6E42A4B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5789461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559" w:type="dxa"/>
            <w:noWrap w:val="0"/>
            <w:vAlign w:val="center"/>
          </w:tcPr>
          <w:p w14:paraId="385C1EA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1761" w:type="dxa"/>
            <w:noWrap w:val="0"/>
            <w:vAlign w:val="center"/>
          </w:tcPr>
          <w:p w14:paraId="70BFADC1">
            <w:pPr>
              <w:pStyle w:val="41"/>
              <w:keepNext w:val="0"/>
              <w:keepLines w:val="0"/>
              <w:pageBreakBefore w:val="0"/>
              <w:widowControl w:val="0"/>
              <w:kinsoku/>
              <w:wordWrap/>
              <w:overflowPunct/>
              <w:topLinePunct w:val="0"/>
              <w:autoSpaceDE/>
              <w:autoSpaceDN/>
              <w:bidi w:val="0"/>
              <w:adjustRightInd w:val="0"/>
              <w:snapToGrid w:val="0"/>
              <w:spacing w:beforeLines="0" w:afterLines="0" w:line="240" w:lineRule="auto"/>
              <w:ind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959" w:type="dxa"/>
            <w:noWrap w:val="0"/>
            <w:vAlign w:val="center"/>
          </w:tcPr>
          <w:p w14:paraId="5D68EFA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c>
          <w:tcPr>
            <w:tcW w:w="826" w:type="dxa"/>
            <w:noWrap w:val="0"/>
            <w:vAlign w:val="center"/>
          </w:tcPr>
          <w:p w14:paraId="5D65D76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jc w:val="center"/>
              <w:textAlignment w:val="auto"/>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7.1175</w:t>
            </w:r>
          </w:p>
        </w:tc>
      </w:tr>
    </w:tbl>
    <w:p w14:paraId="6B28D1FA">
      <w:pPr>
        <w:pStyle w:val="41"/>
        <w:spacing w:before="192" w:beforeLines="80" w:after="24"/>
        <w:jc w:val="left"/>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eastAsia" w:ascii="Times New Roman" w:cs="Times New Roman"/>
          <w:snapToGrid w:val="0"/>
          <w:color w:val="000000" w:themeColor="text1"/>
          <w:spacing w:val="-16"/>
          <w:kern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p w14:paraId="404BB6D6">
      <w:pPr>
        <w:rPr>
          <w:rFonts w:hint="default"/>
        </w:rPr>
      </w:pPr>
      <w:r>
        <w:drawing>
          <wp:inline distT="0" distB="0" distL="114300" distR="114300">
            <wp:extent cx="5610860" cy="7296150"/>
            <wp:effectExtent l="0" t="0" r="889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2"/>
                    <a:stretch>
                      <a:fillRect/>
                    </a:stretch>
                  </pic:blipFill>
                  <pic:spPr>
                    <a:xfrm>
                      <a:off x="0" y="0"/>
                      <a:ext cx="5610860" cy="7296150"/>
                    </a:xfrm>
                    <a:prstGeom prst="rect">
                      <a:avLst/>
                    </a:prstGeom>
                    <a:noFill/>
                    <a:ln>
                      <a:noFill/>
                    </a:ln>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EA480">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3D12">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63B3">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8F67">
    <w:pPr>
      <w:pStyle w:val="13"/>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58D224">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98xBC4QEAAMIDAAAOAAAA&#10;AAAAAAEAIAAAAB4BAABkcnMvZTJvRG9jLnhtbFBLBQYAAAAABgAGAFkBAABxBQAAAAA=&#10;">
              <v:fill on="f" focussize="0,0"/>
              <v:stroke on="f"/>
              <v:imagedata o:title=""/>
              <o:lock v:ext="edit" aspectratio="f"/>
              <v:textbox inset="0mm,0mm,0mm,0mm" style="mso-fit-shape-to-text:t;">
                <w:txbxContent>
                  <w:p w14:paraId="0658D22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DFF7F">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2779395</wp:posOffset>
              </wp:positionH>
              <wp:positionV relativeFrom="paragraph">
                <wp:posOffset>-341630</wp:posOffset>
              </wp:positionV>
              <wp:extent cx="1828800" cy="1828800"/>
              <wp:effectExtent l="0" t="0" r="0" b="0"/>
              <wp:wrapNone/>
              <wp:docPr id="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C5F033">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8.85pt;margin-top:-26.9pt;height:144pt;width:144pt;mso-position-horizontal-relative:margin;mso-wrap-style:none;z-index:251659264;mso-width-relative:page;mso-height-relative:page;" filled="f" stroked="f" coordsize="21600,21600" o:gfxdata="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yEaVdcAAAALAQAA&#10;DwAAAAAAAAABACAAAAAiAAAAZHJzL2Rvd25yZXYueG1sUEsBAhQAFAAAAAgAh07iQMSfXWzhAQAA&#10;wQMAAA4AAAAAAAAAAQAgAAAAJgEAAGRycy9lMm9Eb2MueG1sUEsFBgAAAAAGAAYAWQEAAHkFAAAA&#10;AA==&#10;">
              <v:fill on="f" focussize="0,0"/>
              <v:stroke on="f"/>
              <v:imagedata o:title=""/>
              <o:lock v:ext="edit" aspectratio="f"/>
              <v:textbox inset="0mm,0mm,0mm,0mm" style="mso-fit-shape-to-text:t;">
                <w:txbxContent>
                  <w:p w14:paraId="65C5F033">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74BA">
    <w:pPr>
      <w:pStyle w:val="13"/>
      <w:ind w:right="360"/>
      <w:jc w:val="center"/>
    </w:pPr>
    <w:r>
      <w:rPr>
        <w:sz w:val="18"/>
      </w:rPr>
      <mc:AlternateContent>
        <mc:Choice Requires="wps">
          <w:drawing>
            <wp:anchor distT="0" distB="0" distL="114300" distR="114300" simplePos="0" relativeHeight="251662336" behindDoc="0" locked="0" layoutInCell="1" allowOverlap="1">
              <wp:simplePos x="0" y="0"/>
              <wp:positionH relativeFrom="margin">
                <wp:posOffset>4061460</wp:posOffset>
              </wp:positionH>
              <wp:positionV relativeFrom="paragraph">
                <wp:posOffset>-133350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B3FBD">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9.8pt;margin-top:-10.5pt;height:144pt;width:144pt;mso-position-horizontal-relative:margin;mso-wrap-style:none;z-index:251662336;mso-width-relative:page;mso-height-relative:page;" filled="f" stroked="f" coordsize="21600,21600" o:gfxdata="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Byqb7YAAAACwEAAA8AAAAAAAAAAQAgAAAAIgAAAGRycy9kb3ducmV2Lnht&#10;bFBLAQIUABQAAAAIAIdO4kCW3w8JMgIAAGMEAAAOAAAAAAAAAAEAIAAAACcBAABkcnMvZTJvRG9j&#10;LnhtbFBLBQYAAAAABgAGAFkBAADLBQAAAAA=&#10;">
              <v:fill on="f" focussize="0,0"/>
              <v:stroke on="f" weight="0.5pt"/>
              <v:imagedata o:title=""/>
              <o:lock v:ext="edit" aspectratio="f"/>
              <v:textbox inset="0mm,0mm,0mm,0mm" style="mso-fit-shape-to-text:t;">
                <w:txbxContent>
                  <w:p w14:paraId="5D7B3FBD">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BE8C">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2788920</wp:posOffset>
              </wp:positionH>
              <wp:positionV relativeFrom="paragraph">
                <wp:posOffset>-419100</wp:posOffset>
              </wp:positionV>
              <wp:extent cx="1828800" cy="1828800"/>
              <wp:effectExtent l="0" t="0" r="0" b="0"/>
              <wp:wrapNone/>
              <wp:docPr id="20"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8B6272">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9.6pt;margin-top:-33pt;height:144pt;width:144pt;mso-position-horizontal-relative:margin;mso-wrap-style:none;z-index:251661312;mso-width-relative:page;mso-height-relative:page;" filled="f" stroked="f" coordsize="21600,21600" o:gfxdata="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6rsKNcAAAALAQAA&#10;DwAAAAAAAAABACAAAAAiAAAAZHJzL2Rvd25yZXYueG1sUEsBAhQAFAAAAAgAh07iQLc/y1jhAQAA&#10;wgMAAA4AAAAAAAAAAQAgAAAAJgEAAGRycy9lMm9Eb2MueG1sUEsFBgAAAAAGAAYAWQEAAHkFAAAA&#10;AA==&#10;">
              <v:fill on="f" focussize="0,0"/>
              <v:stroke on="f"/>
              <v:imagedata o:title=""/>
              <o:lock v:ext="edit" aspectratio="f"/>
              <v:textbox inset="0mm,0mm,0mm,0mm" style="mso-fit-shape-to-text:t;">
                <w:txbxContent>
                  <w:p w14:paraId="588B6272">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2295">
    <w:pPr>
      <w:pStyle w:val="13"/>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2788920</wp:posOffset>
              </wp:positionH>
              <wp:positionV relativeFrom="paragraph">
                <wp:posOffset>-419100</wp:posOffset>
              </wp:positionV>
              <wp:extent cx="1828800" cy="1828800"/>
              <wp:effectExtent l="0" t="0" r="0" b="0"/>
              <wp:wrapNone/>
              <wp:docPr id="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E78E12">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left:219.6pt;margin-top:-33pt;height:144pt;width:144pt;mso-position-horizontal-relative:margin;mso-wrap-style:none;z-index:251663360;mso-width-relative:page;mso-height-relative:page;" filled="f" stroked="f" coordsize="21600,21600" o:gfxdata="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6rsKNcAAAALAQAA&#10;DwAAAAAAAAABACAAAAAiAAAAZHJzL2Rvd25yZXYueG1sUEsBAhQAFAAAAAgAh07iQLfRRr3hAQAA&#10;wQMAAA4AAAAAAAAAAQAgAAAAJgEAAGRycy9lMm9Eb2MueG1sUEsFBgAAAAAGAAYAWQEAAHkFAAAA&#10;AA==&#10;">
              <v:fill on="f" focussize="0,0"/>
              <v:stroke on="f"/>
              <v:imagedata o:title=""/>
              <o:lock v:ext="edit" aspectratio="f"/>
              <v:textbox inset="0mm,0mm,0mm,0mm" style="mso-fit-shape-to-text:t;">
                <w:txbxContent>
                  <w:p w14:paraId="0FE78E12">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1F6EE">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2F580">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LbIPG4QEAAMEDAAAOAAAA&#10;AAAAAAEAIAAAAB4BAABkcnMvZTJvRG9jLnhtbFBLBQYAAAAABgAGAFkBAABxBQAAAAA=&#10;">
              <v:fill on="f" focussize="0,0"/>
              <v:stroke on="f"/>
              <v:imagedata o:title=""/>
              <o:lock v:ext="edit" aspectratio="f"/>
              <v:textbox inset="0mm,0mm,0mm,0mm" style="mso-fit-shape-to-text:t;">
                <w:txbxContent>
                  <w:p w14:paraId="2812F580">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15AA3"/>
    <w:multiLevelType w:val="singleLevel"/>
    <w:tmpl w:val="80E15AA3"/>
    <w:lvl w:ilvl="0" w:tentative="0">
      <w:start w:val="1"/>
      <w:numFmt w:val="decimal"/>
      <w:suff w:val="nothing"/>
      <w:lvlText w:val="%1、"/>
      <w:lvlJc w:val="left"/>
    </w:lvl>
  </w:abstractNum>
  <w:abstractNum w:abstractNumId="1">
    <w:nsid w:val="A0547C94"/>
    <w:multiLevelType w:val="singleLevel"/>
    <w:tmpl w:val="A0547C94"/>
    <w:lvl w:ilvl="0" w:tentative="0">
      <w:start w:val="1"/>
      <w:numFmt w:val="decimal"/>
      <w:suff w:val="nothing"/>
      <w:lvlText w:val="%1、"/>
      <w:lvlJc w:val="left"/>
    </w:lvl>
  </w:abstractNum>
  <w:abstractNum w:abstractNumId="2">
    <w:nsid w:val="B3701782"/>
    <w:multiLevelType w:val="singleLevel"/>
    <w:tmpl w:val="B3701782"/>
    <w:lvl w:ilvl="0" w:tentative="0">
      <w:start w:val="1"/>
      <w:numFmt w:val="decimal"/>
      <w:suff w:val="nothing"/>
      <w:lvlText w:val="（%1）"/>
      <w:lvlJc w:val="left"/>
    </w:lvl>
  </w:abstractNum>
  <w:abstractNum w:abstractNumId="3">
    <w:nsid w:val="EDF02EE6"/>
    <w:multiLevelType w:val="singleLevel"/>
    <w:tmpl w:val="EDF02EE6"/>
    <w:lvl w:ilvl="0" w:tentative="0">
      <w:start w:val="2"/>
      <w:numFmt w:val="decimal"/>
      <w:suff w:val="nothing"/>
      <w:lvlText w:val="（%1）"/>
      <w:lvlJc w:val="left"/>
    </w:lvl>
  </w:abstractNum>
  <w:abstractNum w:abstractNumId="4">
    <w:nsid w:val="031ABBBE"/>
    <w:multiLevelType w:val="singleLevel"/>
    <w:tmpl w:val="031ABBBE"/>
    <w:lvl w:ilvl="0" w:tentative="0">
      <w:start w:val="1"/>
      <w:numFmt w:val="chineseCounting"/>
      <w:suff w:val="nothing"/>
      <w:lvlText w:val="（%1）"/>
      <w:lvlJc w:val="left"/>
      <w:rPr>
        <w:rFonts w:hint="eastAsia"/>
      </w:rPr>
    </w:lvl>
  </w:abstractNum>
  <w:abstractNum w:abstractNumId="5">
    <w:nsid w:val="14510A07"/>
    <w:multiLevelType w:val="singleLevel"/>
    <w:tmpl w:val="14510A07"/>
    <w:lvl w:ilvl="0" w:tentative="0">
      <w:start w:val="1"/>
      <w:numFmt w:val="decimal"/>
      <w:suff w:val="nothing"/>
      <w:lvlText w:val="（%1）"/>
      <w:lvlJc w:val="left"/>
    </w:lvl>
  </w:abstractNum>
  <w:abstractNum w:abstractNumId="6">
    <w:nsid w:val="4D44E6B5"/>
    <w:multiLevelType w:val="singleLevel"/>
    <w:tmpl w:val="4D44E6B5"/>
    <w:lvl w:ilvl="0" w:tentative="0">
      <w:start w:val="3"/>
      <w:numFmt w:val="decimal"/>
      <w:suff w:val="nothing"/>
      <w:lvlText w:val="（%1）"/>
      <w:lvlJc w:val="left"/>
    </w:lvl>
  </w:abstractNum>
  <w:abstractNum w:abstractNumId="7">
    <w:nsid w:val="6ECAB407"/>
    <w:multiLevelType w:val="singleLevel"/>
    <w:tmpl w:val="6ECAB407"/>
    <w:lvl w:ilvl="0" w:tentative="0">
      <w:start w:val="2"/>
      <w:numFmt w:val="decimal"/>
      <w:suff w:val="nothing"/>
      <w:lvlText w:val="（%1）"/>
      <w:lvlJc w:val="left"/>
    </w:lvl>
  </w:abstractNum>
  <w:num w:numId="1">
    <w:abstractNumId w:val="0"/>
  </w:num>
  <w:num w:numId="2">
    <w:abstractNumId w:val="1"/>
  </w:num>
  <w:num w:numId="3">
    <w:abstractNumId w:val="4"/>
  </w:num>
  <w:num w:numId="4">
    <w:abstractNumId w:val="2"/>
  </w:num>
  <w:num w:numId="5">
    <w:abstractNumId w:val="7"/>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5FD9"/>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2D5C"/>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921238"/>
    <w:rsid w:val="02B44EB7"/>
    <w:rsid w:val="02DF1AF5"/>
    <w:rsid w:val="02F96569"/>
    <w:rsid w:val="03D251BA"/>
    <w:rsid w:val="03EA7B21"/>
    <w:rsid w:val="054914AE"/>
    <w:rsid w:val="05535A7D"/>
    <w:rsid w:val="05F83EAE"/>
    <w:rsid w:val="063E7D85"/>
    <w:rsid w:val="07293586"/>
    <w:rsid w:val="07295285"/>
    <w:rsid w:val="07636392"/>
    <w:rsid w:val="076E3F95"/>
    <w:rsid w:val="07770C56"/>
    <w:rsid w:val="079A171A"/>
    <w:rsid w:val="07DB0C2F"/>
    <w:rsid w:val="092217DD"/>
    <w:rsid w:val="093A7294"/>
    <w:rsid w:val="09EB6897"/>
    <w:rsid w:val="0A263993"/>
    <w:rsid w:val="0A2D3AC2"/>
    <w:rsid w:val="0A7E1B63"/>
    <w:rsid w:val="0AA755DF"/>
    <w:rsid w:val="0ADC15A3"/>
    <w:rsid w:val="0B120D44"/>
    <w:rsid w:val="0B5254D8"/>
    <w:rsid w:val="0BD27BF6"/>
    <w:rsid w:val="0C3B3C7D"/>
    <w:rsid w:val="0CAB2EAE"/>
    <w:rsid w:val="0CFD354A"/>
    <w:rsid w:val="0D621C7D"/>
    <w:rsid w:val="0DB02F01"/>
    <w:rsid w:val="0E73034D"/>
    <w:rsid w:val="0F13775A"/>
    <w:rsid w:val="0F5F45FE"/>
    <w:rsid w:val="0F823FEC"/>
    <w:rsid w:val="0F9853C4"/>
    <w:rsid w:val="0F9A112B"/>
    <w:rsid w:val="10036457"/>
    <w:rsid w:val="106D2F64"/>
    <w:rsid w:val="108D683E"/>
    <w:rsid w:val="10B63710"/>
    <w:rsid w:val="10F10820"/>
    <w:rsid w:val="111C2F7A"/>
    <w:rsid w:val="11665CA1"/>
    <w:rsid w:val="116F6768"/>
    <w:rsid w:val="13611005"/>
    <w:rsid w:val="138D222D"/>
    <w:rsid w:val="13951726"/>
    <w:rsid w:val="13A3505B"/>
    <w:rsid w:val="13F05A62"/>
    <w:rsid w:val="14396509"/>
    <w:rsid w:val="14DD2C3C"/>
    <w:rsid w:val="15203849"/>
    <w:rsid w:val="16087E1D"/>
    <w:rsid w:val="162B00F5"/>
    <w:rsid w:val="16344554"/>
    <w:rsid w:val="164C5CE4"/>
    <w:rsid w:val="16821E79"/>
    <w:rsid w:val="17701D14"/>
    <w:rsid w:val="17735226"/>
    <w:rsid w:val="17D30536"/>
    <w:rsid w:val="183D4FEE"/>
    <w:rsid w:val="18573F5E"/>
    <w:rsid w:val="189F4747"/>
    <w:rsid w:val="189F624C"/>
    <w:rsid w:val="1A1C66C0"/>
    <w:rsid w:val="1A42393B"/>
    <w:rsid w:val="1A833C6E"/>
    <w:rsid w:val="1AAD45DE"/>
    <w:rsid w:val="1B046F80"/>
    <w:rsid w:val="1B3267B5"/>
    <w:rsid w:val="1B40161D"/>
    <w:rsid w:val="1B441859"/>
    <w:rsid w:val="1B6606B1"/>
    <w:rsid w:val="1C540487"/>
    <w:rsid w:val="1C5E7925"/>
    <w:rsid w:val="1CF77099"/>
    <w:rsid w:val="1CFD070F"/>
    <w:rsid w:val="1D5F6196"/>
    <w:rsid w:val="1D6132A5"/>
    <w:rsid w:val="1D8E56D5"/>
    <w:rsid w:val="1DCE6620"/>
    <w:rsid w:val="1E7A43DA"/>
    <w:rsid w:val="1FE7539E"/>
    <w:rsid w:val="20671BE0"/>
    <w:rsid w:val="20963CB8"/>
    <w:rsid w:val="20A81A1B"/>
    <w:rsid w:val="20B07FB6"/>
    <w:rsid w:val="20B646FB"/>
    <w:rsid w:val="213B74B1"/>
    <w:rsid w:val="215A2310"/>
    <w:rsid w:val="21DE318A"/>
    <w:rsid w:val="21EF5B80"/>
    <w:rsid w:val="22576990"/>
    <w:rsid w:val="225E50EE"/>
    <w:rsid w:val="22F47480"/>
    <w:rsid w:val="23B13923"/>
    <w:rsid w:val="23DE1C48"/>
    <w:rsid w:val="240210CD"/>
    <w:rsid w:val="249B199D"/>
    <w:rsid w:val="24BF09F7"/>
    <w:rsid w:val="252D53FE"/>
    <w:rsid w:val="25EC2D81"/>
    <w:rsid w:val="26881050"/>
    <w:rsid w:val="277057A2"/>
    <w:rsid w:val="27E00C2E"/>
    <w:rsid w:val="28E026ED"/>
    <w:rsid w:val="29206EB8"/>
    <w:rsid w:val="29595666"/>
    <w:rsid w:val="29874881"/>
    <w:rsid w:val="29E325E0"/>
    <w:rsid w:val="2A325FF3"/>
    <w:rsid w:val="2A452503"/>
    <w:rsid w:val="2BA936A8"/>
    <w:rsid w:val="2BBB1AF8"/>
    <w:rsid w:val="2C315A5A"/>
    <w:rsid w:val="2C4B1C25"/>
    <w:rsid w:val="2CCF72B8"/>
    <w:rsid w:val="2D9E56F5"/>
    <w:rsid w:val="2E667F96"/>
    <w:rsid w:val="2E8226AB"/>
    <w:rsid w:val="2E9D07CE"/>
    <w:rsid w:val="2FD065E6"/>
    <w:rsid w:val="2FD96870"/>
    <w:rsid w:val="2FE36291"/>
    <w:rsid w:val="30580BC9"/>
    <w:rsid w:val="311E2ED7"/>
    <w:rsid w:val="315619EE"/>
    <w:rsid w:val="315C449C"/>
    <w:rsid w:val="31B82709"/>
    <w:rsid w:val="31D05482"/>
    <w:rsid w:val="32400B34"/>
    <w:rsid w:val="328879D7"/>
    <w:rsid w:val="329E6876"/>
    <w:rsid w:val="32B83797"/>
    <w:rsid w:val="333015F2"/>
    <w:rsid w:val="334B6320"/>
    <w:rsid w:val="337C2B1F"/>
    <w:rsid w:val="33D934D4"/>
    <w:rsid w:val="33FE2F6A"/>
    <w:rsid w:val="340E07E5"/>
    <w:rsid w:val="34235BF7"/>
    <w:rsid w:val="352B64A2"/>
    <w:rsid w:val="358C5FA8"/>
    <w:rsid w:val="35C15DF1"/>
    <w:rsid w:val="36074A7F"/>
    <w:rsid w:val="361E020A"/>
    <w:rsid w:val="36923549"/>
    <w:rsid w:val="36B75FBF"/>
    <w:rsid w:val="36BD0C45"/>
    <w:rsid w:val="36E52680"/>
    <w:rsid w:val="3722558B"/>
    <w:rsid w:val="377F0D27"/>
    <w:rsid w:val="37E00298"/>
    <w:rsid w:val="3863216F"/>
    <w:rsid w:val="38B302F9"/>
    <w:rsid w:val="38F12CD3"/>
    <w:rsid w:val="38F94775"/>
    <w:rsid w:val="392971ED"/>
    <w:rsid w:val="39325651"/>
    <w:rsid w:val="39873EC3"/>
    <w:rsid w:val="39896262"/>
    <w:rsid w:val="3A872856"/>
    <w:rsid w:val="3B3763D1"/>
    <w:rsid w:val="3BE60717"/>
    <w:rsid w:val="3C0E3235"/>
    <w:rsid w:val="3C2F6E1E"/>
    <w:rsid w:val="3C4F64BA"/>
    <w:rsid w:val="3C8179D9"/>
    <w:rsid w:val="3CCC6AD4"/>
    <w:rsid w:val="3CDA245A"/>
    <w:rsid w:val="3D1E06B7"/>
    <w:rsid w:val="3D83552A"/>
    <w:rsid w:val="3E35213F"/>
    <w:rsid w:val="3EDA0523"/>
    <w:rsid w:val="407A6407"/>
    <w:rsid w:val="409D5991"/>
    <w:rsid w:val="412B1EB3"/>
    <w:rsid w:val="4200449D"/>
    <w:rsid w:val="423A3BCC"/>
    <w:rsid w:val="424E57D2"/>
    <w:rsid w:val="42B26C49"/>
    <w:rsid w:val="433A6FE6"/>
    <w:rsid w:val="43480868"/>
    <w:rsid w:val="4350713C"/>
    <w:rsid w:val="436653E0"/>
    <w:rsid w:val="43C4431A"/>
    <w:rsid w:val="44024872"/>
    <w:rsid w:val="44B951CC"/>
    <w:rsid w:val="44CD14E0"/>
    <w:rsid w:val="44F20B0B"/>
    <w:rsid w:val="452E5F4C"/>
    <w:rsid w:val="45612018"/>
    <w:rsid w:val="458946E9"/>
    <w:rsid w:val="45A47C0E"/>
    <w:rsid w:val="46577FD6"/>
    <w:rsid w:val="46D955A7"/>
    <w:rsid w:val="46EA727F"/>
    <w:rsid w:val="47133957"/>
    <w:rsid w:val="47A07E0C"/>
    <w:rsid w:val="47B74C12"/>
    <w:rsid w:val="486A1B93"/>
    <w:rsid w:val="4870272E"/>
    <w:rsid w:val="49DC7715"/>
    <w:rsid w:val="4A023139"/>
    <w:rsid w:val="4A15386D"/>
    <w:rsid w:val="4A7B576F"/>
    <w:rsid w:val="4ACD4D3F"/>
    <w:rsid w:val="4AE90539"/>
    <w:rsid w:val="4AF561A9"/>
    <w:rsid w:val="4B06571F"/>
    <w:rsid w:val="4B4810FB"/>
    <w:rsid w:val="4B6C12B9"/>
    <w:rsid w:val="4C4A0649"/>
    <w:rsid w:val="4C7E5ECA"/>
    <w:rsid w:val="4C876AA5"/>
    <w:rsid w:val="4D0E00FB"/>
    <w:rsid w:val="4D176606"/>
    <w:rsid w:val="4D762F52"/>
    <w:rsid w:val="4DAB2BFA"/>
    <w:rsid w:val="4DB32B4C"/>
    <w:rsid w:val="4DEC4FB0"/>
    <w:rsid w:val="4E075D8A"/>
    <w:rsid w:val="4E674922"/>
    <w:rsid w:val="4EC00FAD"/>
    <w:rsid w:val="4F0B3174"/>
    <w:rsid w:val="4F9843DC"/>
    <w:rsid w:val="4FB07346"/>
    <w:rsid w:val="4FB349BB"/>
    <w:rsid w:val="4FB433E0"/>
    <w:rsid w:val="4FC62A8C"/>
    <w:rsid w:val="4FE20F0D"/>
    <w:rsid w:val="4FE51552"/>
    <w:rsid w:val="50504C4B"/>
    <w:rsid w:val="509C6E7C"/>
    <w:rsid w:val="5162104E"/>
    <w:rsid w:val="52033A7D"/>
    <w:rsid w:val="53A039CC"/>
    <w:rsid w:val="53A1505A"/>
    <w:rsid w:val="54063E08"/>
    <w:rsid w:val="543437E8"/>
    <w:rsid w:val="5491539E"/>
    <w:rsid w:val="54F73313"/>
    <w:rsid w:val="54F80955"/>
    <w:rsid w:val="552029B2"/>
    <w:rsid w:val="555170A7"/>
    <w:rsid w:val="5587536D"/>
    <w:rsid w:val="559B174B"/>
    <w:rsid w:val="55CE0CF4"/>
    <w:rsid w:val="5692084A"/>
    <w:rsid w:val="56B22A9C"/>
    <w:rsid w:val="56B44CDC"/>
    <w:rsid w:val="56C105BC"/>
    <w:rsid w:val="577648C5"/>
    <w:rsid w:val="57B72A76"/>
    <w:rsid w:val="57C3426C"/>
    <w:rsid w:val="57CE1F93"/>
    <w:rsid w:val="580B5816"/>
    <w:rsid w:val="588743D1"/>
    <w:rsid w:val="5887701A"/>
    <w:rsid w:val="59A33FA9"/>
    <w:rsid w:val="59B06FA2"/>
    <w:rsid w:val="59C0439F"/>
    <w:rsid w:val="59E52CA1"/>
    <w:rsid w:val="5ABE2233"/>
    <w:rsid w:val="5B323837"/>
    <w:rsid w:val="5B8B17A8"/>
    <w:rsid w:val="5BDF5D95"/>
    <w:rsid w:val="5BFE7528"/>
    <w:rsid w:val="5CB5471F"/>
    <w:rsid w:val="5CB75C06"/>
    <w:rsid w:val="5CD56382"/>
    <w:rsid w:val="5DFF0A72"/>
    <w:rsid w:val="5E2467F1"/>
    <w:rsid w:val="5F1A2B43"/>
    <w:rsid w:val="5F3B3BE1"/>
    <w:rsid w:val="5F5C5FB8"/>
    <w:rsid w:val="5FB837BB"/>
    <w:rsid w:val="60CC405A"/>
    <w:rsid w:val="610807BB"/>
    <w:rsid w:val="61942AD7"/>
    <w:rsid w:val="61D3294B"/>
    <w:rsid w:val="61E215D8"/>
    <w:rsid w:val="621B3775"/>
    <w:rsid w:val="62364782"/>
    <w:rsid w:val="63047520"/>
    <w:rsid w:val="633B3875"/>
    <w:rsid w:val="6394356A"/>
    <w:rsid w:val="63954BB2"/>
    <w:rsid w:val="63C61B2C"/>
    <w:rsid w:val="63D40BE9"/>
    <w:rsid w:val="64102431"/>
    <w:rsid w:val="64A5243A"/>
    <w:rsid w:val="64F531DE"/>
    <w:rsid w:val="65373578"/>
    <w:rsid w:val="66AD30A8"/>
    <w:rsid w:val="66DD0610"/>
    <w:rsid w:val="671F124A"/>
    <w:rsid w:val="677A33C6"/>
    <w:rsid w:val="681F6961"/>
    <w:rsid w:val="68610A2F"/>
    <w:rsid w:val="68805514"/>
    <w:rsid w:val="69316E2F"/>
    <w:rsid w:val="693C5427"/>
    <w:rsid w:val="694E2071"/>
    <w:rsid w:val="69766163"/>
    <w:rsid w:val="697A3B33"/>
    <w:rsid w:val="69D44760"/>
    <w:rsid w:val="6A295353"/>
    <w:rsid w:val="6A520EC7"/>
    <w:rsid w:val="6AF87E20"/>
    <w:rsid w:val="6B322639"/>
    <w:rsid w:val="6B733C1C"/>
    <w:rsid w:val="6C636C38"/>
    <w:rsid w:val="6C8A5EFB"/>
    <w:rsid w:val="6D5B5893"/>
    <w:rsid w:val="6DB34098"/>
    <w:rsid w:val="6DB545B6"/>
    <w:rsid w:val="6DC26C9C"/>
    <w:rsid w:val="6DE02FB4"/>
    <w:rsid w:val="6E514CED"/>
    <w:rsid w:val="6EB563D5"/>
    <w:rsid w:val="6ED92677"/>
    <w:rsid w:val="6F026AF9"/>
    <w:rsid w:val="6F225983"/>
    <w:rsid w:val="6FFC5590"/>
    <w:rsid w:val="70090695"/>
    <w:rsid w:val="706D1DD0"/>
    <w:rsid w:val="70856B87"/>
    <w:rsid w:val="70D527EE"/>
    <w:rsid w:val="71596B3E"/>
    <w:rsid w:val="715B5300"/>
    <w:rsid w:val="71D27F8A"/>
    <w:rsid w:val="72553024"/>
    <w:rsid w:val="72823A24"/>
    <w:rsid w:val="73122968"/>
    <w:rsid w:val="731F5D5E"/>
    <w:rsid w:val="73C51AD5"/>
    <w:rsid w:val="741E793C"/>
    <w:rsid w:val="745E3944"/>
    <w:rsid w:val="7468534A"/>
    <w:rsid w:val="747E553D"/>
    <w:rsid w:val="75556FF1"/>
    <w:rsid w:val="7635099D"/>
    <w:rsid w:val="771B11CB"/>
    <w:rsid w:val="77762421"/>
    <w:rsid w:val="77B56B1F"/>
    <w:rsid w:val="780F09F4"/>
    <w:rsid w:val="78A90480"/>
    <w:rsid w:val="79301C29"/>
    <w:rsid w:val="79542EC9"/>
    <w:rsid w:val="7A364017"/>
    <w:rsid w:val="7A663753"/>
    <w:rsid w:val="7A8265E1"/>
    <w:rsid w:val="7B686D42"/>
    <w:rsid w:val="7B841746"/>
    <w:rsid w:val="7C6C5AC7"/>
    <w:rsid w:val="7CC6544B"/>
    <w:rsid w:val="7D0239FF"/>
    <w:rsid w:val="7D5E40CD"/>
    <w:rsid w:val="7DCD56F2"/>
    <w:rsid w:val="7F001CE7"/>
    <w:rsid w:val="7F216E3E"/>
    <w:rsid w:val="7F6C0D2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4">
    <w:name w:val="Note Heading"/>
    <w:basedOn w:val="1"/>
    <w:next w:val="1"/>
    <w:qFormat/>
    <w:locked/>
    <w:uiPriority w:val="0"/>
    <w:pPr>
      <w:spacing w:line="240" w:lineRule="auto"/>
      <w:ind w:firstLine="0" w:firstLineChars="0"/>
      <w:jc w:val="center"/>
    </w:pPr>
    <w:rPr>
      <w:rFonts w:cs="宋体"/>
      <w:b/>
    </w:rPr>
  </w:style>
  <w:style w:type="paragraph" w:styleId="5">
    <w:name w:val="Normal Indent"/>
    <w:basedOn w:val="1"/>
    <w:next w:val="1"/>
    <w:qFormat/>
    <w:locked/>
    <w:uiPriority w:val="0"/>
    <w:pPr>
      <w:ind w:firstLine="420"/>
    </w:pPr>
    <w:rPr>
      <w:szCs w:val="20"/>
    </w:rPr>
  </w:style>
  <w:style w:type="paragraph" w:styleId="6">
    <w:name w:val="annotation text"/>
    <w:basedOn w:val="1"/>
    <w:link w:val="29"/>
    <w:semiHidden/>
    <w:qFormat/>
    <w:uiPriority w:val="0"/>
    <w:pPr>
      <w:jc w:val="left"/>
    </w:pPr>
    <w:rPr>
      <w:kern w:val="0"/>
      <w:sz w:val="24"/>
      <w:szCs w:val="20"/>
    </w:rPr>
  </w:style>
  <w:style w:type="paragraph" w:styleId="7">
    <w:name w:val="Body Text"/>
    <w:basedOn w:val="1"/>
    <w:link w:val="30"/>
    <w:qFormat/>
    <w:uiPriority w:val="0"/>
    <w:pPr>
      <w:widowControl/>
      <w:snapToGrid w:val="0"/>
      <w:spacing w:before="60" w:after="160" w:line="259" w:lineRule="auto"/>
      <w:ind w:right="113"/>
    </w:pPr>
    <w:rPr>
      <w:kern w:val="0"/>
      <w:sz w:val="18"/>
      <w:szCs w:val="20"/>
    </w:rPr>
  </w:style>
  <w:style w:type="paragraph" w:styleId="8">
    <w:name w:val="Body Text Indent"/>
    <w:basedOn w:val="1"/>
    <w:link w:val="31"/>
    <w:qFormat/>
    <w:uiPriority w:val="0"/>
    <w:pPr>
      <w:spacing w:after="120"/>
      <w:ind w:left="420" w:leftChars="200"/>
    </w:pPr>
    <w:rPr>
      <w:kern w:val="0"/>
      <w:sz w:val="24"/>
      <w:szCs w:val="20"/>
    </w:rPr>
  </w:style>
  <w:style w:type="paragraph" w:styleId="9">
    <w:name w:val="Plain Text"/>
    <w:basedOn w:val="1"/>
    <w:qFormat/>
    <w:locked/>
    <w:uiPriority w:val="0"/>
    <w:rPr>
      <w:rFonts w:ascii="宋体" w:hAnsi="Courier New"/>
      <w:kern w:val="0"/>
      <w:sz w:val="20"/>
      <w:szCs w:val="20"/>
    </w:rPr>
  </w:style>
  <w:style w:type="paragraph" w:styleId="10">
    <w:name w:val="Date"/>
    <w:basedOn w:val="1"/>
    <w:next w:val="1"/>
    <w:link w:val="32"/>
    <w:qFormat/>
    <w:uiPriority w:val="0"/>
    <w:pPr>
      <w:ind w:left="100" w:leftChars="2500"/>
    </w:pPr>
    <w:rPr>
      <w:kern w:val="0"/>
      <w:sz w:val="24"/>
      <w:szCs w:val="20"/>
    </w:rPr>
  </w:style>
  <w:style w:type="paragraph" w:styleId="11">
    <w:name w:val="Body Text Indent 2"/>
    <w:basedOn w:val="1"/>
    <w:qFormat/>
    <w:locked/>
    <w:uiPriority w:val="0"/>
    <w:pPr>
      <w:spacing w:after="120" w:line="480" w:lineRule="auto"/>
      <w:ind w:left="420" w:leftChars="200"/>
    </w:pPr>
  </w:style>
  <w:style w:type="paragraph" w:styleId="12">
    <w:name w:val="Balloon Text"/>
    <w:basedOn w:val="1"/>
    <w:link w:val="33"/>
    <w:semiHidden/>
    <w:qFormat/>
    <w:uiPriority w:val="0"/>
    <w:rPr>
      <w:kern w:val="0"/>
      <w:sz w:val="18"/>
      <w:szCs w:val="20"/>
    </w:rPr>
  </w:style>
  <w:style w:type="paragraph" w:styleId="13">
    <w:name w:val="footer"/>
    <w:basedOn w:val="1"/>
    <w:link w:val="34"/>
    <w:qFormat/>
    <w:uiPriority w:val="99"/>
    <w:pPr>
      <w:tabs>
        <w:tab w:val="center" w:pos="4153"/>
        <w:tab w:val="right" w:pos="8306"/>
      </w:tabs>
      <w:snapToGrid w:val="0"/>
      <w:jc w:val="left"/>
    </w:pPr>
    <w:rPr>
      <w:kern w:val="0"/>
      <w:sz w:val="18"/>
      <w:szCs w:val="20"/>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able of figures"/>
    <w:basedOn w:val="1"/>
    <w:next w:val="1"/>
    <w:qFormat/>
    <w:locked/>
    <w:uiPriority w:val="0"/>
    <w:pPr>
      <w:ind w:leftChars="200" w:hanging="200" w:hangingChars="200"/>
    </w:pPr>
  </w:style>
  <w:style w:type="paragraph" w:styleId="16">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37"/>
    <w:semiHidden/>
    <w:qFormat/>
    <w:uiPriority w:val="0"/>
    <w:rPr>
      <w:b/>
      <w:sz w:val="24"/>
      <w:szCs w:val="20"/>
    </w:rPr>
  </w:style>
  <w:style w:type="paragraph" w:styleId="18">
    <w:name w:val="Body Text First Indent"/>
    <w:basedOn w:val="7"/>
    <w:unhideWhenUsed/>
    <w:qFormat/>
    <w:locked/>
    <w:uiPriority w:val="99"/>
    <w:pPr>
      <w:spacing w:after="120" w:line="360" w:lineRule="auto"/>
      <w:ind w:firstLine="420" w:firstLineChars="100"/>
    </w:pPr>
    <w:rPr>
      <w:kern w:val="2"/>
      <w:szCs w:val="22"/>
    </w:rPr>
  </w:style>
  <w:style w:type="paragraph" w:styleId="19">
    <w:name w:val="Body Text First Indent 2"/>
    <w:basedOn w:val="8"/>
    <w:next w:val="18"/>
    <w:qFormat/>
    <w:locked/>
    <w:uiPriority w:val="0"/>
    <w:pPr>
      <w:ind w:firstLine="420" w:firstLineChars="200"/>
    </w:p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0"/>
    <w:rPr>
      <w:b/>
    </w:rPr>
  </w:style>
  <w:style w:type="character" w:styleId="24">
    <w:name w:val="page number"/>
    <w:basedOn w:val="22"/>
    <w:qFormat/>
    <w:locked/>
    <w:uiPriority w:val="0"/>
  </w:style>
  <w:style w:type="character" w:styleId="25">
    <w:name w:val="Emphasis"/>
    <w:basedOn w:val="22"/>
    <w:qFormat/>
    <w:locked/>
    <w:uiPriority w:val="0"/>
    <w:rPr>
      <w:i/>
    </w:rPr>
  </w:style>
  <w:style w:type="character" w:styleId="26">
    <w:name w:val="annotation reference"/>
    <w:semiHidden/>
    <w:qFormat/>
    <w:uiPriority w:val="0"/>
    <w:rPr>
      <w:sz w:val="21"/>
    </w:rPr>
  </w:style>
  <w:style w:type="paragraph" w:customStyle="1" w:styleId="27">
    <w:name w:val="Default"/>
    <w:basedOn w:val="28"/>
    <w:next w:val="3"/>
    <w:qFormat/>
    <w:uiPriority w:val="0"/>
    <w:pPr>
      <w:widowControl w:val="0"/>
      <w:autoSpaceDE w:val="0"/>
      <w:autoSpaceDN w:val="0"/>
      <w:adjustRightInd w:val="0"/>
    </w:pPr>
    <w:rPr>
      <w:rFonts w:ascii="幼圆" w:hAnsi="Times New Roman" w:eastAsia="幼圆" w:cs="Times New Roman"/>
      <w:color w:val="000000"/>
      <w:sz w:val="24"/>
      <w:szCs w:val="24"/>
      <w:lang w:val="en-US" w:eastAsia="zh-CN" w:bidi="ar-SA"/>
    </w:rPr>
  </w:style>
  <w:style w:type="paragraph" w:customStyle="1" w:styleId="28">
    <w:name w:val="纯文本1"/>
    <w:basedOn w:val="1"/>
    <w:qFormat/>
    <w:uiPriority w:val="0"/>
    <w:pPr>
      <w:textAlignment w:val="baseline"/>
    </w:pPr>
    <w:rPr>
      <w:rFonts w:ascii="宋体" w:hAnsi="Courier New"/>
      <w:sz w:val="28"/>
    </w:rPr>
  </w:style>
  <w:style w:type="character" w:customStyle="1" w:styleId="29">
    <w:name w:val="批注文字 Char"/>
    <w:link w:val="6"/>
    <w:qFormat/>
    <w:locked/>
    <w:uiPriority w:val="0"/>
    <w:rPr>
      <w:rFonts w:ascii="Times New Roman" w:hAnsi="Times New Roman" w:eastAsia="宋体"/>
      <w:sz w:val="24"/>
    </w:rPr>
  </w:style>
  <w:style w:type="character" w:customStyle="1" w:styleId="30">
    <w:name w:val="正文文本 Char"/>
    <w:link w:val="7"/>
    <w:qFormat/>
    <w:locked/>
    <w:uiPriority w:val="0"/>
    <w:rPr>
      <w:sz w:val="18"/>
    </w:rPr>
  </w:style>
  <w:style w:type="character" w:customStyle="1" w:styleId="31">
    <w:name w:val="正文文本缩进 Char"/>
    <w:link w:val="8"/>
    <w:semiHidden/>
    <w:qFormat/>
    <w:locked/>
    <w:uiPriority w:val="0"/>
    <w:rPr>
      <w:rFonts w:ascii="Times New Roman" w:hAnsi="Times New Roman" w:eastAsia="宋体"/>
      <w:sz w:val="24"/>
    </w:rPr>
  </w:style>
  <w:style w:type="character" w:customStyle="1" w:styleId="32">
    <w:name w:val="日期 Char"/>
    <w:link w:val="10"/>
    <w:qFormat/>
    <w:locked/>
    <w:uiPriority w:val="0"/>
    <w:rPr>
      <w:rFonts w:ascii="Times New Roman" w:hAnsi="Times New Roman" w:eastAsia="宋体"/>
      <w:sz w:val="24"/>
    </w:rPr>
  </w:style>
  <w:style w:type="character" w:customStyle="1" w:styleId="33">
    <w:name w:val="批注框文本 Char"/>
    <w:link w:val="12"/>
    <w:semiHidden/>
    <w:qFormat/>
    <w:locked/>
    <w:uiPriority w:val="0"/>
    <w:rPr>
      <w:rFonts w:ascii="Times New Roman" w:hAnsi="Times New Roman" w:eastAsia="宋体"/>
      <w:sz w:val="18"/>
    </w:rPr>
  </w:style>
  <w:style w:type="character" w:customStyle="1" w:styleId="34">
    <w:name w:val="页脚 Char"/>
    <w:link w:val="13"/>
    <w:qFormat/>
    <w:locked/>
    <w:uiPriority w:val="99"/>
    <w:rPr>
      <w:sz w:val="18"/>
    </w:rPr>
  </w:style>
  <w:style w:type="character" w:customStyle="1" w:styleId="35">
    <w:name w:val="页眉 Char"/>
    <w:link w:val="14"/>
    <w:qFormat/>
    <w:locked/>
    <w:uiPriority w:val="0"/>
    <w:rPr>
      <w:sz w:val="18"/>
    </w:rPr>
  </w:style>
  <w:style w:type="character" w:customStyle="1" w:styleId="36">
    <w:name w:val="普通(网站) Char"/>
    <w:link w:val="16"/>
    <w:qFormat/>
    <w:locked/>
    <w:uiPriority w:val="0"/>
    <w:rPr>
      <w:rFonts w:ascii="宋体" w:hAnsi="宋体" w:eastAsia="宋体"/>
      <w:sz w:val="24"/>
    </w:rPr>
  </w:style>
  <w:style w:type="character" w:customStyle="1" w:styleId="37">
    <w:name w:val="批注主题 Char"/>
    <w:link w:val="17"/>
    <w:semiHidden/>
    <w:qFormat/>
    <w:locked/>
    <w:uiPriority w:val="0"/>
    <w:rPr>
      <w:rFonts w:ascii="Times New Roman" w:hAnsi="Times New Roman" w:eastAsia="宋体"/>
      <w:b/>
      <w:kern w:val="2"/>
      <w:sz w:val="24"/>
    </w:rPr>
  </w:style>
  <w:style w:type="character" w:customStyle="1" w:styleId="38">
    <w:name w:val="页脚 字符"/>
    <w:basedOn w:val="22"/>
    <w:qFormat/>
    <w:uiPriority w:val="99"/>
  </w:style>
  <w:style w:type="character" w:customStyle="1" w:styleId="39">
    <w:name w:val="正文文本 字符1"/>
    <w:semiHidden/>
    <w:qFormat/>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5"/>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6">
    <w:name w:val="Table Text"/>
    <w:basedOn w:val="1"/>
    <w:semiHidden/>
    <w:qFormat/>
    <w:uiPriority w:val="0"/>
    <w:rPr>
      <w:rFonts w:ascii="宋体" w:hAnsi="宋体" w:eastAsia="宋体" w:cs="宋体"/>
      <w:sz w:val="24"/>
      <w:szCs w:val="24"/>
      <w:lang w:val="en-US" w:eastAsia="en-US" w:bidi="ar-SA"/>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样式 正文缩进正文缩进2正文缩进 Char Char正文缩进 Char Char Char Char正文缩进 Char ..."/>
    <w:basedOn w:val="5"/>
    <w:qFormat/>
    <w:uiPriority w:val="0"/>
    <w:pPr>
      <w:spacing w:line="360" w:lineRule="auto"/>
      <w:ind w:firstLine="200" w:firstLineChars="0"/>
    </w:pPr>
    <w:rPr>
      <w:rFonts w:ascii="宋体" w:hAnsi="宋体" w:cs="宋体"/>
      <w:sz w:val="24"/>
      <w:szCs w:val="20"/>
    </w:rPr>
  </w:style>
  <w:style w:type="paragraph" w:customStyle="1" w:styleId="49">
    <w:name w:val="表头"/>
    <w:basedOn w:val="1"/>
    <w:next w:val="1"/>
    <w:autoRedefine/>
    <w:qFormat/>
    <w:uiPriority w:val="0"/>
    <w:pPr>
      <w:spacing w:before="120" w:afterLines="25"/>
      <w:jc w:val="center"/>
    </w:pPr>
    <w:rPr>
      <w:rFonts w:ascii="宋体" w:hAnsi="宋体"/>
      <w:szCs w:val="20"/>
    </w:rPr>
  </w:style>
  <w:style w:type="paragraph" w:customStyle="1" w:styleId="50">
    <w:name w:val="00正文"/>
    <w:basedOn w:val="1"/>
    <w:qFormat/>
    <w:uiPriority w:val="0"/>
    <w:pPr>
      <w:spacing w:line="360" w:lineRule="auto"/>
      <w:ind w:firstLine="480" w:firstLineChars="200"/>
      <w:contextualSpacing/>
    </w:pPr>
    <w:rPr>
      <w:rFonts w:ascii="Calibri" w:hAnsi="Calibri"/>
      <w:sz w:val="24"/>
    </w:rPr>
  </w:style>
  <w:style w:type="paragraph" w:customStyle="1" w:styleId="51">
    <w:name w:val="表中文字"/>
    <w:basedOn w:val="52"/>
    <w:qFormat/>
    <w:uiPriority w:val="0"/>
    <w:pPr>
      <w:jc w:val="center"/>
    </w:pPr>
    <w:rPr>
      <w:szCs w:val="21"/>
    </w:rPr>
  </w:style>
  <w:style w:type="paragraph" w:customStyle="1" w:styleId="52">
    <w:name w:val="表格文字"/>
    <w:basedOn w:val="9"/>
    <w:next w:val="1"/>
    <w:qFormat/>
    <w:uiPriority w:val="0"/>
    <w:pPr>
      <w:jc w:val="center"/>
    </w:pPr>
    <w:rPr>
      <w:rFonts w:ascii="Times New Roman" w:hAnsi="Times New Roman" w:eastAsia="宋体" w:cs="Times New Roman"/>
      <w:snapToGrid w:val="0"/>
      <w:sz w:val="22"/>
      <w:szCs w:val="24"/>
      <w:lang w:val="en-US" w:eastAsia="zh-CN" w:bidi="ar-SA"/>
    </w:rPr>
  </w:style>
  <w:style w:type="character" w:customStyle="1" w:styleId="53">
    <w:name w:val="font21"/>
    <w:basedOn w:val="22"/>
    <w:qFormat/>
    <w:uiPriority w:val="0"/>
    <w:rPr>
      <w:rFonts w:hint="default" w:ascii="Times New Roman" w:hAnsi="Times New Roman" w:cs="Times New Roman"/>
      <w:color w:val="000000"/>
      <w:sz w:val="21"/>
      <w:szCs w:val="21"/>
      <w:u w:val="none"/>
      <w:vertAlign w:val="subscript"/>
    </w:rPr>
  </w:style>
  <w:style w:type="paragraph" w:customStyle="1" w:styleId="54">
    <w:name w:val="表格抬头"/>
    <w:basedOn w:val="1"/>
    <w:autoRedefine/>
    <w:qFormat/>
    <w:uiPriority w:val="0"/>
    <w:pPr>
      <w:snapToGrid w:val="0"/>
      <w:spacing w:line="240" w:lineRule="auto"/>
      <w:ind w:firstLine="0" w:firstLineChars="0"/>
      <w:jc w:val="center"/>
    </w:pPr>
    <w:rPr>
      <w:snapToGrid w:val="0"/>
      <w:sz w:val="21"/>
      <w:szCs w:val="21"/>
    </w:rPr>
  </w:style>
  <w:style w:type="paragraph" w:customStyle="1" w:styleId="55">
    <w:name w:val="表格正文"/>
    <w:basedOn w:val="1"/>
    <w:autoRedefine/>
    <w:qFormat/>
    <w:uiPriority w:val="0"/>
    <w:pPr>
      <w:snapToGrid w:val="0"/>
      <w:spacing w:line="240" w:lineRule="auto"/>
      <w:ind w:firstLine="0" w:firstLineChars="0"/>
    </w:pPr>
    <w:rPr>
      <w:snapToGrid w:val="0"/>
      <w:sz w:val="21"/>
      <w:szCs w:val="21"/>
    </w:rPr>
  </w:style>
  <w:style w:type="character" w:customStyle="1" w:styleId="56">
    <w:name w:val="font71"/>
    <w:basedOn w:val="22"/>
    <w:qFormat/>
    <w:uiPriority w:val="0"/>
    <w:rPr>
      <w:rFonts w:hint="default" w:ascii="Times New Roman" w:hAnsi="Times New Roman" w:cs="Times New Roman"/>
      <w:color w:val="000000"/>
      <w:sz w:val="21"/>
      <w:szCs w:val="21"/>
      <w:u w:val="none"/>
      <w:vertAlign w:val="subscript"/>
    </w:rPr>
  </w:style>
  <w:style w:type="character" w:customStyle="1" w:styleId="57">
    <w:name w:val="font81"/>
    <w:basedOn w:val="22"/>
    <w:qFormat/>
    <w:uiPriority w:val="0"/>
    <w:rPr>
      <w:rFonts w:hint="default" w:ascii="Times New Roman" w:hAnsi="Times New Roman" w:cs="Times New Roman"/>
      <w:color w:val="000000"/>
      <w:sz w:val="21"/>
      <w:szCs w:val="21"/>
      <w:u w:val="none"/>
      <w:vertAlign w:val="subscript"/>
    </w:rPr>
  </w:style>
  <w:style w:type="character" w:customStyle="1" w:styleId="58">
    <w:name w:val="font101"/>
    <w:basedOn w:val="22"/>
    <w:qFormat/>
    <w:uiPriority w:val="0"/>
    <w:rPr>
      <w:rFonts w:hint="default" w:ascii="Times New Roman" w:hAnsi="Times New Roman" w:cs="Times New Roman"/>
      <w:color w:val="0000C8"/>
      <w:sz w:val="21"/>
      <w:szCs w:val="21"/>
      <w:u w:val="none"/>
      <w:vertAlign w:val="superscript"/>
    </w:rPr>
  </w:style>
  <w:style w:type="character" w:customStyle="1" w:styleId="59">
    <w:name w:val="font51"/>
    <w:basedOn w:val="22"/>
    <w:qFormat/>
    <w:uiPriority w:val="0"/>
    <w:rPr>
      <w:rFonts w:hint="eastAsia" w:ascii="宋体" w:hAnsi="宋体" w:eastAsia="宋体" w:cs="宋体"/>
      <w:color w:val="0000C8"/>
      <w:sz w:val="21"/>
      <w:szCs w:val="21"/>
      <w:u w:val="none"/>
    </w:rPr>
  </w:style>
  <w:style w:type="character" w:customStyle="1" w:styleId="60">
    <w:name w:val="font61"/>
    <w:basedOn w:val="22"/>
    <w:qFormat/>
    <w:uiPriority w:val="0"/>
    <w:rPr>
      <w:rFonts w:hint="default" w:ascii="Times New Roman" w:hAnsi="Times New Roman" w:cs="Times New Roman"/>
      <w:color w:val="0000C8"/>
      <w:sz w:val="21"/>
      <w:szCs w:val="21"/>
      <w:u w:val="none"/>
    </w:rPr>
  </w:style>
  <w:style w:type="character" w:customStyle="1" w:styleId="61">
    <w:name w:val="font91"/>
    <w:basedOn w:val="22"/>
    <w:qFormat/>
    <w:uiPriority w:val="0"/>
    <w:rPr>
      <w:rFonts w:hint="default" w:ascii="Times New Roman" w:hAnsi="Times New Roman" w:cs="Times New Roman"/>
      <w:color w:val="0000C8"/>
      <w:sz w:val="21"/>
      <w:szCs w:val="21"/>
      <w:u w:val="none"/>
      <w:vertAlign w:val="subscript"/>
    </w:rPr>
  </w:style>
  <w:style w:type="character" w:customStyle="1" w:styleId="62">
    <w:name w:val="font41"/>
    <w:basedOn w:val="22"/>
    <w:qFormat/>
    <w:uiPriority w:val="0"/>
    <w:rPr>
      <w:rFonts w:hint="eastAsia" w:ascii="宋体" w:hAnsi="宋体" w:eastAsia="宋体" w:cs="宋体"/>
      <w:color w:val="000000"/>
      <w:sz w:val="21"/>
      <w:szCs w:val="21"/>
      <w:u w:val="none"/>
    </w:rPr>
  </w:style>
  <w:style w:type="character" w:customStyle="1" w:styleId="63">
    <w:name w:val="font31"/>
    <w:basedOn w:val="22"/>
    <w:qFormat/>
    <w:uiPriority w:val="0"/>
    <w:rPr>
      <w:rFonts w:hint="default" w:ascii="Times New Roman" w:hAnsi="Times New Roman" w:cs="Times New Roman"/>
      <w:color w:val="0000C8"/>
      <w:sz w:val="21"/>
      <w:szCs w:val="21"/>
      <w:u w:val="none"/>
    </w:rPr>
  </w:style>
  <w:style w:type="character" w:customStyle="1" w:styleId="64">
    <w:name w:val="font11"/>
    <w:basedOn w:val="22"/>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253</Words>
  <Characters>337</Characters>
  <Lines>13</Lines>
  <Paragraphs>3</Paragraphs>
  <TotalTime>3</TotalTime>
  <ScaleCrop>false</ScaleCrop>
  <LinksUpToDate>false</LinksUpToDate>
  <CharactersWithSpaces>356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silence</cp:lastModifiedBy>
  <cp:lastPrinted>2020-12-29T02:43:00Z</cp:lastPrinted>
  <dcterms:modified xsi:type="dcterms:W3CDTF">2025-12-12T04:08:57Z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BC76521E530546BFA74A394F13BAC6D7_13</vt:lpwstr>
  </property>
  <property fmtid="{D5CDD505-2E9C-101B-9397-08002B2CF9AE}" pid="4" name="KSOTemplateDocerSaveRecord">
    <vt:lpwstr>eyJoZGlkIjoiZjRmYWUxOWJhMWE5OGFmZGQyNzA0NjBkZTNhOGRjMDEiLCJ1c2VySWQiOiIyNDg4ODMzNzUifQ==</vt:lpwstr>
  </property>
</Properties>
</file>