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049BF">
      <w:pPr>
        <w:pStyle w:val="17"/>
        <w:jc w:val="center"/>
        <w:outlineLvl w:val="0"/>
        <w:rPr>
          <w:rFonts w:hint="eastAsia" w:ascii="黑体" w:hAnsi="黑体" w:eastAsia="黑体"/>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334000" cy="744855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5334000" cy="7448550"/>
                    </a:xfrm>
                    <a:prstGeom prst="rect">
                      <a:avLst/>
                    </a:prstGeom>
                    <a:noFill/>
                    <a:ln>
                      <a:noFill/>
                    </a:ln>
                  </pic:spPr>
                </pic:pic>
              </a:graphicData>
            </a:graphic>
          </wp:inline>
        </w:drawing>
      </w:r>
    </w:p>
    <w:p w14:paraId="3E183B06">
      <w:pPr>
        <w:pStyle w:val="17"/>
        <w:jc w:val="center"/>
        <w:outlineLvl w:val="0"/>
      </w:pPr>
      <w:r>
        <w:drawing>
          <wp:inline distT="0" distB="0" distL="114300" distR="114300">
            <wp:extent cx="5286375" cy="7000875"/>
            <wp:effectExtent l="0" t="0" r="9525"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5286375" cy="7000875"/>
                    </a:xfrm>
                    <a:prstGeom prst="rect">
                      <a:avLst/>
                    </a:prstGeom>
                    <a:noFill/>
                    <a:ln>
                      <a:noFill/>
                    </a:ln>
                  </pic:spPr>
                </pic:pic>
              </a:graphicData>
            </a:graphic>
          </wp:inline>
        </w:drawing>
      </w:r>
    </w:p>
    <w:p w14:paraId="68A2CF97">
      <w:pPr>
        <w:pStyle w:val="17"/>
        <w:jc w:val="center"/>
        <w:outlineLvl w:val="0"/>
        <w:rPr>
          <w:rFonts w:hint="eastAsia"/>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921B5FC">
      <w:pPr>
        <w:pStyle w:val="17"/>
        <w:jc w:val="center"/>
        <w:outlineLvl w:val="0"/>
        <w:rPr>
          <w:rFonts w:hint="eastAsia" w:ascii="黑体" w:hAnsi="黑体" w:eastAsia="黑体"/>
          <w:snapToGrid w:val="0"/>
          <w:color w:val="auto"/>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305425" cy="7305675"/>
            <wp:effectExtent l="0" t="0" r="9525"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5305425" cy="7305675"/>
                    </a:xfrm>
                    <a:prstGeom prst="rect">
                      <a:avLst/>
                    </a:prstGeom>
                    <a:noFill/>
                    <a:ln>
                      <a:noFill/>
                    </a:ln>
                  </pic:spPr>
                </pic:pic>
              </a:graphicData>
            </a:graphic>
          </wp:inline>
        </w:drawing>
      </w:r>
    </w:p>
    <w:p w14:paraId="06C17C89">
      <w:pPr>
        <w:pStyle w:val="17"/>
        <w:jc w:val="center"/>
        <w:outlineLvl w:val="0"/>
        <w:rPr>
          <w:rFonts w:hint="eastAsia" w:ascii="黑体" w:hAnsi="黑体" w:eastAsia="黑体"/>
          <w:snapToGrid w:val="0"/>
          <w:color w:val="auto"/>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362575" cy="7639050"/>
            <wp:effectExtent l="0" t="0" r="952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5362575" cy="7639050"/>
                    </a:xfrm>
                    <a:prstGeom prst="rect">
                      <a:avLst/>
                    </a:prstGeom>
                    <a:noFill/>
                    <a:ln>
                      <a:noFill/>
                    </a:ln>
                  </pic:spPr>
                </pic:pic>
              </a:graphicData>
            </a:graphic>
          </wp:inline>
        </w:drawing>
      </w:r>
    </w:p>
    <w:p w14:paraId="0CE205F2">
      <w:pPr>
        <w:pStyle w:val="1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97"/>
        <w:gridCol w:w="2222"/>
        <w:gridCol w:w="2094"/>
        <w:gridCol w:w="2757"/>
      </w:tblGrid>
      <w:tr w14:paraId="303BB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0F27A4DC">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建设项目名称</w:t>
            </w:r>
          </w:p>
        </w:tc>
        <w:tc>
          <w:tcPr>
            <w:tcW w:w="7073" w:type="dxa"/>
            <w:gridSpan w:val="3"/>
            <w:noWrap w:val="0"/>
            <w:vAlign w:val="center"/>
          </w:tcPr>
          <w:p w14:paraId="1D97064A">
            <w:pPr>
              <w:adjustRightInd w:val="0"/>
              <w:snapToGrid w:val="0"/>
              <w:jc w:val="center"/>
              <w:rPr>
                <w:rFonts w:hint="eastAsia" w:ascii="Times New Roman" w:hAnsi="Times New Roman" w:eastAsia="宋体" w:cs="宋体"/>
                <w:color w:val="auto"/>
                <w:sz w:val="24"/>
                <w:szCs w:val="24"/>
                <w:lang w:eastAsia="zh-CN"/>
              </w:rPr>
            </w:pPr>
            <w:r>
              <w:rPr>
                <w:rFonts w:hint="eastAsia"/>
                <w:color w:val="auto"/>
                <w:sz w:val="24"/>
                <w:szCs w:val="24"/>
                <w:lang w:eastAsia="zh-CN"/>
              </w:rPr>
              <w:t>重庆泰宠康动物医院建设项目</w:t>
            </w:r>
          </w:p>
        </w:tc>
      </w:tr>
      <w:tr w14:paraId="34630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46FC9AEA">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项目代码</w:t>
            </w:r>
          </w:p>
        </w:tc>
        <w:tc>
          <w:tcPr>
            <w:tcW w:w="7073" w:type="dxa"/>
            <w:gridSpan w:val="3"/>
            <w:noWrap w:val="0"/>
            <w:vAlign w:val="center"/>
          </w:tcPr>
          <w:p w14:paraId="0120411F">
            <w:pPr>
              <w:adjustRightInd w:val="0"/>
              <w:snapToGrid w:val="0"/>
              <w:jc w:val="center"/>
              <w:rPr>
                <w:rFonts w:hint="eastAsia" w:ascii="Times New Roman" w:hAnsi="Times New Roman" w:eastAsia="宋体" w:cs="宋体"/>
                <w:color w:val="auto"/>
                <w:sz w:val="24"/>
                <w:szCs w:val="24"/>
                <w:lang w:eastAsia="zh-CN"/>
              </w:rPr>
            </w:pPr>
            <w:r>
              <w:rPr>
                <w:rFonts w:hint="eastAsia" w:cs="宋体"/>
                <w:color w:val="auto"/>
                <w:sz w:val="24"/>
                <w:szCs w:val="24"/>
                <w:lang w:eastAsia="zh-CN"/>
              </w:rPr>
              <w:t>2503-500107-04-05-692148</w:t>
            </w:r>
          </w:p>
        </w:tc>
      </w:tr>
      <w:tr w14:paraId="4DBDF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183254C0">
            <w:pPr>
              <w:adjustRightInd w:val="0"/>
              <w:snapToGrid w:val="0"/>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建设单位联系人</w:t>
            </w:r>
          </w:p>
        </w:tc>
        <w:tc>
          <w:tcPr>
            <w:tcW w:w="2222" w:type="dxa"/>
            <w:noWrap w:val="0"/>
            <w:vAlign w:val="center"/>
          </w:tcPr>
          <w:p w14:paraId="7B8B84B3">
            <w:pPr>
              <w:adjustRightInd w:val="0"/>
              <w:snapToGrid w:val="0"/>
              <w:jc w:val="center"/>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朱</w:t>
            </w:r>
            <w:r>
              <w:rPr>
                <w:rFonts w:hint="eastAsia" w:cs="宋体"/>
                <w:color w:val="auto"/>
                <w:sz w:val="24"/>
                <w:szCs w:val="24"/>
                <w:lang w:val="en-US" w:eastAsia="zh-CN"/>
              </w:rPr>
              <w:t>*</w:t>
            </w:r>
          </w:p>
        </w:tc>
        <w:tc>
          <w:tcPr>
            <w:tcW w:w="2094" w:type="dxa"/>
            <w:noWrap w:val="0"/>
            <w:vAlign w:val="center"/>
          </w:tcPr>
          <w:p w14:paraId="3993B960">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联系方式</w:t>
            </w:r>
          </w:p>
        </w:tc>
        <w:tc>
          <w:tcPr>
            <w:tcW w:w="2757" w:type="dxa"/>
            <w:noWrap w:val="0"/>
            <w:vAlign w:val="center"/>
          </w:tcPr>
          <w:p w14:paraId="28F9E1BE">
            <w:pPr>
              <w:adjustRightInd w:val="0"/>
              <w:snapToGrid w:val="0"/>
              <w:jc w:val="center"/>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18</w:t>
            </w:r>
            <w:r>
              <w:rPr>
                <w:rFonts w:hint="eastAsia" w:cs="宋体"/>
                <w:color w:val="auto"/>
                <w:sz w:val="24"/>
                <w:szCs w:val="24"/>
                <w:lang w:val="en-US" w:eastAsia="zh-CN"/>
              </w:rPr>
              <w:t>*******</w:t>
            </w:r>
            <w:r>
              <w:rPr>
                <w:rFonts w:hint="eastAsia" w:ascii="Times New Roman" w:hAnsi="Times New Roman" w:eastAsia="宋体" w:cs="宋体"/>
                <w:color w:val="auto"/>
                <w:sz w:val="24"/>
                <w:szCs w:val="24"/>
                <w:lang w:eastAsia="zh-CN"/>
              </w:rPr>
              <w:t>92</w:t>
            </w:r>
          </w:p>
        </w:tc>
      </w:tr>
      <w:tr w14:paraId="41605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403B35A3">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建设地点</w:t>
            </w:r>
          </w:p>
        </w:tc>
        <w:tc>
          <w:tcPr>
            <w:tcW w:w="7073" w:type="dxa"/>
            <w:gridSpan w:val="3"/>
            <w:noWrap w:val="0"/>
            <w:vAlign w:val="center"/>
          </w:tcPr>
          <w:p w14:paraId="01D0E465">
            <w:pPr>
              <w:adjustRightInd w:val="0"/>
              <w:snapToGrid w:val="0"/>
              <w:jc w:val="center"/>
              <w:rPr>
                <w:rFonts w:hint="eastAsia" w:ascii="Times New Roman" w:hAnsi="Times New Roman" w:eastAsia="宋体" w:cs="宋体"/>
                <w:color w:val="auto"/>
                <w:sz w:val="24"/>
                <w:szCs w:val="24"/>
                <w:lang w:eastAsia="zh-CN"/>
              </w:rPr>
            </w:pPr>
            <w:r>
              <w:rPr>
                <w:rFonts w:hint="eastAsia" w:cs="宋体"/>
                <w:color w:val="auto"/>
                <w:sz w:val="24"/>
                <w:szCs w:val="24"/>
                <w:lang w:eastAsia="zh-CN"/>
              </w:rPr>
              <w:t>重庆市九龙坡区华岩镇华</w:t>
            </w:r>
            <w:bookmarkStart w:id="3" w:name="_GoBack"/>
            <w:bookmarkEnd w:id="3"/>
            <w:r>
              <w:rPr>
                <w:rFonts w:hint="eastAsia" w:cs="宋体"/>
                <w:color w:val="auto"/>
                <w:sz w:val="24"/>
                <w:szCs w:val="24"/>
                <w:lang w:eastAsia="zh-CN"/>
              </w:rPr>
              <w:t>福大道北段16号14幢附2-2号、2-3号、2-4号</w:t>
            </w:r>
          </w:p>
        </w:tc>
      </w:tr>
      <w:tr w14:paraId="61339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2AA118B5">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地理坐标</w:t>
            </w:r>
          </w:p>
        </w:tc>
        <w:tc>
          <w:tcPr>
            <w:tcW w:w="7073" w:type="dxa"/>
            <w:gridSpan w:val="3"/>
            <w:noWrap w:val="0"/>
            <w:vAlign w:val="center"/>
          </w:tcPr>
          <w:p w14:paraId="2DFC414F">
            <w:pPr>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w:t>
            </w:r>
            <w:r>
              <w:rPr>
                <w:rFonts w:hint="eastAsia" w:ascii="Times New Roman" w:hAnsi="Times New Roman" w:eastAsia="宋体" w:cs="宋体"/>
                <w:color w:val="auto"/>
                <w:sz w:val="24"/>
                <w:szCs w:val="24"/>
                <w:u w:val="single"/>
                <w:lang w:val="en-US" w:eastAsia="zh-CN"/>
              </w:rPr>
              <w:t>106</w:t>
            </w:r>
            <w:r>
              <w:rPr>
                <w:rFonts w:hint="eastAsia" w:ascii="Times New Roman" w:hAnsi="Times New Roman" w:eastAsia="宋体" w:cs="宋体"/>
                <w:color w:val="auto"/>
                <w:sz w:val="24"/>
                <w:szCs w:val="24"/>
              </w:rPr>
              <w:t>度</w:t>
            </w:r>
            <w:r>
              <w:rPr>
                <w:rFonts w:hint="eastAsia" w:ascii="Times New Roman" w:hAnsi="Times New Roman" w:eastAsia="宋体" w:cs="宋体"/>
                <w:color w:val="auto"/>
                <w:sz w:val="24"/>
                <w:szCs w:val="24"/>
                <w:u w:val="single"/>
                <w:lang w:val="en-US" w:eastAsia="zh-CN"/>
              </w:rPr>
              <w:t>26</w:t>
            </w:r>
            <w:r>
              <w:rPr>
                <w:rFonts w:hint="eastAsia" w:ascii="Times New Roman" w:hAnsi="Times New Roman" w:eastAsia="宋体" w:cs="宋体"/>
                <w:color w:val="auto"/>
                <w:sz w:val="24"/>
                <w:szCs w:val="24"/>
              </w:rPr>
              <w:t>分</w:t>
            </w:r>
            <w:r>
              <w:rPr>
                <w:rFonts w:hint="eastAsia" w:cs="宋体"/>
                <w:color w:val="auto"/>
                <w:sz w:val="24"/>
                <w:szCs w:val="24"/>
                <w:u w:val="single"/>
                <w:lang w:val="en-US" w:eastAsia="zh-CN"/>
              </w:rPr>
              <w:t>13.731</w:t>
            </w:r>
            <w:r>
              <w:rPr>
                <w:rFonts w:hint="eastAsia" w:ascii="Times New Roman" w:hAnsi="Times New Roman" w:eastAsia="宋体" w:cs="宋体"/>
                <w:color w:val="auto"/>
                <w:sz w:val="24"/>
                <w:szCs w:val="24"/>
              </w:rPr>
              <w:t>秒，</w:t>
            </w:r>
            <w:r>
              <w:rPr>
                <w:rFonts w:hint="eastAsia" w:ascii="Times New Roman" w:hAnsi="Times New Roman" w:eastAsia="宋体" w:cs="宋体"/>
                <w:color w:val="auto"/>
                <w:sz w:val="24"/>
                <w:szCs w:val="24"/>
                <w:u w:val="single"/>
                <w:lang w:val="en-US" w:eastAsia="zh-CN"/>
              </w:rPr>
              <w:t>29</w:t>
            </w:r>
            <w:r>
              <w:rPr>
                <w:rFonts w:hint="eastAsia" w:ascii="Times New Roman" w:hAnsi="Times New Roman" w:eastAsia="宋体" w:cs="宋体"/>
                <w:color w:val="auto"/>
                <w:sz w:val="24"/>
                <w:szCs w:val="24"/>
              </w:rPr>
              <w:t>度</w:t>
            </w:r>
            <w:r>
              <w:rPr>
                <w:rFonts w:hint="eastAsia" w:cs="宋体"/>
                <w:color w:val="auto"/>
                <w:sz w:val="24"/>
                <w:szCs w:val="24"/>
                <w:u w:val="single"/>
                <w:lang w:val="en-US" w:eastAsia="zh-CN"/>
              </w:rPr>
              <w:t>27</w:t>
            </w:r>
            <w:r>
              <w:rPr>
                <w:rFonts w:hint="eastAsia" w:ascii="Times New Roman" w:hAnsi="Times New Roman" w:eastAsia="宋体" w:cs="宋体"/>
                <w:color w:val="auto"/>
                <w:sz w:val="24"/>
                <w:szCs w:val="24"/>
              </w:rPr>
              <w:t>分</w:t>
            </w:r>
            <w:r>
              <w:rPr>
                <w:rFonts w:hint="eastAsia" w:cs="宋体"/>
                <w:color w:val="auto"/>
                <w:sz w:val="24"/>
                <w:szCs w:val="24"/>
                <w:u w:val="single"/>
                <w:lang w:val="en-US" w:eastAsia="zh-CN"/>
              </w:rPr>
              <w:t>8.727</w:t>
            </w:r>
            <w:r>
              <w:rPr>
                <w:rFonts w:hint="eastAsia" w:ascii="Times New Roman" w:hAnsi="Times New Roman" w:eastAsia="宋体" w:cs="宋体"/>
                <w:color w:val="auto"/>
                <w:sz w:val="24"/>
                <w:szCs w:val="24"/>
              </w:rPr>
              <w:t>秒）</w:t>
            </w:r>
          </w:p>
        </w:tc>
      </w:tr>
      <w:tr w14:paraId="6EB23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748DEEEB">
            <w:pPr>
              <w:adjustRightInd w:val="0"/>
              <w:snapToGrid w:val="0"/>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国民经济</w:t>
            </w:r>
          </w:p>
          <w:p w14:paraId="27730F55">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行业类别</w:t>
            </w:r>
          </w:p>
        </w:tc>
        <w:tc>
          <w:tcPr>
            <w:tcW w:w="2222" w:type="dxa"/>
            <w:noWrap w:val="0"/>
            <w:vAlign w:val="center"/>
          </w:tcPr>
          <w:p w14:paraId="7C0E02C9">
            <w:pPr>
              <w:adjustRightInd w:val="0"/>
              <w:snapToGrid w:val="0"/>
              <w:jc w:val="center"/>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O8222 宠物医院服务</w:t>
            </w:r>
          </w:p>
        </w:tc>
        <w:tc>
          <w:tcPr>
            <w:tcW w:w="2094" w:type="dxa"/>
            <w:noWrap w:val="0"/>
            <w:vAlign w:val="center"/>
          </w:tcPr>
          <w:p w14:paraId="656BBD94">
            <w:pPr>
              <w:adjustRightInd w:val="0"/>
              <w:snapToGrid w:val="0"/>
              <w:jc w:val="center"/>
              <w:rPr>
                <w:rFonts w:ascii="Times New Roman" w:hAnsi="Times New Roman" w:eastAsia="宋体" w:cs="宋体"/>
                <w:color w:val="auto"/>
                <w:sz w:val="24"/>
                <w:szCs w:val="24"/>
              </w:rPr>
            </w:pPr>
            <w:bookmarkStart w:id="0" w:name="_Hlk49843745"/>
            <w:r>
              <w:rPr>
                <w:rFonts w:hint="eastAsia" w:ascii="Times New Roman" w:hAnsi="Times New Roman" w:eastAsia="宋体" w:cs="宋体"/>
                <w:color w:val="auto"/>
                <w:sz w:val="24"/>
                <w:szCs w:val="24"/>
              </w:rPr>
              <w:t>建设项目</w:t>
            </w:r>
          </w:p>
          <w:p w14:paraId="4F07319F">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行业类别</w:t>
            </w:r>
            <w:bookmarkEnd w:id="0"/>
          </w:p>
        </w:tc>
        <w:tc>
          <w:tcPr>
            <w:tcW w:w="2757" w:type="dxa"/>
            <w:noWrap w:val="0"/>
            <w:vAlign w:val="center"/>
          </w:tcPr>
          <w:p w14:paraId="68576DB5">
            <w:pPr>
              <w:adjustRightInd w:val="0"/>
              <w:snapToGrid w:val="0"/>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五十、社会事业与服务业 123.动物医院</w:t>
            </w:r>
          </w:p>
        </w:tc>
      </w:tr>
      <w:tr w14:paraId="2D5A0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1AE231E0">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建设性质</w:t>
            </w:r>
          </w:p>
        </w:tc>
        <w:tc>
          <w:tcPr>
            <w:tcW w:w="2222" w:type="dxa"/>
            <w:noWrap w:val="0"/>
            <w:vAlign w:val="center"/>
          </w:tcPr>
          <w:p w14:paraId="75D05CB8">
            <w:pPr>
              <w:jc w:val="left"/>
              <w:rPr>
                <w:rFonts w:ascii="Times New Roman" w:hAnsi="Times New Roman" w:eastAsia="宋体" w:cs="宋体"/>
                <w:color w:val="auto"/>
                <w:sz w:val="24"/>
                <w:szCs w:val="24"/>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新建（迁建）</w:t>
            </w:r>
          </w:p>
          <w:p w14:paraId="7C46CA3A">
            <w:pPr>
              <w:jc w:val="left"/>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□改建</w:t>
            </w:r>
          </w:p>
          <w:p w14:paraId="658B5C80">
            <w:pPr>
              <w:jc w:val="left"/>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扩建</w:t>
            </w:r>
          </w:p>
          <w:p w14:paraId="7CA573BC">
            <w:pPr>
              <w:jc w:val="left"/>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□技术改造</w:t>
            </w:r>
          </w:p>
        </w:tc>
        <w:tc>
          <w:tcPr>
            <w:tcW w:w="2094" w:type="dxa"/>
            <w:noWrap w:val="0"/>
            <w:vAlign w:val="center"/>
          </w:tcPr>
          <w:p w14:paraId="11F6F0C8">
            <w:pPr>
              <w:adjustRightInd w:val="0"/>
              <w:snapToGrid w:val="0"/>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w:t>
            </w:r>
          </w:p>
          <w:p w14:paraId="2B2A1293">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申报情形</w:t>
            </w:r>
          </w:p>
        </w:tc>
        <w:tc>
          <w:tcPr>
            <w:tcW w:w="2757" w:type="dxa"/>
            <w:noWrap w:val="0"/>
            <w:vAlign w:val="center"/>
          </w:tcPr>
          <w:p w14:paraId="1A5CA2CC">
            <w:pPr>
              <w:jc w:val="left"/>
              <w:rPr>
                <w:rFonts w:ascii="Times New Roman" w:hAnsi="Times New Roman" w:eastAsia="宋体" w:cs="宋体"/>
                <w:color w:val="auto"/>
                <w:sz w:val="24"/>
                <w:szCs w:val="24"/>
              </w:rPr>
            </w:pPr>
            <w:r>
              <w:rPr>
                <w:rFonts w:hint="eastAsia" w:cs="宋体"/>
                <w:color w:val="auto"/>
                <w:sz w:val="24"/>
                <w:szCs w:val="24"/>
                <w:lang w:eastAsia="zh-CN"/>
              </w:rPr>
              <w:t>☑</w:t>
            </w:r>
            <w:r>
              <w:rPr>
                <w:rFonts w:hint="eastAsia" w:ascii="Times New Roman" w:hAnsi="Times New Roman" w:eastAsia="宋体" w:cs="宋体"/>
                <w:color w:val="auto"/>
                <w:sz w:val="24"/>
                <w:szCs w:val="24"/>
              </w:rPr>
              <w:t>首次申报项目</w:t>
            </w:r>
            <w:r>
              <w:rPr>
                <w:rFonts w:ascii="Times New Roman" w:hAnsi="Times New Roman" w:eastAsia="宋体" w:cs="宋体"/>
                <w:color w:val="auto"/>
                <w:sz w:val="24"/>
                <w:szCs w:val="24"/>
              </w:rPr>
              <w:t xml:space="preserve">             </w:t>
            </w:r>
          </w:p>
          <w:p w14:paraId="4BB862A0">
            <w:pPr>
              <w:jc w:val="left"/>
              <w:rPr>
                <w:rFonts w:ascii="Times New Roman" w:hAnsi="Times New Roman" w:eastAsia="宋体" w:cs="宋体"/>
                <w:color w:val="auto"/>
                <w:sz w:val="24"/>
                <w:szCs w:val="24"/>
              </w:rPr>
            </w:pPr>
            <w:r>
              <w:rPr>
                <w:rFonts w:hint="eastAsia" w:cs="宋体"/>
                <w:color w:val="auto"/>
                <w:sz w:val="24"/>
                <w:szCs w:val="24"/>
                <w:lang w:eastAsia="zh-CN"/>
              </w:rPr>
              <w:t>□</w:t>
            </w:r>
            <w:r>
              <w:rPr>
                <w:rFonts w:hint="eastAsia" w:ascii="Times New Roman" w:hAnsi="Times New Roman" w:eastAsia="宋体" w:cs="宋体"/>
                <w:color w:val="auto"/>
                <w:sz w:val="24"/>
                <w:szCs w:val="24"/>
              </w:rPr>
              <w:t>不予批准后再次申报项目</w:t>
            </w:r>
          </w:p>
          <w:p w14:paraId="18682AAD">
            <w:pPr>
              <w:jc w:val="left"/>
              <w:rPr>
                <w:rFonts w:ascii="Times New Roman" w:hAnsi="Times New Roman" w:eastAsia="宋体" w:cs="宋体"/>
                <w:color w:val="auto"/>
                <w:sz w:val="24"/>
                <w:szCs w:val="24"/>
              </w:rPr>
            </w:pPr>
            <w:r>
              <w:rPr>
                <w:rFonts w:hint="eastAsia" w:cs="宋体"/>
                <w:color w:val="auto"/>
                <w:sz w:val="24"/>
                <w:szCs w:val="24"/>
                <w:lang w:eastAsia="zh-CN"/>
              </w:rPr>
              <w:t>□</w:t>
            </w:r>
            <w:r>
              <w:rPr>
                <w:rFonts w:hint="eastAsia" w:ascii="Times New Roman" w:hAnsi="Times New Roman" w:eastAsia="宋体" w:cs="宋体"/>
                <w:color w:val="auto"/>
                <w:sz w:val="24"/>
                <w:szCs w:val="24"/>
              </w:rPr>
              <w:t>超五年重新审核项目</w:t>
            </w:r>
            <w:r>
              <w:rPr>
                <w:rFonts w:ascii="Times New Roman" w:hAnsi="Times New Roman" w:eastAsia="宋体" w:cs="宋体"/>
                <w:color w:val="auto"/>
                <w:sz w:val="24"/>
                <w:szCs w:val="24"/>
              </w:rPr>
              <w:t xml:space="preserve">     </w:t>
            </w:r>
          </w:p>
          <w:p w14:paraId="2D6C506E">
            <w:pPr>
              <w:jc w:val="left"/>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□重大变动重新报批项目</w:t>
            </w:r>
          </w:p>
        </w:tc>
      </w:tr>
      <w:tr w14:paraId="50946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3510925C">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项目审批（核准</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备案）部门（选填）</w:t>
            </w:r>
          </w:p>
        </w:tc>
        <w:tc>
          <w:tcPr>
            <w:tcW w:w="2222" w:type="dxa"/>
            <w:noWrap w:val="0"/>
            <w:vAlign w:val="center"/>
          </w:tcPr>
          <w:p w14:paraId="60376B09">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重庆市</w:t>
            </w:r>
            <w:r>
              <w:rPr>
                <w:rFonts w:hint="eastAsia" w:cs="宋体"/>
                <w:color w:val="auto"/>
                <w:sz w:val="24"/>
                <w:szCs w:val="24"/>
                <w:lang w:eastAsia="zh-CN"/>
              </w:rPr>
              <w:t>九龙坡区</w:t>
            </w:r>
            <w:r>
              <w:rPr>
                <w:rFonts w:hint="eastAsia" w:ascii="Times New Roman" w:hAnsi="Times New Roman" w:eastAsia="宋体" w:cs="宋体"/>
                <w:color w:val="auto"/>
                <w:sz w:val="24"/>
                <w:szCs w:val="24"/>
              </w:rPr>
              <w:t>发展和改革委员会</w:t>
            </w:r>
          </w:p>
        </w:tc>
        <w:tc>
          <w:tcPr>
            <w:tcW w:w="2094" w:type="dxa"/>
            <w:noWrap w:val="0"/>
            <w:vAlign w:val="center"/>
          </w:tcPr>
          <w:p w14:paraId="3CE0DEA6">
            <w:pPr>
              <w:adjustRightInd w:val="0"/>
              <w:snapToGrid w:val="0"/>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项目审批（核准</w:t>
            </w:r>
            <w:r>
              <w:rPr>
                <w:rFonts w:ascii="Times New Roman" w:hAnsi="Times New Roman" w:eastAsia="宋体" w:cs="宋体"/>
                <w:color w:val="auto"/>
                <w:sz w:val="24"/>
                <w:szCs w:val="24"/>
              </w:rPr>
              <w:t>/</w:t>
            </w:r>
          </w:p>
          <w:p w14:paraId="5969F063">
            <w:pPr>
              <w:adjustRightInd w:val="0"/>
              <w:snapToGrid w:val="0"/>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备案）文号（选填）</w:t>
            </w:r>
          </w:p>
        </w:tc>
        <w:tc>
          <w:tcPr>
            <w:tcW w:w="2757" w:type="dxa"/>
            <w:noWrap w:val="0"/>
            <w:vAlign w:val="center"/>
          </w:tcPr>
          <w:p w14:paraId="6BD6A9BE">
            <w:pPr>
              <w:adjustRightInd w:val="0"/>
              <w:snapToGrid w:val="0"/>
              <w:jc w:val="center"/>
              <w:rPr>
                <w:rFonts w:hint="eastAsia" w:ascii="Times New Roman" w:hAnsi="Times New Roman" w:eastAsia="宋体" w:cs="宋体"/>
                <w:color w:val="auto"/>
                <w:sz w:val="24"/>
                <w:szCs w:val="24"/>
                <w:lang w:eastAsia="zh-CN"/>
              </w:rPr>
            </w:pPr>
            <w:r>
              <w:rPr>
                <w:rFonts w:hint="eastAsia" w:cs="宋体"/>
                <w:color w:val="auto"/>
                <w:sz w:val="24"/>
                <w:szCs w:val="24"/>
                <w:lang w:eastAsia="zh-CN"/>
              </w:rPr>
              <w:t>2503-500107-04-05-692148</w:t>
            </w:r>
          </w:p>
        </w:tc>
      </w:tr>
      <w:tr w14:paraId="65658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6358B2F3">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总投资（万元）</w:t>
            </w:r>
          </w:p>
        </w:tc>
        <w:tc>
          <w:tcPr>
            <w:tcW w:w="2222" w:type="dxa"/>
            <w:noWrap w:val="0"/>
            <w:vAlign w:val="center"/>
          </w:tcPr>
          <w:p w14:paraId="24231C50">
            <w:pPr>
              <w:adjustRightInd w:val="0"/>
              <w:snapToGrid w:val="0"/>
              <w:jc w:val="center"/>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20</w:t>
            </w:r>
          </w:p>
        </w:tc>
        <w:tc>
          <w:tcPr>
            <w:tcW w:w="2094" w:type="dxa"/>
            <w:noWrap w:val="0"/>
            <w:tcMar>
              <w:top w:w="16" w:type="dxa"/>
              <w:left w:w="16" w:type="dxa"/>
              <w:right w:w="16" w:type="dxa"/>
            </w:tcMar>
            <w:vAlign w:val="center"/>
          </w:tcPr>
          <w:p w14:paraId="5D7FEC7D">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环保投资（万元）</w:t>
            </w:r>
          </w:p>
        </w:tc>
        <w:tc>
          <w:tcPr>
            <w:tcW w:w="2757" w:type="dxa"/>
            <w:noWrap w:val="0"/>
            <w:vAlign w:val="center"/>
          </w:tcPr>
          <w:p w14:paraId="4065A368">
            <w:pPr>
              <w:adjustRightInd w:val="0"/>
              <w:snapToGrid w:val="0"/>
              <w:jc w:val="center"/>
              <w:rPr>
                <w:rFonts w:hint="eastAsia" w:ascii="Times New Roman" w:hAnsi="Times New Roman" w:eastAsia="宋体" w:cs="宋体"/>
                <w:color w:val="auto"/>
                <w:sz w:val="24"/>
                <w:szCs w:val="24"/>
                <w:lang w:val="en-US" w:eastAsia="zh-CN"/>
              </w:rPr>
            </w:pPr>
            <w:r>
              <w:rPr>
                <w:rFonts w:hint="eastAsia" w:cs="宋体"/>
                <w:color w:val="auto"/>
                <w:sz w:val="24"/>
                <w:szCs w:val="24"/>
                <w:lang w:val="en-US" w:eastAsia="zh-CN"/>
              </w:rPr>
              <w:t>3</w:t>
            </w:r>
          </w:p>
        </w:tc>
      </w:tr>
      <w:tr w14:paraId="6864D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6AFACFA0">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环保投资占比（</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w:t>
            </w:r>
          </w:p>
        </w:tc>
        <w:tc>
          <w:tcPr>
            <w:tcW w:w="2222" w:type="dxa"/>
            <w:noWrap w:val="0"/>
            <w:vAlign w:val="center"/>
          </w:tcPr>
          <w:p w14:paraId="50AD65D2">
            <w:pPr>
              <w:adjustRightInd w:val="0"/>
              <w:snapToGrid w:val="0"/>
              <w:jc w:val="center"/>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15</w:t>
            </w:r>
          </w:p>
        </w:tc>
        <w:tc>
          <w:tcPr>
            <w:tcW w:w="2094" w:type="dxa"/>
            <w:noWrap w:val="0"/>
            <w:tcMar>
              <w:top w:w="16" w:type="dxa"/>
              <w:left w:w="16" w:type="dxa"/>
              <w:right w:w="16" w:type="dxa"/>
            </w:tcMar>
            <w:vAlign w:val="center"/>
          </w:tcPr>
          <w:p w14:paraId="3CF8E83F">
            <w:pPr>
              <w:adjustRightInd w:val="0"/>
              <w:snapToGrid w:val="0"/>
              <w:jc w:val="center"/>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施工工期</w:t>
            </w:r>
          </w:p>
        </w:tc>
        <w:tc>
          <w:tcPr>
            <w:tcW w:w="2757" w:type="dxa"/>
            <w:noWrap w:val="0"/>
            <w:vAlign w:val="center"/>
          </w:tcPr>
          <w:p w14:paraId="778BAB5C">
            <w:pPr>
              <w:adjustRightInd w:val="0"/>
              <w:snapToGrid w:val="0"/>
              <w:jc w:val="center"/>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val="en-US" w:eastAsia="zh-CN"/>
              </w:rPr>
              <w:t>2</w:t>
            </w:r>
          </w:p>
        </w:tc>
      </w:tr>
      <w:tr w14:paraId="73B75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97" w:type="dxa"/>
            <w:noWrap w:val="0"/>
            <w:tcMar>
              <w:top w:w="16" w:type="dxa"/>
              <w:left w:w="16" w:type="dxa"/>
              <w:right w:w="16" w:type="dxa"/>
            </w:tcMar>
            <w:vAlign w:val="center"/>
          </w:tcPr>
          <w:p w14:paraId="15BA2BD5">
            <w:pPr>
              <w:adjustRightInd w:val="0"/>
              <w:snapToGrid w:val="0"/>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是否开工建设</w:t>
            </w:r>
          </w:p>
        </w:tc>
        <w:tc>
          <w:tcPr>
            <w:tcW w:w="2222" w:type="dxa"/>
            <w:noWrap w:val="0"/>
            <w:vAlign w:val="center"/>
          </w:tcPr>
          <w:p w14:paraId="7FC7758A">
            <w:pPr>
              <w:adjustRightInd w:val="0"/>
              <w:snapToGrid w:val="0"/>
              <w:rPr>
                <w:rFonts w:ascii="Times New Roman" w:hAnsi="Times New Roman" w:eastAsia="宋体" w:cs="宋体"/>
                <w:color w:val="auto"/>
                <w:sz w:val="24"/>
                <w:szCs w:val="24"/>
              </w:rPr>
            </w:pPr>
            <w:r>
              <w:rPr>
                <w:rFonts w:hint="eastAsia" w:cs="宋体"/>
                <w:color w:val="auto"/>
                <w:sz w:val="24"/>
                <w:szCs w:val="24"/>
                <w:lang w:eastAsia="zh-CN"/>
              </w:rPr>
              <w:t>☑</w:t>
            </w:r>
            <w:r>
              <w:rPr>
                <w:rFonts w:hint="eastAsia" w:ascii="Times New Roman" w:hAnsi="Times New Roman" w:eastAsia="宋体" w:cs="宋体"/>
                <w:color w:val="auto"/>
                <w:sz w:val="24"/>
                <w:szCs w:val="24"/>
              </w:rPr>
              <w:t>否</w:t>
            </w:r>
          </w:p>
          <w:p w14:paraId="2C927C0C">
            <w:pPr>
              <w:adjustRightInd w:val="0"/>
              <w:snapToGrid w:val="0"/>
              <w:rPr>
                <w:rFonts w:ascii="Times New Roman" w:hAnsi="Times New Roman" w:eastAsia="宋体" w:cs="宋体"/>
                <w:color w:val="auto"/>
                <w:sz w:val="24"/>
                <w:szCs w:val="24"/>
              </w:rPr>
            </w:pPr>
            <w:r>
              <w:rPr>
                <w:rFonts w:hint="eastAsia" w:cs="宋体"/>
                <w:color w:val="auto"/>
                <w:sz w:val="24"/>
                <w:szCs w:val="24"/>
                <w:lang w:eastAsia="zh-CN"/>
              </w:rPr>
              <w:t>□</w:t>
            </w:r>
            <w:r>
              <w:rPr>
                <w:rFonts w:hint="eastAsia" w:ascii="Times New Roman" w:hAnsi="Times New Roman" w:eastAsia="宋体" w:cs="宋体"/>
                <w:color w:val="auto"/>
                <w:sz w:val="24"/>
                <w:szCs w:val="24"/>
              </w:rPr>
              <w:t>是：</w:t>
            </w:r>
            <w:r>
              <w:rPr>
                <w:rFonts w:hint="eastAsia"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u w:val="single"/>
                <w:lang w:val="en-US" w:eastAsia="zh-CN"/>
              </w:rPr>
              <w:t xml:space="preserve">    </w:t>
            </w:r>
            <w:r>
              <w:rPr>
                <w:rFonts w:hint="eastAsia" w:ascii="Times New Roman" w:hAnsi="Times New Roman" w:eastAsia="宋体" w:cs="宋体"/>
                <w:color w:val="auto"/>
                <w:sz w:val="24"/>
                <w:szCs w:val="24"/>
                <w:u w:val="single"/>
              </w:rPr>
              <w:t xml:space="preserve"> </w:t>
            </w:r>
          </w:p>
        </w:tc>
        <w:tc>
          <w:tcPr>
            <w:tcW w:w="2094" w:type="dxa"/>
            <w:noWrap w:val="0"/>
            <w:tcMar>
              <w:top w:w="16" w:type="dxa"/>
              <w:left w:w="16" w:type="dxa"/>
              <w:right w:w="16" w:type="dxa"/>
            </w:tcMar>
            <w:vAlign w:val="center"/>
          </w:tcPr>
          <w:p w14:paraId="7993E137">
            <w:pPr>
              <w:adjustRightInd w:val="0"/>
              <w:snapToGrid w:val="0"/>
              <w:jc w:val="center"/>
              <w:rPr>
                <w:rFonts w:ascii="Times New Roman" w:hAnsi="Times New Roman" w:eastAsia="宋体" w:cs="宋体"/>
                <w:color w:val="auto"/>
                <w:spacing w:val="-6"/>
                <w:sz w:val="24"/>
                <w:szCs w:val="24"/>
              </w:rPr>
            </w:pPr>
            <w:r>
              <w:rPr>
                <w:rFonts w:hint="eastAsia" w:ascii="Times New Roman" w:hAnsi="Times New Roman" w:eastAsia="宋体" w:cs="宋体"/>
                <w:color w:val="auto"/>
                <w:spacing w:val="-6"/>
                <w:sz w:val="24"/>
                <w:szCs w:val="24"/>
              </w:rPr>
              <w:t>用地（用海）</w:t>
            </w:r>
          </w:p>
          <w:p w14:paraId="5152D9BF">
            <w:pPr>
              <w:adjustRightInd w:val="0"/>
              <w:snapToGrid w:val="0"/>
              <w:jc w:val="center"/>
              <w:rPr>
                <w:rFonts w:hint="eastAsia" w:ascii="Times New Roman" w:hAnsi="Times New Roman" w:eastAsia="宋体" w:cs="宋体"/>
                <w:color w:val="auto"/>
                <w:sz w:val="24"/>
                <w:szCs w:val="24"/>
              </w:rPr>
            </w:pPr>
            <w:r>
              <w:rPr>
                <w:rFonts w:hint="eastAsia" w:ascii="Times New Roman" w:hAnsi="Times New Roman" w:eastAsia="宋体" w:cs="宋体"/>
                <w:color w:val="auto"/>
                <w:spacing w:val="-6"/>
                <w:sz w:val="24"/>
                <w:szCs w:val="24"/>
              </w:rPr>
              <w:t>面积（</w:t>
            </w:r>
            <w:r>
              <w:rPr>
                <w:rFonts w:ascii="Times New Roman" w:hAnsi="Times New Roman" w:eastAsia="宋体" w:cs="宋体"/>
                <w:color w:val="auto"/>
                <w:spacing w:val="-6"/>
                <w:sz w:val="24"/>
                <w:szCs w:val="24"/>
              </w:rPr>
              <w:t>m</w:t>
            </w:r>
            <w:r>
              <w:rPr>
                <w:rFonts w:ascii="Times New Roman" w:hAnsi="Times New Roman" w:eastAsia="宋体" w:cs="宋体"/>
                <w:color w:val="auto"/>
                <w:spacing w:val="-6"/>
                <w:sz w:val="24"/>
                <w:szCs w:val="24"/>
                <w:vertAlign w:val="superscript"/>
              </w:rPr>
              <w:t>2</w:t>
            </w:r>
            <w:r>
              <w:rPr>
                <w:rFonts w:hint="eastAsia" w:ascii="Times New Roman" w:hAnsi="Times New Roman" w:eastAsia="宋体" w:cs="宋体"/>
                <w:color w:val="auto"/>
                <w:spacing w:val="-6"/>
                <w:sz w:val="24"/>
                <w:szCs w:val="24"/>
              </w:rPr>
              <w:t>）</w:t>
            </w:r>
          </w:p>
        </w:tc>
        <w:tc>
          <w:tcPr>
            <w:tcW w:w="2757" w:type="dxa"/>
            <w:noWrap w:val="0"/>
            <w:vAlign w:val="center"/>
          </w:tcPr>
          <w:p w14:paraId="4F8B9972">
            <w:pPr>
              <w:adjustRightInd w:val="0"/>
              <w:snapToGrid w:val="0"/>
              <w:jc w:val="center"/>
              <w:rPr>
                <w:rFonts w:hint="default" w:ascii="Times New Roman" w:hAnsi="Times New Roman" w:eastAsia="宋体" w:cs="宋体"/>
                <w:color w:val="auto"/>
                <w:sz w:val="24"/>
                <w:szCs w:val="24"/>
                <w:lang w:val="en-US" w:eastAsia="zh-CN"/>
              </w:rPr>
            </w:pPr>
            <w:r>
              <w:rPr>
                <w:rFonts w:hint="eastAsia"/>
                <w:color w:val="auto"/>
                <w:szCs w:val="21"/>
                <w:lang w:val="en-US" w:eastAsia="zh-CN"/>
              </w:rPr>
              <w:t>219.33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现有项目</w:t>
            </w:r>
            <w:r>
              <w:rPr>
                <w:rFonts w:hint="default" w:ascii="Times New Roman" w:hAnsi="Times New Roman" w:cs="Times New Roman"/>
                <w:color w:val="auto"/>
                <w:highlight w:val="none"/>
              </w:rPr>
              <w:t>租赁面积</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本次扩建不新增面积</w:t>
            </w:r>
            <w:r>
              <w:rPr>
                <w:rFonts w:hint="default" w:ascii="Times New Roman" w:hAnsi="Times New Roman" w:cs="Times New Roman"/>
                <w:color w:val="auto"/>
                <w:highlight w:val="none"/>
              </w:rPr>
              <w:t>）</w:t>
            </w:r>
          </w:p>
        </w:tc>
      </w:tr>
      <w:tr w14:paraId="16A5E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7" w:type="dxa"/>
            <w:noWrap w:val="0"/>
            <w:vAlign w:val="center"/>
          </w:tcPr>
          <w:p w14:paraId="001823F2">
            <w:pPr>
              <w:autoSpaceDE w:val="0"/>
              <w:autoSpaceDN w:val="0"/>
              <w:adjustRightInd w:val="0"/>
              <w:snapToGrid w:val="0"/>
              <w:jc w:val="center"/>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专项评价设置情况</w:t>
            </w:r>
          </w:p>
        </w:tc>
        <w:tc>
          <w:tcPr>
            <w:tcW w:w="7073" w:type="dxa"/>
            <w:gridSpan w:val="3"/>
            <w:noWrap w:val="0"/>
            <w:vAlign w:val="center"/>
          </w:tcPr>
          <w:p w14:paraId="7234905A">
            <w:pPr>
              <w:autoSpaceDE w:val="0"/>
              <w:autoSpaceDN w:val="0"/>
              <w:adjustRightInd w:val="0"/>
              <w:snapToGrid w:val="0"/>
              <w:jc w:val="center"/>
              <w:rPr>
                <w:rFonts w:ascii="Times New Roman" w:hAnsi="Times New Roman" w:eastAsia="宋体" w:cs="宋体"/>
                <w:color w:val="auto"/>
                <w:kern w:val="0"/>
                <w:sz w:val="24"/>
                <w:szCs w:val="24"/>
                <w:vertAlign w:val="baseline"/>
              </w:rPr>
            </w:pPr>
            <w:r>
              <w:rPr>
                <w:rFonts w:hint="default" w:ascii="Times New Roman" w:hAnsi="Times New Roman" w:eastAsia="宋体" w:cs="Times New Roman"/>
                <w:color w:val="auto"/>
                <w:kern w:val="0"/>
                <w:sz w:val="24"/>
                <w:szCs w:val="24"/>
              </w:rPr>
              <w:t>表</w:t>
            </w:r>
            <w:r>
              <w:rPr>
                <w:rFonts w:hint="eastAsia" w:ascii="Times New Roman" w:hAnsi="Times New Roman" w:eastAsia="宋体" w:cs="Times New Roman"/>
                <w:color w:val="auto"/>
                <w:kern w:val="0"/>
                <w:sz w:val="24"/>
                <w:szCs w:val="24"/>
                <w:lang w:val="en-US" w:eastAsia="zh-CN"/>
              </w:rPr>
              <w:t xml:space="preserve">1 </w:t>
            </w:r>
            <w:r>
              <w:rPr>
                <w:rFonts w:hint="default" w:ascii="Times New Roman" w:hAnsi="Times New Roman" w:eastAsia="宋体" w:cs="Times New Roman"/>
                <w:color w:val="auto"/>
                <w:kern w:val="0"/>
                <w:sz w:val="24"/>
                <w:szCs w:val="24"/>
              </w:rPr>
              <w:t>专项评价设置原则表</w:t>
            </w:r>
          </w:p>
          <w:tbl>
            <w:tblPr>
              <w:tblStyle w:val="22"/>
              <w:tblW w:w="68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3313"/>
              <w:gridCol w:w="2455"/>
            </w:tblGrid>
            <w:tr w14:paraId="6539E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6" w:type="dxa"/>
                  <w:tcBorders>
                    <w:tl2br w:val="nil"/>
                    <w:tr2bl w:val="nil"/>
                  </w:tcBorders>
                  <w:noWrap w:val="0"/>
                  <w:vAlign w:val="center"/>
                </w:tcPr>
                <w:p w14:paraId="77B718A3">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lang w:val="en-US" w:eastAsia="zh-CN"/>
                    </w:rPr>
                  </w:pPr>
                  <w:r>
                    <w:rPr>
                      <w:rFonts w:hint="default" w:ascii="Times New Roman" w:hAnsi="Times New Roman" w:eastAsia="宋体" w:cs="Times New Roman"/>
                      <w:color w:val="auto"/>
                      <w:kern w:val="0"/>
                      <w:sz w:val="24"/>
                      <w:szCs w:val="24"/>
                      <w:vertAlign w:val="baseline"/>
                      <w:lang w:val="en-US" w:eastAsia="zh-CN"/>
                    </w:rPr>
                    <w:t>专项评价类别</w:t>
                  </w:r>
                </w:p>
              </w:tc>
              <w:tc>
                <w:tcPr>
                  <w:tcW w:w="3313" w:type="dxa"/>
                  <w:tcBorders>
                    <w:tl2br w:val="nil"/>
                    <w:tr2bl w:val="nil"/>
                  </w:tcBorders>
                  <w:noWrap w:val="0"/>
                  <w:vAlign w:val="center"/>
                </w:tcPr>
                <w:p w14:paraId="0D1F6C4A">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lang w:val="en-US" w:eastAsia="zh-CN"/>
                    </w:rPr>
                  </w:pPr>
                  <w:r>
                    <w:rPr>
                      <w:rFonts w:hint="default" w:ascii="Times New Roman" w:hAnsi="Times New Roman" w:eastAsia="宋体" w:cs="Times New Roman"/>
                      <w:color w:val="auto"/>
                      <w:kern w:val="0"/>
                      <w:sz w:val="24"/>
                      <w:szCs w:val="24"/>
                      <w:vertAlign w:val="baseline"/>
                      <w:lang w:val="en-US" w:eastAsia="zh-CN"/>
                    </w:rPr>
                    <w:t>设置原则</w:t>
                  </w:r>
                </w:p>
              </w:tc>
              <w:tc>
                <w:tcPr>
                  <w:tcW w:w="2455" w:type="dxa"/>
                  <w:tcBorders>
                    <w:tl2br w:val="nil"/>
                    <w:tr2bl w:val="nil"/>
                  </w:tcBorders>
                  <w:noWrap w:val="0"/>
                  <w:vAlign w:val="center"/>
                </w:tcPr>
                <w:p w14:paraId="1CDADA24">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lang w:val="en-US" w:eastAsia="zh-CN"/>
                    </w:rPr>
                  </w:pPr>
                  <w:r>
                    <w:rPr>
                      <w:rFonts w:hint="default" w:ascii="Times New Roman" w:hAnsi="Times New Roman" w:eastAsia="宋体" w:cs="Times New Roman"/>
                      <w:color w:val="auto"/>
                      <w:kern w:val="0"/>
                      <w:sz w:val="24"/>
                      <w:szCs w:val="24"/>
                      <w:vertAlign w:val="baseline"/>
                      <w:lang w:val="en-US" w:eastAsia="zh-CN"/>
                    </w:rPr>
                    <w:t>本项目专项评价设置情况</w:t>
                  </w:r>
                </w:p>
              </w:tc>
            </w:tr>
            <w:tr w14:paraId="5F4BC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6" w:type="dxa"/>
                  <w:tcBorders>
                    <w:tl2br w:val="nil"/>
                    <w:tr2bl w:val="nil"/>
                  </w:tcBorders>
                  <w:noWrap w:val="0"/>
                  <w:vAlign w:val="center"/>
                </w:tcPr>
                <w:p w14:paraId="6B2E5E3E">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lang w:val="en-US" w:eastAsia="zh-CN"/>
                    </w:rPr>
                  </w:pPr>
                  <w:r>
                    <w:rPr>
                      <w:rFonts w:hint="default" w:ascii="Times New Roman" w:hAnsi="Times New Roman" w:eastAsia="宋体" w:cs="Times New Roman"/>
                      <w:color w:val="auto"/>
                      <w:kern w:val="0"/>
                      <w:sz w:val="24"/>
                      <w:szCs w:val="24"/>
                      <w:vertAlign w:val="baseline"/>
                      <w:lang w:val="en-US" w:eastAsia="zh-CN"/>
                    </w:rPr>
                    <w:t>大气</w:t>
                  </w:r>
                </w:p>
              </w:tc>
              <w:tc>
                <w:tcPr>
                  <w:tcW w:w="3313" w:type="dxa"/>
                  <w:tcBorders>
                    <w:tl2br w:val="nil"/>
                    <w:tr2bl w:val="nil"/>
                  </w:tcBorders>
                  <w:noWrap w:val="0"/>
                  <w:vAlign w:val="center"/>
                </w:tcPr>
                <w:p w14:paraId="2E14AE68">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排放废气含有毒有害污染物、二噁英、苯并</w:t>
                  </w:r>
                  <w:r>
                    <w:rPr>
                      <w:rFonts w:hint="eastAsia"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vertAlign w:val="baseline"/>
                    </w:rPr>
                    <w:t>a</w:t>
                  </w:r>
                  <w:r>
                    <w:rPr>
                      <w:rFonts w:hint="eastAsia"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vertAlign w:val="baseline"/>
                    </w:rPr>
                    <w:t>芘、氰化物、氯气且厂界外 500m范围内有环境空气保护目标的建设项目</w:t>
                  </w:r>
                </w:p>
              </w:tc>
              <w:tc>
                <w:tcPr>
                  <w:tcW w:w="2455" w:type="dxa"/>
                  <w:tcBorders>
                    <w:tl2br w:val="nil"/>
                    <w:tr2bl w:val="nil"/>
                  </w:tcBorders>
                  <w:noWrap w:val="0"/>
                  <w:vAlign w:val="center"/>
                </w:tcPr>
                <w:p w14:paraId="0DD27974">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lang w:val="en-US" w:eastAsia="zh-CN"/>
                    </w:rPr>
                  </w:pPr>
                  <w:r>
                    <w:rPr>
                      <w:rFonts w:hint="default" w:ascii="Times New Roman" w:hAnsi="Times New Roman" w:eastAsia="宋体" w:cs="Times New Roman"/>
                      <w:color w:val="auto"/>
                      <w:kern w:val="0"/>
                      <w:sz w:val="24"/>
                      <w:szCs w:val="24"/>
                      <w:vertAlign w:val="baseline"/>
                    </w:rPr>
                    <w:t>本项目排放的废气不涉及有毒有害污染物、二噁英、苯并</w:t>
                  </w:r>
                  <w:r>
                    <w:rPr>
                      <w:rFonts w:hint="eastAsia"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vertAlign w:val="baseline"/>
                    </w:rPr>
                    <w:t>a</w:t>
                  </w:r>
                  <w:r>
                    <w:rPr>
                      <w:rFonts w:hint="eastAsia"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vertAlign w:val="baseline"/>
                    </w:rPr>
                    <w:t>芘、氰化物、氯气</w:t>
                  </w:r>
                  <w:r>
                    <w:rPr>
                      <w:rFonts w:hint="eastAsia" w:ascii="Times New Roman" w:hAnsi="Times New Roman" w:eastAsia="宋体"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无须设置</w:t>
                  </w:r>
                  <w:r>
                    <w:rPr>
                      <w:rFonts w:hint="eastAsia" w:ascii="Times New Roman" w:hAnsi="Times New Roman" w:eastAsia="宋体" w:cs="Times New Roman"/>
                      <w:color w:val="auto"/>
                      <w:kern w:val="0"/>
                      <w:sz w:val="24"/>
                      <w:szCs w:val="24"/>
                      <w:vertAlign w:val="baseline"/>
                      <w:lang w:val="en-US" w:eastAsia="zh-CN"/>
                    </w:rPr>
                    <w:t>专项评价</w:t>
                  </w:r>
                </w:p>
              </w:tc>
            </w:tr>
            <w:tr w14:paraId="7DBBA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6" w:type="dxa"/>
                  <w:tcBorders>
                    <w:tl2br w:val="nil"/>
                    <w:tr2bl w:val="nil"/>
                  </w:tcBorders>
                  <w:noWrap w:val="0"/>
                  <w:vAlign w:val="center"/>
                </w:tcPr>
                <w:p w14:paraId="2D1A63C1">
                  <w:pPr>
                    <w:autoSpaceDE w:val="0"/>
                    <w:autoSpaceDN w:val="0"/>
                    <w:adjustRightInd w:val="0"/>
                    <w:snapToGrid w:val="0"/>
                    <w:jc w:val="center"/>
                    <w:rPr>
                      <w:rFonts w:hint="eastAsia" w:ascii="Times New Roman" w:hAnsi="Times New Roman" w:eastAsia="宋体" w:cs="Times New Roman"/>
                      <w:color w:val="auto"/>
                      <w:kern w:val="0"/>
                      <w:sz w:val="24"/>
                      <w:szCs w:val="24"/>
                      <w:vertAlign w:val="baseline"/>
                      <w:lang w:val="en-US" w:eastAsia="zh-CN"/>
                    </w:rPr>
                  </w:pPr>
                  <w:r>
                    <w:rPr>
                      <w:rFonts w:hint="eastAsia" w:ascii="Times New Roman" w:hAnsi="Times New Roman" w:eastAsia="宋体" w:cs="Times New Roman"/>
                      <w:color w:val="auto"/>
                      <w:kern w:val="0"/>
                      <w:sz w:val="24"/>
                      <w:szCs w:val="24"/>
                      <w:vertAlign w:val="baseline"/>
                      <w:lang w:val="en-US" w:eastAsia="zh-CN"/>
                    </w:rPr>
                    <w:t>地表水</w:t>
                  </w:r>
                </w:p>
              </w:tc>
              <w:tc>
                <w:tcPr>
                  <w:tcW w:w="3313" w:type="dxa"/>
                  <w:tcBorders>
                    <w:tl2br w:val="nil"/>
                    <w:tr2bl w:val="nil"/>
                  </w:tcBorders>
                  <w:noWrap w:val="0"/>
                  <w:vAlign w:val="center"/>
                </w:tcPr>
                <w:p w14:paraId="58562D71">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新增工业废水直排建设项目</w:t>
                  </w:r>
                  <w:r>
                    <w:rPr>
                      <w:rFonts w:hint="eastAsia"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vertAlign w:val="baseline"/>
                    </w:rPr>
                    <w:t>槽罐车外送污水处理厂的除外</w:t>
                  </w:r>
                  <w:r>
                    <w:rPr>
                      <w:rFonts w:hint="eastAsia"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vertAlign w:val="baseline"/>
                    </w:rPr>
                    <w:t>新增废水直排的污水集中处理厂</w:t>
                  </w:r>
                </w:p>
              </w:tc>
              <w:tc>
                <w:tcPr>
                  <w:tcW w:w="2455" w:type="dxa"/>
                  <w:tcBorders>
                    <w:tl2br w:val="nil"/>
                    <w:tr2bl w:val="nil"/>
                  </w:tcBorders>
                  <w:noWrap w:val="0"/>
                  <w:vAlign w:val="center"/>
                </w:tcPr>
                <w:p w14:paraId="63A065FE">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lang w:val="en-US" w:eastAsia="zh-CN"/>
                    </w:rPr>
                  </w:pPr>
                  <w:r>
                    <w:rPr>
                      <w:rFonts w:hint="eastAsia" w:ascii="Times New Roman" w:hAnsi="Times New Roman" w:eastAsia="宋体" w:cs="Times New Roman"/>
                      <w:color w:val="auto"/>
                      <w:kern w:val="0"/>
                      <w:sz w:val="24"/>
                      <w:szCs w:val="24"/>
                      <w:vertAlign w:val="baseline"/>
                      <w:lang w:val="en-US" w:eastAsia="zh-CN"/>
                    </w:rPr>
                    <w:t>本项目无废水直排</w:t>
                  </w:r>
                  <w:r>
                    <w:rPr>
                      <w:rFonts w:hint="eastAsia" w:ascii="Times New Roman" w:hAnsi="Times New Roman" w:eastAsia="宋体"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无须设置</w:t>
                  </w:r>
                  <w:r>
                    <w:rPr>
                      <w:rFonts w:hint="eastAsia" w:ascii="Times New Roman" w:hAnsi="Times New Roman" w:eastAsia="宋体" w:cs="Times New Roman"/>
                      <w:color w:val="auto"/>
                      <w:kern w:val="0"/>
                      <w:sz w:val="24"/>
                      <w:szCs w:val="24"/>
                      <w:vertAlign w:val="baseline"/>
                      <w:lang w:val="en-US" w:eastAsia="zh-CN"/>
                    </w:rPr>
                    <w:t>专项评价</w:t>
                  </w:r>
                </w:p>
              </w:tc>
            </w:tr>
            <w:tr w14:paraId="5C747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6" w:type="dxa"/>
                  <w:tcBorders>
                    <w:tl2br w:val="nil"/>
                    <w:tr2bl w:val="nil"/>
                  </w:tcBorders>
                  <w:noWrap w:val="0"/>
                  <w:vAlign w:val="center"/>
                </w:tcPr>
                <w:p w14:paraId="184ECAB0">
                  <w:pPr>
                    <w:autoSpaceDE w:val="0"/>
                    <w:autoSpaceDN w:val="0"/>
                    <w:adjustRightInd w:val="0"/>
                    <w:snapToGrid w:val="0"/>
                    <w:jc w:val="center"/>
                    <w:rPr>
                      <w:rFonts w:hint="eastAsia" w:ascii="Times New Roman" w:hAnsi="Times New Roman" w:eastAsia="宋体" w:cs="Times New Roman"/>
                      <w:color w:val="auto"/>
                      <w:kern w:val="0"/>
                      <w:sz w:val="24"/>
                      <w:szCs w:val="24"/>
                      <w:vertAlign w:val="baseline"/>
                      <w:lang w:val="en-US" w:eastAsia="zh-CN"/>
                    </w:rPr>
                  </w:pPr>
                  <w:r>
                    <w:rPr>
                      <w:rFonts w:hint="eastAsia" w:ascii="Times New Roman" w:hAnsi="Times New Roman" w:eastAsia="宋体" w:cs="Times New Roman"/>
                      <w:color w:val="auto"/>
                      <w:kern w:val="0"/>
                      <w:sz w:val="24"/>
                      <w:szCs w:val="24"/>
                      <w:vertAlign w:val="baseline"/>
                      <w:lang w:val="en-US" w:eastAsia="zh-CN"/>
                    </w:rPr>
                    <w:t>环境风险</w:t>
                  </w:r>
                </w:p>
              </w:tc>
              <w:tc>
                <w:tcPr>
                  <w:tcW w:w="3313" w:type="dxa"/>
                  <w:tcBorders>
                    <w:tl2br w:val="nil"/>
                    <w:tr2bl w:val="nil"/>
                  </w:tcBorders>
                  <w:noWrap w:val="0"/>
                  <w:vAlign w:val="center"/>
                </w:tcPr>
                <w:p w14:paraId="2D7EB2B2">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有毒有害和易燃易爆危险物质存储量超过临界量的建设项目</w:t>
                  </w:r>
                </w:p>
              </w:tc>
              <w:tc>
                <w:tcPr>
                  <w:tcW w:w="2455" w:type="dxa"/>
                  <w:tcBorders>
                    <w:tl2br w:val="nil"/>
                    <w:tr2bl w:val="nil"/>
                  </w:tcBorders>
                  <w:noWrap w:val="0"/>
                  <w:vAlign w:val="center"/>
                </w:tcPr>
                <w:p w14:paraId="4509E2C5">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本项目涉及</w:t>
                  </w:r>
                  <w:r>
                    <w:rPr>
                      <w:rFonts w:hint="eastAsia" w:ascii="Times New Roman" w:hAnsi="Times New Roman" w:eastAsia="宋体" w:cs="Times New Roman"/>
                      <w:color w:val="auto"/>
                      <w:kern w:val="0"/>
                      <w:sz w:val="24"/>
                      <w:szCs w:val="24"/>
                      <w:vertAlign w:val="baseline"/>
                      <w:lang w:val="en-US" w:eastAsia="zh-CN"/>
                    </w:rPr>
                    <w:t>的</w:t>
                  </w:r>
                  <w:r>
                    <w:rPr>
                      <w:rFonts w:hint="default" w:ascii="Times New Roman" w:hAnsi="Times New Roman" w:eastAsia="宋体" w:cs="Times New Roman"/>
                      <w:color w:val="auto"/>
                      <w:kern w:val="0"/>
                      <w:sz w:val="24"/>
                      <w:szCs w:val="24"/>
                      <w:vertAlign w:val="baseline"/>
                    </w:rPr>
                    <w:t>有毒有害物质</w:t>
                  </w:r>
                  <w:r>
                    <w:rPr>
                      <w:rFonts w:hint="eastAsia" w:ascii="Times New Roman" w:hAnsi="Times New Roman" w:eastAsia="宋体" w:cs="Times New Roman"/>
                      <w:color w:val="auto"/>
                      <w:kern w:val="0"/>
                      <w:sz w:val="24"/>
                      <w:szCs w:val="24"/>
                      <w:vertAlign w:val="baseline"/>
                      <w:lang w:val="en-US" w:eastAsia="zh-CN"/>
                    </w:rPr>
                    <w:t>和</w:t>
                  </w:r>
                  <w:r>
                    <w:rPr>
                      <w:rFonts w:hint="default" w:ascii="Times New Roman" w:hAnsi="Times New Roman" w:eastAsia="宋体" w:cs="Times New Roman"/>
                      <w:color w:val="auto"/>
                      <w:kern w:val="0"/>
                      <w:sz w:val="24"/>
                      <w:szCs w:val="24"/>
                      <w:vertAlign w:val="baseline"/>
                    </w:rPr>
                    <w:t>易燃易爆物质存放量未超过临界量</w:t>
                  </w:r>
                  <w:r>
                    <w:rPr>
                      <w:rFonts w:hint="eastAsia" w:ascii="Times New Roman" w:hAnsi="Times New Roman" w:eastAsia="宋体"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无须设置</w:t>
                  </w:r>
                  <w:r>
                    <w:rPr>
                      <w:rFonts w:hint="eastAsia" w:ascii="Times New Roman" w:hAnsi="Times New Roman" w:eastAsia="宋体" w:cs="Times New Roman"/>
                      <w:color w:val="auto"/>
                      <w:kern w:val="0"/>
                      <w:sz w:val="24"/>
                      <w:szCs w:val="24"/>
                      <w:vertAlign w:val="baseline"/>
                      <w:lang w:val="en-US" w:eastAsia="zh-CN"/>
                    </w:rPr>
                    <w:t>专项评价</w:t>
                  </w:r>
                </w:p>
              </w:tc>
            </w:tr>
            <w:tr w14:paraId="708E7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6" w:type="dxa"/>
                  <w:tcBorders>
                    <w:tl2br w:val="nil"/>
                    <w:tr2bl w:val="nil"/>
                  </w:tcBorders>
                  <w:noWrap w:val="0"/>
                  <w:vAlign w:val="center"/>
                </w:tcPr>
                <w:p w14:paraId="71BC0DE9">
                  <w:pPr>
                    <w:autoSpaceDE w:val="0"/>
                    <w:autoSpaceDN w:val="0"/>
                    <w:adjustRightInd w:val="0"/>
                    <w:snapToGrid w:val="0"/>
                    <w:jc w:val="center"/>
                    <w:rPr>
                      <w:rFonts w:hint="eastAsia" w:ascii="Times New Roman" w:hAnsi="Times New Roman" w:eastAsia="宋体" w:cs="Times New Roman"/>
                      <w:color w:val="auto"/>
                      <w:kern w:val="0"/>
                      <w:sz w:val="24"/>
                      <w:szCs w:val="24"/>
                      <w:vertAlign w:val="baseline"/>
                      <w:lang w:val="en-US" w:eastAsia="zh-CN"/>
                    </w:rPr>
                  </w:pPr>
                  <w:r>
                    <w:rPr>
                      <w:rFonts w:hint="eastAsia" w:ascii="Times New Roman" w:hAnsi="Times New Roman" w:eastAsia="宋体" w:cs="Times New Roman"/>
                      <w:color w:val="auto"/>
                      <w:kern w:val="0"/>
                      <w:sz w:val="24"/>
                      <w:szCs w:val="24"/>
                      <w:vertAlign w:val="baseline"/>
                      <w:lang w:val="en-US" w:eastAsia="zh-CN"/>
                    </w:rPr>
                    <w:t>生态</w:t>
                  </w:r>
                </w:p>
              </w:tc>
              <w:tc>
                <w:tcPr>
                  <w:tcW w:w="3313" w:type="dxa"/>
                  <w:tcBorders>
                    <w:tl2br w:val="nil"/>
                    <w:tr2bl w:val="nil"/>
                  </w:tcBorders>
                  <w:noWrap w:val="0"/>
                  <w:vAlign w:val="center"/>
                </w:tcPr>
                <w:p w14:paraId="5953FCA6">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取水口下游500 米范围内有重要水生 生物的自然产卵场、索饵场、越冬场和洄游通道的新增河道取水的污染类建设项目</w:t>
                  </w:r>
                </w:p>
              </w:tc>
              <w:tc>
                <w:tcPr>
                  <w:tcW w:w="2455" w:type="dxa"/>
                  <w:tcBorders>
                    <w:tl2br w:val="nil"/>
                    <w:tr2bl w:val="nil"/>
                  </w:tcBorders>
                  <w:noWrap w:val="0"/>
                  <w:vAlign w:val="center"/>
                </w:tcPr>
                <w:p w14:paraId="6BEAA53A">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本项目不涉及取水口</w:t>
                  </w:r>
                  <w:r>
                    <w:rPr>
                      <w:rFonts w:hint="eastAsia" w:ascii="Times New Roman" w:hAnsi="Times New Roman" w:eastAsia="宋体"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无须设置</w:t>
                  </w:r>
                  <w:r>
                    <w:rPr>
                      <w:rFonts w:hint="eastAsia" w:ascii="Times New Roman" w:hAnsi="Times New Roman" w:eastAsia="宋体" w:cs="Times New Roman"/>
                      <w:color w:val="auto"/>
                      <w:kern w:val="0"/>
                      <w:sz w:val="24"/>
                      <w:szCs w:val="24"/>
                      <w:vertAlign w:val="baseline"/>
                      <w:lang w:val="en-US" w:eastAsia="zh-CN"/>
                    </w:rPr>
                    <w:t>专项评价</w:t>
                  </w:r>
                </w:p>
              </w:tc>
            </w:tr>
            <w:tr w14:paraId="2EAAE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6" w:type="dxa"/>
                  <w:tcBorders>
                    <w:tl2br w:val="nil"/>
                    <w:tr2bl w:val="nil"/>
                  </w:tcBorders>
                  <w:noWrap w:val="0"/>
                  <w:vAlign w:val="center"/>
                </w:tcPr>
                <w:p w14:paraId="495F582D">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lang w:val="en-US" w:eastAsia="zh-CN"/>
                    </w:rPr>
                  </w:pPr>
                  <w:r>
                    <w:rPr>
                      <w:rFonts w:hint="eastAsia" w:ascii="Times New Roman" w:hAnsi="Times New Roman" w:eastAsia="宋体" w:cs="Times New Roman"/>
                      <w:color w:val="auto"/>
                      <w:kern w:val="0"/>
                      <w:sz w:val="24"/>
                      <w:szCs w:val="24"/>
                      <w:vertAlign w:val="baseline"/>
                      <w:lang w:val="en-US" w:eastAsia="zh-CN"/>
                    </w:rPr>
                    <w:t>海洋</w:t>
                  </w:r>
                </w:p>
              </w:tc>
              <w:tc>
                <w:tcPr>
                  <w:tcW w:w="3313" w:type="dxa"/>
                  <w:tcBorders>
                    <w:tl2br w:val="nil"/>
                    <w:tr2bl w:val="nil"/>
                  </w:tcBorders>
                  <w:noWrap w:val="0"/>
                  <w:vAlign w:val="center"/>
                </w:tcPr>
                <w:p w14:paraId="4A237247">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直接向海排放污染物的海洋工程建设项目</w:t>
                  </w:r>
                </w:p>
              </w:tc>
              <w:tc>
                <w:tcPr>
                  <w:tcW w:w="2455" w:type="dxa"/>
                  <w:tcBorders>
                    <w:tl2br w:val="nil"/>
                    <w:tr2bl w:val="nil"/>
                  </w:tcBorders>
                  <w:noWrap w:val="0"/>
                  <w:vAlign w:val="center"/>
                </w:tcPr>
                <w:p w14:paraId="68411346">
                  <w:pPr>
                    <w:autoSpaceDE w:val="0"/>
                    <w:autoSpaceDN w:val="0"/>
                    <w:adjustRightInd w:val="0"/>
                    <w:snapToGrid w:val="0"/>
                    <w:jc w:val="center"/>
                    <w:rPr>
                      <w:rFonts w:hint="default" w:ascii="Times New Roman" w:hAnsi="Times New Roman" w:eastAsia="宋体" w:cs="Times New Roman"/>
                      <w:color w:val="auto"/>
                      <w:kern w:val="0"/>
                      <w:sz w:val="24"/>
                      <w:szCs w:val="24"/>
                      <w:vertAlign w:val="baseline"/>
                    </w:rPr>
                  </w:pPr>
                  <w:r>
                    <w:rPr>
                      <w:rFonts w:hint="default" w:ascii="Times New Roman" w:hAnsi="Times New Roman" w:eastAsia="宋体" w:cs="Times New Roman"/>
                      <w:color w:val="auto"/>
                      <w:kern w:val="0"/>
                      <w:sz w:val="24"/>
                      <w:szCs w:val="24"/>
                      <w:vertAlign w:val="baseline"/>
                    </w:rPr>
                    <w:t>本项目不涉及向海洋排放污染物</w:t>
                  </w:r>
                  <w:r>
                    <w:rPr>
                      <w:rFonts w:hint="eastAsia" w:ascii="Times New Roman" w:hAnsi="Times New Roman" w:eastAsia="宋体"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无须设置</w:t>
                  </w:r>
                  <w:r>
                    <w:rPr>
                      <w:rFonts w:hint="eastAsia" w:ascii="Times New Roman" w:hAnsi="Times New Roman" w:eastAsia="宋体" w:cs="Times New Roman"/>
                      <w:color w:val="auto"/>
                      <w:kern w:val="0"/>
                      <w:sz w:val="24"/>
                      <w:szCs w:val="24"/>
                      <w:vertAlign w:val="baseline"/>
                      <w:lang w:val="en-US" w:eastAsia="zh-CN"/>
                    </w:rPr>
                    <w:t>专项评价</w:t>
                  </w:r>
                </w:p>
              </w:tc>
            </w:tr>
          </w:tbl>
          <w:p w14:paraId="2076F312">
            <w:pPr>
              <w:autoSpaceDE w:val="0"/>
              <w:autoSpaceDN w:val="0"/>
              <w:adjustRightInd w:val="0"/>
              <w:snapToGrid w:val="0"/>
              <w:jc w:val="center"/>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综上，经与专项评价设置原则表对照分析，本项目</w:t>
            </w:r>
            <w:r>
              <w:rPr>
                <w:rFonts w:hint="eastAsia" w:cs="宋体"/>
                <w:color w:val="auto"/>
                <w:kern w:val="0"/>
                <w:sz w:val="24"/>
                <w:szCs w:val="24"/>
                <w:lang w:eastAsia="zh-CN"/>
              </w:rPr>
              <w:t>无须设置</w:t>
            </w:r>
            <w:r>
              <w:rPr>
                <w:rFonts w:hint="eastAsia" w:ascii="Times New Roman" w:hAnsi="Times New Roman" w:eastAsia="宋体" w:cs="宋体"/>
                <w:color w:val="auto"/>
                <w:kern w:val="0"/>
                <w:sz w:val="24"/>
                <w:szCs w:val="24"/>
              </w:rPr>
              <w:t>专项评</w:t>
            </w:r>
            <w:r>
              <w:rPr>
                <w:rFonts w:hint="eastAsia" w:ascii="Times New Roman" w:hAnsi="Times New Roman" w:eastAsia="宋体" w:cs="宋体"/>
                <w:color w:val="auto"/>
                <w:kern w:val="0"/>
                <w:sz w:val="24"/>
                <w:szCs w:val="24"/>
                <w:lang w:val="en-US" w:eastAsia="zh-CN"/>
              </w:rPr>
              <w:t>价</w:t>
            </w:r>
            <w:r>
              <w:rPr>
                <w:rFonts w:hint="eastAsia" w:cs="宋体"/>
                <w:color w:val="auto"/>
                <w:kern w:val="0"/>
                <w:sz w:val="24"/>
                <w:szCs w:val="24"/>
                <w:lang w:val="en-US" w:eastAsia="zh-CN"/>
              </w:rPr>
              <w:t>。</w:t>
            </w:r>
          </w:p>
        </w:tc>
      </w:tr>
      <w:tr w14:paraId="54B16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7" w:type="dxa"/>
            <w:noWrap w:val="0"/>
            <w:vAlign w:val="center"/>
          </w:tcPr>
          <w:p w14:paraId="62223665">
            <w:pPr>
              <w:autoSpaceDE w:val="0"/>
              <w:autoSpaceDN w:val="0"/>
              <w:adjustRightInd w:val="0"/>
              <w:snapToGrid w:val="0"/>
              <w:jc w:val="center"/>
              <w:rPr>
                <w:rFonts w:hint="eastAsia" w:ascii="Times New Roman" w:hAnsi="Times New Roman" w:eastAsia="宋体" w:cs="宋体"/>
                <w:color w:val="auto"/>
                <w:kern w:val="0"/>
                <w:sz w:val="24"/>
                <w:szCs w:val="24"/>
              </w:rPr>
            </w:pPr>
            <w:r>
              <w:rPr>
                <w:rFonts w:hint="eastAsia" w:ascii="Times New Roman" w:hAnsi="Times New Roman" w:eastAsia="宋体" w:cs="宋体"/>
                <w:color w:val="auto"/>
                <w:sz w:val="24"/>
                <w:szCs w:val="24"/>
              </w:rPr>
              <w:t>规划情况</w:t>
            </w:r>
          </w:p>
        </w:tc>
        <w:tc>
          <w:tcPr>
            <w:tcW w:w="7073" w:type="dxa"/>
            <w:gridSpan w:val="3"/>
            <w:noWrap w:val="0"/>
            <w:vAlign w:val="center"/>
          </w:tcPr>
          <w:p w14:paraId="4A2C217D">
            <w:pPr>
              <w:autoSpaceDE w:val="0"/>
              <w:autoSpaceDN w:val="0"/>
              <w:adjustRightInd w:val="0"/>
              <w:snapToGrid w:val="0"/>
              <w:jc w:val="center"/>
              <w:rPr>
                <w:rFonts w:hint="eastAsia" w:ascii="Times New Roman" w:hAnsi="Times New Roman" w:eastAsia="宋体" w:cs="宋体"/>
                <w:color w:val="auto"/>
                <w:kern w:val="0"/>
                <w:sz w:val="24"/>
                <w:szCs w:val="24"/>
                <w:lang w:val="en-US" w:eastAsia="zh-CN"/>
              </w:rPr>
            </w:pPr>
            <w:r>
              <w:rPr>
                <w:rFonts w:hint="eastAsia" w:ascii="Times New Roman" w:hAnsi="Times New Roman" w:eastAsia="宋体" w:cs="宋体"/>
                <w:color w:val="auto"/>
                <w:kern w:val="0"/>
                <w:sz w:val="24"/>
                <w:szCs w:val="24"/>
                <w:lang w:val="en-US" w:eastAsia="zh-CN"/>
              </w:rPr>
              <w:t>无</w:t>
            </w:r>
          </w:p>
        </w:tc>
      </w:tr>
      <w:tr w14:paraId="5BEC6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7" w:type="dxa"/>
            <w:noWrap w:val="0"/>
            <w:vAlign w:val="center"/>
          </w:tcPr>
          <w:p w14:paraId="686B9179">
            <w:pPr>
              <w:adjustRightInd w:val="0"/>
              <w:snapToGrid w:val="0"/>
              <w:jc w:val="center"/>
              <w:rPr>
                <w:rFonts w:hint="eastAsia" w:ascii="Times New Roman" w:hAnsi="Times New Roman" w:eastAsia="宋体" w:cs="宋体"/>
                <w:color w:val="auto"/>
                <w:kern w:val="0"/>
                <w:sz w:val="24"/>
                <w:szCs w:val="24"/>
              </w:rPr>
            </w:pPr>
            <w:r>
              <w:rPr>
                <w:rFonts w:hint="eastAsia" w:ascii="Times New Roman" w:hAnsi="Times New Roman" w:eastAsia="宋体" w:cs="宋体"/>
                <w:color w:val="auto"/>
                <w:sz w:val="24"/>
                <w:szCs w:val="24"/>
              </w:rPr>
              <w:t>规划环境影响评价情况</w:t>
            </w:r>
          </w:p>
        </w:tc>
        <w:tc>
          <w:tcPr>
            <w:tcW w:w="7073" w:type="dxa"/>
            <w:gridSpan w:val="3"/>
            <w:noWrap w:val="0"/>
            <w:vAlign w:val="center"/>
          </w:tcPr>
          <w:p w14:paraId="7F532F57">
            <w:pPr>
              <w:autoSpaceDE w:val="0"/>
              <w:autoSpaceDN w:val="0"/>
              <w:adjustRightInd w:val="0"/>
              <w:snapToGrid w:val="0"/>
              <w:jc w:val="center"/>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lang w:val="en-US" w:eastAsia="zh-CN"/>
              </w:rPr>
              <w:t>无</w:t>
            </w:r>
          </w:p>
        </w:tc>
      </w:tr>
      <w:tr w14:paraId="3888C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7" w:type="dxa"/>
            <w:noWrap w:val="0"/>
            <w:vAlign w:val="center"/>
          </w:tcPr>
          <w:p w14:paraId="6C1E408E">
            <w:pPr>
              <w:autoSpaceDE w:val="0"/>
              <w:autoSpaceDN w:val="0"/>
              <w:adjustRightInd w:val="0"/>
              <w:snapToGrid w:val="0"/>
              <w:jc w:val="center"/>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规划及规划环境影响评价符合性分析</w:t>
            </w:r>
          </w:p>
        </w:tc>
        <w:tc>
          <w:tcPr>
            <w:tcW w:w="7073" w:type="dxa"/>
            <w:gridSpan w:val="3"/>
            <w:noWrap w:val="0"/>
            <w:vAlign w:val="center"/>
          </w:tcPr>
          <w:p w14:paraId="19924781">
            <w:pPr>
              <w:autoSpaceDE w:val="0"/>
              <w:autoSpaceDN w:val="0"/>
              <w:adjustRightInd w:val="0"/>
              <w:snapToGrid w:val="0"/>
              <w:jc w:val="center"/>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lang w:val="en-US" w:eastAsia="zh-CN"/>
              </w:rPr>
              <w:t>无</w:t>
            </w:r>
          </w:p>
        </w:tc>
      </w:tr>
      <w:tr w14:paraId="4457A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7" w:type="dxa"/>
            <w:noWrap w:val="0"/>
            <w:vAlign w:val="center"/>
          </w:tcPr>
          <w:p w14:paraId="35DB207C">
            <w:pPr>
              <w:autoSpaceDE w:val="0"/>
              <w:autoSpaceDN w:val="0"/>
              <w:adjustRightInd w:val="0"/>
              <w:snapToGrid w:val="0"/>
              <w:jc w:val="center"/>
              <w:rPr>
                <w:rFonts w:hint="eastAsia"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其他符合性分析</w:t>
            </w:r>
          </w:p>
        </w:tc>
        <w:tc>
          <w:tcPr>
            <w:tcW w:w="7073" w:type="dxa"/>
            <w:gridSpan w:val="3"/>
            <w:noWrap w:val="0"/>
            <w:vAlign w:val="center"/>
          </w:tcPr>
          <w:p w14:paraId="64C672B7">
            <w:pPr>
              <w:keepNext w:val="0"/>
              <w:keepLines w:val="0"/>
              <w:pageBreakBefore w:val="0"/>
              <w:widowControl w:val="0"/>
              <w:numPr>
                <w:ilvl w:val="1"/>
                <w:numId w:val="0"/>
              </w:numPr>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宋体"/>
                <w:b/>
                <w:bCs/>
                <w:color w:val="auto"/>
                <w:kern w:val="0"/>
                <w:sz w:val="24"/>
                <w:szCs w:val="24"/>
                <w:lang w:val="en-US" w:eastAsia="zh-CN"/>
              </w:rPr>
            </w:pPr>
            <w:r>
              <w:rPr>
                <w:rFonts w:hint="default" w:ascii="Times New Roman" w:hAnsi="Times New Roman" w:eastAsia="宋体" w:cs="宋体"/>
                <w:b/>
                <w:bCs/>
                <w:color w:val="auto"/>
                <w:kern w:val="0"/>
                <w:sz w:val="24"/>
                <w:szCs w:val="24"/>
                <w:lang w:val="en-US" w:eastAsia="zh-CN" w:bidi="ar-SA"/>
              </w:rPr>
              <w:t>1.1</w:t>
            </w:r>
            <w:r>
              <w:rPr>
                <w:rFonts w:hint="eastAsia" w:ascii="Times New Roman" w:hAnsi="Times New Roman" w:eastAsia="宋体" w:cs="宋体"/>
                <w:b/>
                <w:bCs/>
                <w:color w:val="auto"/>
                <w:kern w:val="0"/>
                <w:sz w:val="24"/>
                <w:szCs w:val="24"/>
                <w:lang w:val="en-US" w:eastAsia="zh-CN"/>
              </w:rPr>
              <w:t>与“三线一单”符合性分析</w:t>
            </w:r>
          </w:p>
          <w:p w14:paraId="635879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eastAsia="宋体" w:cs="宋体"/>
                <w:b/>
                <w:bCs/>
                <w:color w:val="auto"/>
                <w:kern w:val="0"/>
                <w:sz w:val="24"/>
                <w:szCs w:val="24"/>
                <w:lang w:val="en-US" w:eastAsia="zh-CN"/>
              </w:rPr>
            </w:pPr>
            <w:r>
              <w:rPr>
                <w:rFonts w:hint="default" w:ascii="Times New Roman" w:hAnsi="Times New Roman" w:cs="Times New Roman"/>
                <w:b w:val="0"/>
                <w:color w:val="auto"/>
                <w:sz w:val="24"/>
                <w:highlight w:val="none"/>
              </w:rPr>
              <w:t>本项目位于</w:t>
            </w:r>
            <w:r>
              <w:rPr>
                <w:rFonts w:hint="eastAsia" w:ascii="Times New Roman" w:hAnsi="Times New Roman" w:cs="Times New Roman"/>
                <w:b w:val="0"/>
                <w:color w:val="auto"/>
                <w:sz w:val="24"/>
                <w:highlight w:val="none"/>
                <w:lang w:val="en-US" w:eastAsia="zh-CN"/>
              </w:rPr>
              <w:t>重庆市九龙坡区华岩镇华福大道北段16号</w:t>
            </w:r>
            <w:r>
              <w:rPr>
                <w:rFonts w:hint="default" w:ascii="Times New Roman" w:hAnsi="Times New Roman" w:cs="Times New Roman"/>
                <w:b w:val="0"/>
                <w:color w:val="auto"/>
                <w:sz w:val="24"/>
                <w:highlight w:val="none"/>
                <w:lang w:val="en-US" w:eastAsia="zh-CN"/>
              </w:rPr>
              <w:t>，</w:t>
            </w:r>
            <w:r>
              <w:rPr>
                <w:rFonts w:hint="default" w:ascii="Times New Roman" w:hAnsi="Times New Roman" w:cs="Times New Roman"/>
                <w:b w:val="0"/>
                <w:color w:val="auto"/>
                <w:sz w:val="24"/>
                <w:highlight w:val="none"/>
              </w:rPr>
              <w:t>根据《重庆市生态环境局关于印发＜重庆市“三线一单”生态环境分区管控调整方案（2023年）＞的通知》</w:t>
            </w:r>
            <w:r>
              <w:rPr>
                <w:rFonts w:hint="eastAsia" w:cs="Times New Roman"/>
                <w:b w:val="0"/>
                <w:color w:val="auto"/>
                <w:sz w:val="24"/>
                <w:highlight w:val="none"/>
                <w:lang w:eastAsia="zh-CN"/>
              </w:rPr>
              <w:t>（渝环规〔2024〕2号）</w:t>
            </w:r>
            <w:r>
              <w:rPr>
                <w:rFonts w:hint="default" w:ascii="Times New Roman" w:hAnsi="Times New Roman" w:cs="Times New Roman"/>
                <w:b w:val="0"/>
                <w:color w:val="auto"/>
                <w:sz w:val="24"/>
                <w:highlight w:val="none"/>
              </w:rPr>
              <w:t>，结合</w:t>
            </w:r>
            <w:r>
              <w:rPr>
                <w:rFonts w:hint="eastAsia" w:cs="Times New Roman"/>
                <w:b w:val="0"/>
                <w:color w:val="auto"/>
                <w:sz w:val="24"/>
                <w:highlight w:val="none"/>
                <w:lang w:eastAsia="zh-CN"/>
              </w:rPr>
              <w:t>《</w:t>
            </w:r>
            <w:r>
              <w:rPr>
                <w:rFonts w:ascii="宋体" w:hAnsi="宋体" w:eastAsia="宋体" w:cs="宋体"/>
                <w:color w:val="auto"/>
                <w:sz w:val="24"/>
                <w:szCs w:val="24"/>
              </w:rPr>
              <w:t>重庆市九龙坡区人民政府办公室关于印发《重庆市九龙坡区“三线一单”生态 环境分区管控调整方案（2023年）》的通知</w:t>
            </w:r>
            <w:r>
              <w:rPr>
                <w:rFonts w:hint="eastAsia" w:cs="Times New Roman"/>
                <w:b w:val="0"/>
                <w:color w:val="auto"/>
                <w:sz w:val="24"/>
                <w:highlight w:val="none"/>
                <w:lang w:eastAsia="zh-CN"/>
              </w:rPr>
              <w:t>》（九龙坡府办发〔2024〕51号 ）</w:t>
            </w:r>
            <w:r>
              <w:rPr>
                <w:rFonts w:hint="default" w:ascii="Times New Roman" w:hAnsi="Times New Roman" w:cs="Times New Roman"/>
                <w:b w:val="0"/>
                <w:color w:val="auto"/>
                <w:sz w:val="24"/>
                <w:highlight w:val="none"/>
              </w:rPr>
              <w:t>以及重庆市“三线一单”智检服务检测分析报告可知，本项目位于</w:t>
            </w:r>
            <w:r>
              <w:rPr>
                <w:rFonts w:hint="eastAsia" w:ascii="Times New Roman" w:hAnsi="Times New Roman" w:cs="Times New Roman"/>
                <w:b w:val="0"/>
                <w:color w:val="auto"/>
                <w:sz w:val="24"/>
                <w:highlight w:val="none"/>
                <w:lang w:val="en-US" w:eastAsia="zh-CN"/>
              </w:rPr>
              <w:t>重庆市九龙坡区华岩镇</w:t>
            </w:r>
            <w:r>
              <w:rPr>
                <w:rFonts w:hint="default" w:ascii="Times New Roman" w:hAnsi="Times New Roman" w:cs="Times New Roman"/>
                <w:b w:val="0"/>
                <w:color w:val="auto"/>
                <w:sz w:val="24"/>
                <w:highlight w:val="none"/>
              </w:rPr>
              <w:t>，属于</w:t>
            </w:r>
            <w:r>
              <w:rPr>
                <w:rFonts w:hint="eastAsia" w:ascii="Times New Roman" w:hAnsi="Times New Roman" w:cs="Times New Roman"/>
                <w:b w:val="0"/>
                <w:color w:val="auto"/>
                <w:sz w:val="24"/>
                <w:highlight w:val="none"/>
                <w:lang w:eastAsia="zh-CN"/>
              </w:rPr>
              <w:t>九龙坡区</w:t>
            </w:r>
            <w:r>
              <w:rPr>
                <w:rFonts w:hint="default" w:ascii="Times New Roman" w:hAnsi="Times New Roman" w:cs="Times New Roman"/>
                <w:b w:val="0"/>
                <w:color w:val="auto"/>
                <w:sz w:val="24"/>
                <w:highlight w:val="none"/>
                <w:lang w:eastAsia="zh-CN"/>
              </w:rPr>
              <w:t>工业城镇重点管控单元</w:t>
            </w:r>
            <w:r>
              <w:rPr>
                <w:rFonts w:hint="eastAsia" w:ascii="Times New Roman" w:hAnsi="Times New Roman" w:cs="Times New Roman"/>
                <w:b w:val="0"/>
                <w:color w:val="auto"/>
                <w:sz w:val="24"/>
                <w:highlight w:val="none"/>
                <w:lang w:val="en-US" w:eastAsia="zh-CN"/>
              </w:rPr>
              <w:t>-九龙东城片区</w:t>
            </w:r>
            <w:r>
              <w:rPr>
                <w:rFonts w:hint="default" w:ascii="Times New Roman" w:hAnsi="Times New Roman" w:cs="Times New Roman"/>
                <w:b w:val="0"/>
                <w:color w:val="auto"/>
                <w:sz w:val="24"/>
                <w:highlight w:val="none"/>
              </w:rPr>
              <w:t>（</w:t>
            </w:r>
            <w:r>
              <w:rPr>
                <w:rFonts w:hint="default" w:ascii="Times New Roman" w:hAnsi="Times New Roman" w:cs="Times New Roman"/>
                <w:b w:val="0"/>
                <w:color w:val="auto"/>
                <w:sz w:val="24"/>
                <w:highlight w:val="none"/>
                <w:lang w:eastAsia="zh-CN"/>
              </w:rPr>
              <w:t>ZH500</w:t>
            </w:r>
            <w:r>
              <w:rPr>
                <w:rFonts w:hint="eastAsia" w:ascii="Times New Roman" w:hAnsi="Times New Roman" w:cs="Times New Roman"/>
                <w:b w:val="0"/>
                <w:color w:val="auto"/>
                <w:sz w:val="24"/>
                <w:highlight w:val="none"/>
                <w:lang w:val="en-US" w:eastAsia="zh-CN"/>
              </w:rPr>
              <w:t>1072</w:t>
            </w:r>
            <w:r>
              <w:rPr>
                <w:rFonts w:hint="default" w:ascii="Times New Roman" w:hAnsi="Times New Roman" w:cs="Times New Roman"/>
                <w:b w:val="0"/>
                <w:color w:val="auto"/>
                <w:sz w:val="24"/>
                <w:highlight w:val="none"/>
                <w:lang w:eastAsia="zh-CN"/>
              </w:rPr>
              <w:t>0001</w:t>
            </w:r>
            <w:r>
              <w:rPr>
                <w:rFonts w:hint="default" w:ascii="Times New Roman" w:hAnsi="Times New Roman" w:cs="Times New Roman"/>
                <w:b w:val="0"/>
                <w:color w:val="auto"/>
                <w:sz w:val="24"/>
                <w:highlight w:val="none"/>
              </w:rPr>
              <w:t>）</w:t>
            </w:r>
            <w:r>
              <w:rPr>
                <w:rFonts w:hint="default" w:ascii="Times New Roman" w:hAnsi="Times New Roman" w:eastAsia="宋体" w:cs="Times New Roman"/>
                <w:b w:val="0"/>
                <w:bCs w:val="0"/>
                <w:color w:val="auto"/>
                <w:kern w:val="0"/>
                <w:sz w:val="24"/>
                <w:szCs w:val="24"/>
                <w:highlight w:val="none"/>
                <w:lang w:val="en-US" w:eastAsia="zh-CN"/>
              </w:rPr>
              <w:t>。</w:t>
            </w:r>
          </w:p>
        </w:tc>
      </w:tr>
    </w:tbl>
    <w:p w14:paraId="4B668797">
      <w:pPr>
        <w:spacing w:line="360" w:lineRule="auto"/>
        <w:outlineLvl w:val="0"/>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A815C9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0" w:firstLineChars="0"/>
        <w:jc w:val="center"/>
        <w:textAlignment w:val="auto"/>
        <w:rPr>
          <w:rFonts w:hint="default"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1"/>
          <w:szCs w:val="21"/>
          <w:lang w:val="en-US" w:eastAsia="zh-CN"/>
        </w:rPr>
        <w:t>表1</w:t>
      </w:r>
      <w:r>
        <w:rPr>
          <w:rFonts w:hint="eastAsia" w:cs="Times New Roman"/>
          <w:b w:val="0"/>
          <w:bCs w:val="0"/>
          <w:color w:val="auto"/>
          <w:kern w:val="0"/>
          <w:sz w:val="21"/>
          <w:szCs w:val="21"/>
          <w:lang w:val="en-US" w:eastAsia="zh-CN"/>
        </w:rPr>
        <w:t>.1</w:t>
      </w:r>
      <w:r>
        <w:rPr>
          <w:rFonts w:hint="eastAsia" w:ascii="Times New Roman" w:hAnsi="Times New Roman" w:eastAsia="宋体" w:cs="Times New Roman"/>
          <w:b w:val="0"/>
          <w:bCs w:val="0"/>
          <w:color w:val="auto"/>
          <w:kern w:val="0"/>
          <w:sz w:val="21"/>
          <w:szCs w:val="21"/>
          <w:lang w:val="en-US" w:eastAsia="zh-CN"/>
        </w:rPr>
        <w:t>-1 与“三线一单”管控要求的符合性分析</w:t>
      </w:r>
    </w:p>
    <w:tbl>
      <w:tblPr>
        <w:tblStyle w:val="22"/>
        <w:tblW w:w="1365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60"/>
        <w:gridCol w:w="974"/>
        <w:gridCol w:w="7210"/>
        <w:gridCol w:w="3504"/>
        <w:gridCol w:w="1004"/>
      </w:tblGrid>
      <w:tr w14:paraId="03B746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934" w:type="dxa"/>
            <w:gridSpan w:val="2"/>
            <w:tcBorders>
              <w:tl2br w:val="nil"/>
              <w:tr2bl w:val="nil"/>
            </w:tcBorders>
            <w:noWrap w:val="0"/>
            <w:vAlign w:val="center"/>
          </w:tcPr>
          <w:p w14:paraId="4137DE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环境管控单元编码</w:t>
            </w:r>
          </w:p>
        </w:tc>
        <w:tc>
          <w:tcPr>
            <w:tcW w:w="7210" w:type="dxa"/>
            <w:tcBorders>
              <w:tl2br w:val="nil"/>
              <w:tr2bl w:val="nil"/>
            </w:tcBorders>
            <w:noWrap w:val="0"/>
            <w:vAlign w:val="center"/>
          </w:tcPr>
          <w:p w14:paraId="761703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环境管控单元名称</w:t>
            </w:r>
          </w:p>
        </w:tc>
        <w:tc>
          <w:tcPr>
            <w:tcW w:w="4508" w:type="dxa"/>
            <w:gridSpan w:val="2"/>
            <w:tcBorders>
              <w:tl2br w:val="nil"/>
              <w:tr2bl w:val="nil"/>
            </w:tcBorders>
            <w:noWrap w:val="0"/>
            <w:vAlign w:val="center"/>
          </w:tcPr>
          <w:p w14:paraId="7EF688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环境管控单元类型</w:t>
            </w:r>
          </w:p>
        </w:tc>
      </w:tr>
      <w:tr w14:paraId="59E8DF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934" w:type="dxa"/>
            <w:gridSpan w:val="2"/>
            <w:tcBorders>
              <w:tl2br w:val="nil"/>
              <w:tr2bl w:val="nil"/>
            </w:tcBorders>
            <w:noWrap w:val="0"/>
            <w:vAlign w:val="center"/>
          </w:tcPr>
          <w:p w14:paraId="1FBA0B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lang w:val="en-US" w:eastAsia="zh-CN"/>
              </w:rPr>
              <w:t>ZH50010720001</w:t>
            </w:r>
          </w:p>
        </w:tc>
        <w:tc>
          <w:tcPr>
            <w:tcW w:w="7210" w:type="dxa"/>
            <w:tcBorders>
              <w:tl2br w:val="nil"/>
              <w:tr2bl w:val="nil"/>
            </w:tcBorders>
            <w:noWrap w:val="0"/>
            <w:vAlign w:val="center"/>
          </w:tcPr>
          <w:p w14:paraId="641FEA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九龙坡区工业城镇重点管控单元-九龙东城片区</w:t>
            </w:r>
          </w:p>
        </w:tc>
        <w:tc>
          <w:tcPr>
            <w:tcW w:w="4508" w:type="dxa"/>
            <w:gridSpan w:val="2"/>
            <w:tcBorders>
              <w:tl2br w:val="nil"/>
              <w:tr2bl w:val="nil"/>
            </w:tcBorders>
            <w:noWrap w:val="0"/>
            <w:vAlign w:val="center"/>
          </w:tcPr>
          <w:p w14:paraId="61EE90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重点管控单元</w:t>
            </w:r>
          </w:p>
        </w:tc>
      </w:tr>
      <w:tr w14:paraId="52F2D6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tcBorders>
              <w:tl2br w:val="nil"/>
              <w:tr2bl w:val="nil"/>
            </w:tcBorders>
            <w:noWrap w:val="0"/>
            <w:vAlign w:val="center"/>
          </w:tcPr>
          <w:p w14:paraId="62A215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管控要求层级</w:t>
            </w:r>
          </w:p>
        </w:tc>
        <w:tc>
          <w:tcPr>
            <w:tcW w:w="974" w:type="dxa"/>
            <w:tcBorders>
              <w:tl2br w:val="nil"/>
              <w:tr2bl w:val="nil"/>
            </w:tcBorders>
            <w:noWrap w:val="0"/>
            <w:vAlign w:val="center"/>
          </w:tcPr>
          <w:p w14:paraId="20E8FB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管控类型</w:t>
            </w:r>
          </w:p>
        </w:tc>
        <w:tc>
          <w:tcPr>
            <w:tcW w:w="7210" w:type="dxa"/>
            <w:tcBorders>
              <w:tl2br w:val="nil"/>
              <w:tr2bl w:val="nil"/>
            </w:tcBorders>
            <w:noWrap w:val="0"/>
            <w:vAlign w:val="center"/>
          </w:tcPr>
          <w:p w14:paraId="46650C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管控要求</w:t>
            </w:r>
          </w:p>
        </w:tc>
        <w:tc>
          <w:tcPr>
            <w:tcW w:w="3504" w:type="dxa"/>
            <w:tcBorders>
              <w:tl2br w:val="nil"/>
              <w:tr2bl w:val="nil"/>
            </w:tcBorders>
            <w:noWrap w:val="0"/>
            <w:vAlign w:val="center"/>
          </w:tcPr>
          <w:p w14:paraId="1844BD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建设项目情况</w:t>
            </w:r>
          </w:p>
        </w:tc>
        <w:tc>
          <w:tcPr>
            <w:tcW w:w="1004" w:type="dxa"/>
            <w:tcBorders>
              <w:tl2br w:val="nil"/>
              <w:tr2bl w:val="nil"/>
            </w:tcBorders>
            <w:noWrap w:val="0"/>
            <w:vAlign w:val="center"/>
          </w:tcPr>
          <w:p w14:paraId="42623C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符合性</w:t>
            </w:r>
          </w:p>
        </w:tc>
      </w:tr>
      <w:tr w14:paraId="4B7992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restart"/>
            <w:tcBorders>
              <w:tl2br w:val="nil"/>
              <w:tr2bl w:val="nil"/>
            </w:tcBorders>
            <w:noWrap w:val="0"/>
            <w:vAlign w:val="center"/>
          </w:tcPr>
          <w:p w14:paraId="76FDFF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全市总体管控要求</w:t>
            </w:r>
          </w:p>
        </w:tc>
        <w:tc>
          <w:tcPr>
            <w:tcW w:w="974" w:type="dxa"/>
            <w:vMerge w:val="restart"/>
            <w:tcBorders>
              <w:tl2br w:val="nil"/>
              <w:tr2bl w:val="nil"/>
            </w:tcBorders>
            <w:noWrap w:val="0"/>
            <w:vAlign w:val="center"/>
          </w:tcPr>
          <w:p w14:paraId="1ABB28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空间布局约束</w:t>
            </w:r>
          </w:p>
        </w:tc>
        <w:tc>
          <w:tcPr>
            <w:tcW w:w="7210" w:type="dxa"/>
            <w:tcBorders>
              <w:tl2br w:val="nil"/>
              <w:tr2bl w:val="nil"/>
            </w:tcBorders>
            <w:noWrap w:val="0"/>
            <w:vAlign w:val="center"/>
          </w:tcPr>
          <w:p w14:paraId="3FB4D6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rPr>
              <w:t>1、深入贯彻习近平生态文明思想，筑牢长江上游重要生态屏障，推动优势区域重点发展、生态功能区重点保护、城乡融合发展，优化重点区域、流域、产业的空间布局</w:t>
            </w:r>
            <w:r>
              <w:rPr>
                <w:rFonts w:hint="eastAsia" w:ascii="Times New Roman" w:hAnsi="Times New Roman" w:eastAsia="宋体"/>
                <w:color w:val="auto"/>
                <w:kern w:val="0"/>
                <w:sz w:val="21"/>
                <w:szCs w:val="21"/>
                <w:lang w:eastAsia="zh-CN"/>
              </w:rPr>
              <w:t>。</w:t>
            </w:r>
          </w:p>
        </w:tc>
        <w:tc>
          <w:tcPr>
            <w:tcW w:w="3504" w:type="dxa"/>
            <w:tcBorders>
              <w:tl2br w:val="nil"/>
              <w:tr2bl w:val="nil"/>
            </w:tcBorders>
            <w:noWrap w:val="0"/>
            <w:vAlign w:val="center"/>
          </w:tcPr>
          <w:p w14:paraId="0D5711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779EA0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1C6B69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9A376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4D4E51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656EE8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rPr>
              <w:t>2、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3504" w:type="dxa"/>
            <w:tcBorders>
              <w:tl2br w:val="nil"/>
              <w:tr2bl w:val="nil"/>
            </w:tcBorders>
            <w:noWrap w:val="0"/>
            <w:vAlign w:val="center"/>
          </w:tcPr>
          <w:p w14:paraId="18F8C2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项目属于</w:t>
            </w:r>
            <w:r>
              <w:rPr>
                <w:rFonts w:hint="eastAsia" w:ascii="Times New Roman" w:hAnsi="Times New Roman" w:eastAsia="宋体" w:cs="Times New Roman"/>
                <w:b w:val="0"/>
                <w:bCs w:val="0"/>
                <w:color w:val="auto"/>
                <w:kern w:val="0"/>
                <w:sz w:val="21"/>
                <w:szCs w:val="21"/>
                <w:highlight w:val="none"/>
                <w:vertAlign w:val="baseline"/>
                <w:lang w:val="en-US" w:eastAsia="zh-CN"/>
              </w:rPr>
              <w:t>动物</w:t>
            </w:r>
            <w:r>
              <w:rPr>
                <w:rFonts w:hint="default" w:ascii="Times New Roman" w:hAnsi="Times New Roman" w:eastAsia="宋体" w:cs="Times New Roman"/>
                <w:b w:val="0"/>
                <w:bCs w:val="0"/>
                <w:color w:val="auto"/>
                <w:kern w:val="0"/>
                <w:sz w:val="21"/>
                <w:szCs w:val="21"/>
                <w:highlight w:val="none"/>
                <w:vertAlign w:val="baseline"/>
                <w:lang w:val="en-US" w:eastAsia="zh-CN"/>
              </w:rPr>
              <w:t>医院</w:t>
            </w:r>
            <w:r>
              <w:rPr>
                <w:rFonts w:hint="eastAsia" w:ascii="Times New Roman" w:hAnsi="Times New Roman" w:eastAsia="宋体" w:cs="Times New Roman"/>
                <w:b w:val="0"/>
                <w:bCs w:val="0"/>
                <w:color w:val="auto"/>
                <w:kern w:val="0"/>
                <w:sz w:val="21"/>
                <w:szCs w:val="21"/>
                <w:highlight w:val="none"/>
                <w:vertAlign w:val="baseline"/>
                <w:lang w:val="en-US" w:eastAsia="zh-CN"/>
              </w:rPr>
              <w:t>扩建项目</w:t>
            </w:r>
            <w:r>
              <w:rPr>
                <w:rFonts w:hint="default" w:ascii="Times New Roman" w:hAnsi="Times New Roman" w:eastAsia="宋体" w:cs="Times New Roman"/>
                <w:b w:val="0"/>
                <w:bCs w:val="0"/>
                <w:color w:val="auto"/>
                <w:kern w:val="0"/>
                <w:sz w:val="21"/>
                <w:szCs w:val="21"/>
                <w:highlight w:val="none"/>
                <w:vertAlign w:val="baseline"/>
                <w:lang w:val="en-US" w:eastAsia="zh-CN"/>
              </w:rPr>
              <w:t>，位于</w:t>
            </w:r>
            <w:r>
              <w:rPr>
                <w:rFonts w:hint="eastAsia" w:cs="Times New Roman"/>
                <w:b w:val="0"/>
                <w:bCs w:val="0"/>
                <w:color w:val="auto"/>
                <w:kern w:val="0"/>
                <w:sz w:val="21"/>
                <w:szCs w:val="21"/>
                <w:highlight w:val="none"/>
                <w:vertAlign w:val="baseline"/>
                <w:lang w:val="en-US" w:eastAsia="zh-CN"/>
              </w:rPr>
              <w:t>重庆市九龙坡区华岩镇华福大道北段16号14幢附2-2号、2-3号、2-4号</w:t>
            </w:r>
            <w:r>
              <w:rPr>
                <w:rFonts w:hint="default" w:ascii="Times New Roman" w:hAnsi="Times New Roman" w:eastAsia="宋体" w:cs="Times New Roman"/>
                <w:b w:val="0"/>
                <w:bCs w:val="0"/>
                <w:color w:val="auto"/>
                <w:kern w:val="0"/>
                <w:sz w:val="21"/>
                <w:szCs w:val="21"/>
                <w:highlight w:val="none"/>
                <w:vertAlign w:val="baseline"/>
                <w:lang w:val="en-US" w:eastAsia="zh-CN"/>
              </w:rPr>
              <w:t>，不属于尾矿库、冶炼渣库、磷石膏库，不属于新建重化工、纸浆制造、印染等存在环境风险的项目</w:t>
            </w: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04" w:type="dxa"/>
            <w:tcBorders>
              <w:tl2br w:val="nil"/>
              <w:tr2bl w:val="nil"/>
            </w:tcBorders>
            <w:noWrap w:val="0"/>
            <w:vAlign w:val="center"/>
          </w:tcPr>
          <w:p w14:paraId="6EFB2A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2720C0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C8BBD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1C9715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13644D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rPr>
              <w:t>3、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504" w:type="dxa"/>
            <w:tcBorders>
              <w:tl2br w:val="nil"/>
              <w:tr2bl w:val="nil"/>
            </w:tcBorders>
            <w:noWrap w:val="0"/>
            <w:vAlign w:val="center"/>
          </w:tcPr>
          <w:p w14:paraId="3AD2A3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项目属于</w:t>
            </w:r>
            <w:r>
              <w:rPr>
                <w:rFonts w:hint="eastAsia" w:ascii="Times New Roman" w:hAnsi="Times New Roman" w:eastAsia="宋体" w:cs="Times New Roman"/>
                <w:b w:val="0"/>
                <w:bCs w:val="0"/>
                <w:color w:val="auto"/>
                <w:kern w:val="0"/>
                <w:sz w:val="21"/>
                <w:szCs w:val="21"/>
                <w:highlight w:val="none"/>
                <w:vertAlign w:val="baseline"/>
                <w:lang w:val="en-US" w:eastAsia="zh-CN"/>
              </w:rPr>
              <w:t>动物医院扩建项目</w:t>
            </w:r>
            <w:r>
              <w:rPr>
                <w:rFonts w:hint="default" w:ascii="Times New Roman" w:hAnsi="Times New Roman" w:eastAsia="宋体" w:cs="Times New Roman"/>
                <w:b w:val="0"/>
                <w:bCs w:val="0"/>
                <w:color w:val="auto"/>
                <w:kern w:val="0"/>
                <w:sz w:val="21"/>
                <w:szCs w:val="21"/>
                <w:highlight w:val="none"/>
                <w:vertAlign w:val="baseline"/>
                <w:lang w:val="en-US" w:eastAsia="zh-CN"/>
              </w:rPr>
              <w:t>，不属于新建、扩建钢铁、石化、化工、焦化、建材、有色、制浆造纸等高污染项目</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不属于石化、煤化工等</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不属于</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两高</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项目。</w:t>
            </w:r>
          </w:p>
        </w:tc>
        <w:tc>
          <w:tcPr>
            <w:tcW w:w="1004" w:type="dxa"/>
            <w:tcBorders>
              <w:tl2br w:val="nil"/>
              <w:tr2bl w:val="nil"/>
            </w:tcBorders>
            <w:noWrap w:val="0"/>
            <w:vAlign w:val="center"/>
          </w:tcPr>
          <w:p w14:paraId="58D418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4674BB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36A24C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456D80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643CBD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rPr>
              <w:t>4、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3504" w:type="dxa"/>
            <w:tcBorders>
              <w:tl2br w:val="nil"/>
              <w:tr2bl w:val="nil"/>
            </w:tcBorders>
            <w:noWrap w:val="0"/>
            <w:vAlign w:val="center"/>
          </w:tcPr>
          <w:p w14:paraId="20030B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项目属于</w:t>
            </w:r>
            <w:r>
              <w:rPr>
                <w:rFonts w:hint="eastAsia" w:ascii="Times New Roman" w:hAnsi="Times New Roman" w:eastAsia="宋体" w:cs="Times New Roman"/>
                <w:b w:val="0"/>
                <w:bCs w:val="0"/>
                <w:color w:val="auto"/>
                <w:kern w:val="0"/>
                <w:sz w:val="21"/>
                <w:szCs w:val="21"/>
                <w:vertAlign w:val="baseline"/>
                <w:lang w:val="en-US" w:eastAsia="zh-CN"/>
              </w:rPr>
              <w:t>动物医院扩建项目</w:t>
            </w:r>
            <w:r>
              <w:rPr>
                <w:rFonts w:hint="default" w:ascii="Times New Roman" w:hAnsi="Times New Roman" w:eastAsia="宋体" w:cs="Times New Roman"/>
                <w:b w:val="0"/>
                <w:bCs w:val="0"/>
                <w:color w:val="auto"/>
                <w:kern w:val="0"/>
                <w:sz w:val="21"/>
                <w:szCs w:val="21"/>
                <w:vertAlign w:val="baseline"/>
                <w:lang w:val="en-US" w:eastAsia="zh-CN"/>
              </w:rPr>
              <w:t>，不属于高耗能、高排放、低水平项目。</w:t>
            </w:r>
          </w:p>
        </w:tc>
        <w:tc>
          <w:tcPr>
            <w:tcW w:w="1004" w:type="dxa"/>
            <w:tcBorders>
              <w:tl2br w:val="nil"/>
              <w:tr2bl w:val="nil"/>
            </w:tcBorders>
            <w:noWrap w:val="0"/>
            <w:vAlign w:val="center"/>
          </w:tcPr>
          <w:p w14:paraId="2755D4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21F6FE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4BA718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79EE1F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5EF4D9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rPr>
              <w:t>5、新建、扩建有色金属冶炼、电镀、铅蓄电池等企业应布设在依法合规设立并经过规划环评的产业园区。</w:t>
            </w:r>
          </w:p>
        </w:tc>
        <w:tc>
          <w:tcPr>
            <w:tcW w:w="3504" w:type="dxa"/>
            <w:tcBorders>
              <w:tl2br w:val="nil"/>
              <w:tr2bl w:val="nil"/>
            </w:tcBorders>
            <w:noWrap w:val="0"/>
            <w:vAlign w:val="center"/>
          </w:tcPr>
          <w:p w14:paraId="75E9F4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项目不属于新建、扩建有色金属冶炼、电镀、铅蓄电池等企业。</w:t>
            </w:r>
          </w:p>
        </w:tc>
        <w:tc>
          <w:tcPr>
            <w:tcW w:w="1004" w:type="dxa"/>
            <w:tcBorders>
              <w:tl2br w:val="nil"/>
              <w:tr2bl w:val="nil"/>
            </w:tcBorders>
            <w:noWrap w:val="0"/>
            <w:vAlign w:val="center"/>
          </w:tcPr>
          <w:p w14:paraId="0D2C48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590C87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F3261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723EC9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759D2E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kern w:val="0"/>
                <w:sz w:val="21"/>
                <w:szCs w:val="21"/>
              </w:rPr>
            </w:pPr>
            <w:r>
              <w:rPr>
                <w:rFonts w:hint="eastAsia" w:ascii="Times New Roman" w:hAnsi="Times New Roman" w:eastAsia="宋体"/>
                <w:color w:val="auto"/>
                <w:kern w:val="0"/>
                <w:sz w:val="21"/>
                <w:szCs w:val="21"/>
              </w:rPr>
              <w:t>6、涉及环境防护距离的工业企业或项目应通过选址或调整布局原则上将环境防护距离控制在园区边界或用地红线内，提前合理规划项目地块布置、预防环境风险。</w:t>
            </w:r>
          </w:p>
        </w:tc>
        <w:tc>
          <w:tcPr>
            <w:tcW w:w="3504" w:type="dxa"/>
            <w:tcBorders>
              <w:tl2br w:val="nil"/>
              <w:tr2bl w:val="nil"/>
            </w:tcBorders>
            <w:noWrap w:val="0"/>
            <w:vAlign w:val="center"/>
          </w:tcPr>
          <w:p w14:paraId="481E81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r>
              <w:rPr>
                <w:rFonts w:hint="eastAsia" w:ascii="Times New Roman" w:hAnsi="Times New Roman" w:eastAsia="宋体"/>
                <w:color w:val="auto"/>
                <w:kern w:val="0"/>
                <w:sz w:val="21"/>
                <w:szCs w:val="21"/>
              </w:rPr>
              <w:t>环境防护距离</w:t>
            </w:r>
            <w:r>
              <w:rPr>
                <w:rFonts w:hint="eastAsia" w:ascii="Times New Roman" w:hAnsi="Times New Roman" w:eastAsia="宋体"/>
                <w:color w:val="auto"/>
                <w:kern w:val="0"/>
                <w:sz w:val="21"/>
                <w:szCs w:val="21"/>
                <w:lang w:eastAsia="zh-CN"/>
              </w:rPr>
              <w:t>。</w:t>
            </w:r>
          </w:p>
        </w:tc>
        <w:tc>
          <w:tcPr>
            <w:tcW w:w="1004" w:type="dxa"/>
            <w:tcBorders>
              <w:tl2br w:val="nil"/>
              <w:tr2bl w:val="nil"/>
            </w:tcBorders>
            <w:noWrap w:val="0"/>
            <w:vAlign w:val="center"/>
          </w:tcPr>
          <w:p w14:paraId="068AFD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6579DC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528353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283205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26DBE1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rPr>
              <w:t>7、有效规范空间开发秩序，合理控制空间开发强度，切实将各类开发活动限制在资源环境承载能力之内，为构建高效协调可持续的国土空间开发格局奠定坚实基础。</w:t>
            </w:r>
          </w:p>
        </w:tc>
        <w:tc>
          <w:tcPr>
            <w:tcW w:w="3504" w:type="dxa"/>
            <w:tcBorders>
              <w:tl2br w:val="nil"/>
              <w:tr2bl w:val="nil"/>
            </w:tcBorders>
            <w:noWrap w:val="0"/>
            <w:vAlign w:val="center"/>
          </w:tcPr>
          <w:p w14:paraId="7709FB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534CA9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2A29D1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386DF6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restart"/>
            <w:tcBorders>
              <w:tl2br w:val="nil"/>
              <w:tr2bl w:val="nil"/>
            </w:tcBorders>
            <w:noWrap w:val="0"/>
            <w:vAlign w:val="center"/>
          </w:tcPr>
          <w:p w14:paraId="0CACAE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污染物排放管控</w:t>
            </w:r>
          </w:p>
        </w:tc>
        <w:tc>
          <w:tcPr>
            <w:tcW w:w="7210" w:type="dxa"/>
            <w:tcBorders>
              <w:tl2br w:val="nil"/>
              <w:tr2bl w:val="nil"/>
            </w:tcBorders>
            <w:noWrap w:val="0"/>
            <w:vAlign w:val="center"/>
          </w:tcPr>
          <w:p w14:paraId="009BD8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lang w:val="en-US" w:eastAsia="zh-CN"/>
              </w:rPr>
              <w:t>8</w:t>
            </w:r>
            <w:r>
              <w:rPr>
                <w:rFonts w:hint="eastAsia" w:ascii="Times New Roman" w:hAnsi="Times New Roman" w:eastAsia="宋体"/>
                <w:color w:val="auto"/>
                <w:kern w:val="0"/>
                <w:sz w:val="21"/>
                <w:szCs w:val="21"/>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w:t>
            </w:r>
            <w:r>
              <w:rPr>
                <w:rFonts w:hint="eastAsia" w:ascii="Times New Roman" w:hAnsi="Times New Roman" w:eastAsia="宋体"/>
                <w:color w:val="auto"/>
                <w:kern w:val="0"/>
                <w:sz w:val="21"/>
                <w:szCs w:val="21"/>
                <w:lang w:eastAsia="zh-CN"/>
              </w:rPr>
              <w:t>新建项目</w:t>
            </w:r>
            <w:r>
              <w:rPr>
                <w:rFonts w:hint="eastAsia" w:ascii="Times New Roman" w:hAnsi="Times New Roman" w:eastAsia="宋体"/>
                <w:color w:val="auto"/>
                <w:kern w:val="0"/>
                <w:sz w:val="21"/>
                <w:szCs w:val="21"/>
              </w:rPr>
              <w:t>实行产能等量或减量置换。国家或地方已出台超低排放要求的“两高”行业建设项目应满足超低排放要求。加强水泥和平板玻璃行业差别化管理，新改</w:t>
            </w:r>
            <w:r>
              <w:rPr>
                <w:rFonts w:hint="eastAsia" w:ascii="Times New Roman" w:hAnsi="Times New Roman" w:eastAsia="宋体"/>
                <w:color w:val="auto"/>
                <w:kern w:val="0"/>
                <w:sz w:val="21"/>
                <w:szCs w:val="21"/>
                <w:lang w:val="en-US" w:eastAsia="zh-CN"/>
              </w:rPr>
              <w:t>扩建</w:t>
            </w:r>
            <w:r>
              <w:rPr>
                <w:rFonts w:hint="eastAsia" w:ascii="Times New Roman" w:hAnsi="Times New Roman" w:eastAsia="宋体"/>
                <w:color w:val="auto"/>
                <w:kern w:val="0"/>
                <w:sz w:val="21"/>
                <w:szCs w:val="21"/>
                <w:lang w:eastAsia="zh-CN"/>
              </w:rPr>
              <w:t>项目</w:t>
            </w:r>
            <w:r>
              <w:rPr>
                <w:rFonts w:hint="eastAsia" w:ascii="Times New Roman" w:hAnsi="Times New Roman" w:eastAsia="宋体"/>
                <w:color w:val="auto"/>
                <w:kern w:val="0"/>
                <w:sz w:val="21"/>
                <w:szCs w:val="21"/>
              </w:rPr>
              <w:t>严格落实相关产业政策要求，满足能效标杆水平、环保绩效A级指标要求。</w:t>
            </w:r>
          </w:p>
        </w:tc>
        <w:tc>
          <w:tcPr>
            <w:tcW w:w="3504" w:type="dxa"/>
            <w:tcBorders>
              <w:tl2br w:val="nil"/>
              <w:tr2bl w:val="nil"/>
            </w:tcBorders>
            <w:noWrap w:val="0"/>
            <w:vAlign w:val="center"/>
          </w:tcPr>
          <w:p w14:paraId="6E98BC87">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46FC92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2F23A7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6F3F2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767887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654BE0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lang w:val="en-US" w:eastAsia="zh-CN"/>
              </w:rPr>
              <w:t>9</w:t>
            </w:r>
            <w:r>
              <w:rPr>
                <w:rFonts w:hint="eastAsia" w:ascii="Times New Roman" w:hAnsi="Times New Roman" w:eastAsia="宋体"/>
                <w:color w:val="auto"/>
                <w:kern w:val="0"/>
                <w:sz w:val="21"/>
                <w:szCs w:val="21"/>
              </w:rPr>
              <w:t>、严格落实国家及我市大气污染防控相关要求，对大气环境质量未达标地区，新建、改</w:t>
            </w:r>
            <w:r>
              <w:rPr>
                <w:rFonts w:hint="eastAsia" w:ascii="Times New Roman" w:hAnsi="Times New Roman" w:eastAsia="宋体"/>
                <w:color w:val="auto"/>
                <w:kern w:val="0"/>
                <w:sz w:val="21"/>
                <w:szCs w:val="21"/>
                <w:lang w:val="en-US" w:eastAsia="zh-CN"/>
              </w:rPr>
              <w:t>扩</w:t>
            </w:r>
            <w:r>
              <w:rPr>
                <w:rFonts w:hint="eastAsia" w:ascii="Times New Roman" w:hAnsi="Times New Roman" w:eastAsia="宋体"/>
                <w:color w:val="auto"/>
                <w:kern w:val="0"/>
                <w:sz w:val="21"/>
                <w:szCs w:val="21"/>
                <w:lang w:eastAsia="zh-CN"/>
              </w:rPr>
              <w:t>建项目</w:t>
            </w:r>
            <w:r>
              <w:rPr>
                <w:rFonts w:hint="eastAsia" w:ascii="Times New Roman" w:hAnsi="Times New Roman" w:eastAsia="宋体"/>
                <w:color w:val="auto"/>
                <w:kern w:val="0"/>
                <w:sz w:val="21"/>
                <w:szCs w:val="21"/>
              </w:rPr>
              <w:t>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3504" w:type="dxa"/>
            <w:tcBorders>
              <w:tl2br w:val="nil"/>
              <w:tr2bl w:val="nil"/>
            </w:tcBorders>
            <w:noWrap w:val="0"/>
            <w:vAlign w:val="center"/>
          </w:tcPr>
          <w:p w14:paraId="5C5B4B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项目位于</w:t>
            </w:r>
            <w:r>
              <w:rPr>
                <w:rFonts w:hint="eastAsia" w:ascii="Times New Roman" w:hAnsi="Times New Roman" w:eastAsia="宋体"/>
                <w:color w:val="auto"/>
                <w:kern w:val="0"/>
                <w:sz w:val="21"/>
                <w:szCs w:val="21"/>
              </w:rPr>
              <w:t>大气环境质量</w:t>
            </w:r>
            <w:r>
              <w:rPr>
                <w:rFonts w:hint="eastAsia" w:ascii="Times New Roman" w:hAnsi="Times New Roman" w:eastAsia="宋体" w:cs="Times New Roman"/>
                <w:b w:val="0"/>
                <w:bCs w:val="0"/>
                <w:color w:val="auto"/>
                <w:kern w:val="0"/>
                <w:sz w:val="21"/>
                <w:szCs w:val="21"/>
                <w:highlight w:val="none"/>
                <w:vertAlign w:val="baseline"/>
                <w:lang w:val="en-US" w:eastAsia="zh-CN"/>
              </w:rPr>
              <w:t>达标区。</w:t>
            </w:r>
          </w:p>
        </w:tc>
        <w:tc>
          <w:tcPr>
            <w:tcW w:w="1004" w:type="dxa"/>
            <w:tcBorders>
              <w:tl2br w:val="nil"/>
              <w:tr2bl w:val="nil"/>
            </w:tcBorders>
            <w:noWrap w:val="0"/>
            <w:vAlign w:val="center"/>
          </w:tcPr>
          <w:p w14:paraId="4D4707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3F9C86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172E84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70F464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55DE12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10</w:t>
            </w:r>
            <w:r>
              <w:rPr>
                <w:rFonts w:hint="eastAsia" w:ascii="Times New Roman" w:hAnsi="Times New Roman" w:eastAsia="宋体"/>
                <w:color w:val="auto"/>
                <w:kern w:val="0"/>
                <w:sz w:val="21"/>
                <w:szCs w:val="21"/>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3504" w:type="dxa"/>
            <w:tcBorders>
              <w:tl2br w:val="nil"/>
              <w:tr2bl w:val="nil"/>
            </w:tcBorders>
            <w:noWrap w:val="0"/>
            <w:vAlign w:val="center"/>
          </w:tcPr>
          <w:p w14:paraId="3485BE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项目不属于重点行业、不涉及喷漆、喷粉、印刷。</w:t>
            </w:r>
          </w:p>
        </w:tc>
        <w:tc>
          <w:tcPr>
            <w:tcW w:w="1004" w:type="dxa"/>
            <w:tcBorders>
              <w:tl2br w:val="nil"/>
              <w:tr2bl w:val="nil"/>
            </w:tcBorders>
            <w:noWrap w:val="0"/>
            <w:vAlign w:val="center"/>
          </w:tcPr>
          <w:p w14:paraId="77E444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01E838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0DE169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01F904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55F41B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lang w:val="en-US" w:eastAsia="zh-CN"/>
              </w:rPr>
              <w:t>11</w:t>
            </w:r>
            <w:r>
              <w:rPr>
                <w:rFonts w:hint="eastAsia" w:ascii="Times New Roman" w:hAnsi="Times New Roman" w:eastAsia="宋体"/>
                <w:color w:val="auto"/>
                <w:kern w:val="0"/>
                <w:sz w:val="21"/>
                <w:szCs w:val="21"/>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3504" w:type="dxa"/>
            <w:tcBorders>
              <w:tl2br w:val="nil"/>
              <w:tr2bl w:val="nil"/>
            </w:tcBorders>
            <w:noWrap w:val="0"/>
            <w:vAlign w:val="center"/>
          </w:tcPr>
          <w:p w14:paraId="498443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项目所在</w:t>
            </w:r>
            <w:r>
              <w:rPr>
                <w:rFonts w:hint="eastAsia" w:cs="Times New Roman"/>
                <w:b w:val="0"/>
                <w:bCs w:val="0"/>
                <w:color w:val="auto"/>
                <w:kern w:val="0"/>
                <w:sz w:val="21"/>
                <w:szCs w:val="21"/>
                <w:highlight w:val="none"/>
                <w:vertAlign w:val="baseline"/>
                <w:lang w:val="en-US" w:eastAsia="zh-CN"/>
              </w:rPr>
              <w:t>地</w:t>
            </w:r>
            <w:r>
              <w:rPr>
                <w:rFonts w:hint="eastAsia" w:ascii="Times New Roman" w:hAnsi="Times New Roman" w:eastAsia="宋体" w:cs="Times New Roman"/>
                <w:b w:val="0"/>
                <w:bCs w:val="0"/>
                <w:color w:val="auto"/>
                <w:kern w:val="0"/>
                <w:sz w:val="21"/>
                <w:szCs w:val="21"/>
                <w:highlight w:val="none"/>
                <w:vertAlign w:val="baseline"/>
                <w:lang w:val="en-US" w:eastAsia="zh-CN"/>
              </w:rPr>
              <w:t>不属于工业聚集区，项目医疗废水经相应的消毒设施处理后（出水参照执行《医疗机构水污染物排放标准》（GB 18466-2005）预处理标准）与生活污水、其他废水一起排入</w:t>
            </w:r>
            <w:r>
              <w:rPr>
                <w:rFonts w:hint="eastAsia" w:cs="Times New Roman"/>
                <w:color w:val="auto"/>
                <w:sz w:val="21"/>
                <w:szCs w:val="21"/>
                <w:highlight w:val="none"/>
                <w:lang w:val="en-US" w:eastAsia="zh-CN"/>
              </w:rPr>
              <w:t>金科阳光小镇</w:t>
            </w:r>
            <w:r>
              <w:rPr>
                <w:rFonts w:hint="eastAsia" w:ascii="Times New Roman" w:hAnsi="Times New Roman" w:eastAsia="宋体" w:cs="Times New Roman"/>
                <w:color w:val="auto"/>
                <w:sz w:val="21"/>
                <w:szCs w:val="21"/>
                <w:highlight w:val="none"/>
                <w:lang w:val="en-US" w:eastAsia="zh-CN"/>
              </w:rPr>
              <w:t>6期</w:t>
            </w:r>
            <w:r>
              <w:rPr>
                <w:rFonts w:hint="eastAsia" w:ascii="Times New Roman" w:hAnsi="Times New Roman" w:eastAsia="宋体" w:cs="Times New Roman"/>
                <w:b w:val="0"/>
                <w:bCs w:val="0"/>
                <w:color w:val="auto"/>
                <w:kern w:val="0"/>
                <w:sz w:val="21"/>
                <w:szCs w:val="21"/>
                <w:highlight w:val="none"/>
                <w:vertAlign w:val="baseline"/>
                <w:lang w:val="en-US" w:eastAsia="zh-CN"/>
              </w:rPr>
              <w:t>生化池进行进一步处理。</w:t>
            </w:r>
          </w:p>
        </w:tc>
        <w:tc>
          <w:tcPr>
            <w:tcW w:w="1004" w:type="dxa"/>
            <w:tcBorders>
              <w:tl2br w:val="nil"/>
              <w:tr2bl w:val="nil"/>
            </w:tcBorders>
            <w:noWrap w:val="0"/>
            <w:vAlign w:val="center"/>
          </w:tcPr>
          <w:p w14:paraId="3B2EBB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0A2358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1EC5EC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722E4D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30A9EE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kern w:val="0"/>
                <w:sz w:val="21"/>
                <w:szCs w:val="21"/>
                <w:lang w:val="en-US" w:eastAsia="zh-CN"/>
              </w:rPr>
              <w:t>12</w:t>
            </w:r>
            <w:r>
              <w:rPr>
                <w:rFonts w:hint="eastAsia" w:ascii="Times New Roman" w:hAnsi="Times New Roman" w:eastAsia="宋体"/>
                <w:color w:val="auto"/>
                <w:kern w:val="0"/>
                <w:sz w:val="21"/>
                <w:szCs w:val="21"/>
              </w:rPr>
              <w:t>、推进乡镇生活</w:t>
            </w:r>
            <w:r>
              <w:rPr>
                <w:rFonts w:hint="eastAsia" w:ascii="Times New Roman" w:hAnsi="Times New Roman" w:eastAsia="宋体"/>
                <w:color w:val="auto"/>
                <w:kern w:val="0"/>
                <w:sz w:val="21"/>
                <w:szCs w:val="21"/>
                <w:lang w:val="en-US" w:eastAsia="zh-CN"/>
              </w:rPr>
              <w:t>污水处理设施</w:t>
            </w:r>
            <w:r>
              <w:rPr>
                <w:rFonts w:hint="eastAsia" w:ascii="Times New Roman" w:hAnsi="Times New Roman" w:eastAsia="宋体"/>
                <w:color w:val="auto"/>
                <w:kern w:val="0"/>
                <w:sz w:val="21"/>
                <w:szCs w:val="21"/>
              </w:rPr>
              <w:t>达标改造。新建城市生活污水处理厂全部按照一级A标及以上排放标准设计、施工、验收，建制乡镇生活</w:t>
            </w:r>
            <w:r>
              <w:rPr>
                <w:rFonts w:hint="eastAsia" w:ascii="Times New Roman" w:hAnsi="Times New Roman" w:eastAsia="宋体"/>
                <w:color w:val="auto"/>
                <w:kern w:val="0"/>
                <w:sz w:val="21"/>
                <w:szCs w:val="21"/>
                <w:lang w:val="en-US" w:eastAsia="zh-CN"/>
              </w:rPr>
              <w:t>污水处理设施</w:t>
            </w:r>
            <w:r>
              <w:rPr>
                <w:rFonts w:hint="eastAsia" w:ascii="Times New Roman" w:hAnsi="Times New Roman" w:eastAsia="宋体"/>
                <w:color w:val="auto"/>
                <w:kern w:val="0"/>
                <w:sz w:val="21"/>
                <w:szCs w:val="21"/>
              </w:rPr>
              <w:t>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3504" w:type="dxa"/>
            <w:tcBorders>
              <w:tl2br w:val="nil"/>
              <w:tr2bl w:val="nil"/>
            </w:tcBorders>
            <w:noWrap w:val="0"/>
            <w:vAlign w:val="center"/>
          </w:tcPr>
          <w:p w14:paraId="42569E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40CB63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39D1ED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202FB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60A931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5B491B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13</w:t>
            </w:r>
            <w:r>
              <w:rPr>
                <w:rFonts w:hint="eastAsia" w:ascii="Times New Roman" w:hAnsi="Times New Roman" w:eastAsia="宋体"/>
                <w:color w:val="auto"/>
                <w:kern w:val="0"/>
                <w:sz w:val="21"/>
                <w:szCs w:val="21"/>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3504" w:type="dxa"/>
            <w:tcBorders>
              <w:tl2br w:val="nil"/>
              <w:tr2bl w:val="nil"/>
            </w:tcBorders>
            <w:noWrap w:val="0"/>
            <w:vAlign w:val="center"/>
          </w:tcPr>
          <w:p w14:paraId="1834F6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1CE673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6507B1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571424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49220E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2A5045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14</w:t>
            </w:r>
            <w:r>
              <w:rPr>
                <w:rFonts w:hint="eastAsia" w:ascii="Times New Roman" w:hAnsi="Times New Roman" w:eastAsia="宋体"/>
                <w:color w:val="auto"/>
                <w:kern w:val="0"/>
                <w:sz w:val="21"/>
                <w:szCs w:val="21"/>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3504" w:type="dxa"/>
            <w:tcBorders>
              <w:tl2br w:val="nil"/>
              <w:tr2bl w:val="nil"/>
            </w:tcBorders>
            <w:noWrap w:val="0"/>
            <w:vAlign w:val="center"/>
          </w:tcPr>
          <w:p w14:paraId="03DFC6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项目为动物医院扩建项目，设置医疗废物贮存点并建立废物污染环境防治责任制度及管理台账</w:t>
            </w:r>
            <w:r>
              <w:rPr>
                <w:rFonts w:hint="eastAsia" w:ascii="Times New Roman" w:hAnsi="Times New Roman" w:eastAsia="宋体" w:cs="Times New Roman"/>
                <w:b w:val="0"/>
                <w:bCs w:val="0"/>
                <w:color w:val="auto"/>
                <w:kern w:val="0"/>
                <w:sz w:val="21"/>
                <w:szCs w:val="21"/>
                <w:vertAlign w:val="baseline"/>
                <w:lang w:val="en-US" w:eastAsia="zh-CN"/>
              </w:rPr>
              <w:t>。</w:t>
            </w:r>
          </w:p>
        </w:tc>
        <w:tc>
          <w:tcPr>
            <w:tcW w:w="1004" w:type="dxa"/>
            <w:tcBorders>
              <w:tl2br w:val="nil"/>
              <w:tr2bl w:val="nil"/>
            </w:tcBorders>
            <w:noWrap w:val="0"/>
            <w:vAlign w:val="center"/>
          </w:tcPr>
          <w:p w14:paraId="1393CA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56E4B2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1C341A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258650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511FCA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15</w:t>
            </w:r>
            <w:r>
              <w:rPr>
                <w:rFonts w:hint="eastAsia" w:ascii="Times New Roman" w:hAnsi="Times New Roman" w:eastAsia="宋体"/>
                <w:color w:val="auto"/>
                <w:kern w:val="0"/>
                <w:sz w:val="21"/>
                <w:szCs w:val="21"/>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3504" w:type="dxa"/>
            <w:tcBorders>
              <w:tl2br w:val="nil"/>
              <w:tr2bl w:val="nil"/>
            </w:tcBorders>
            <w:noWrap w:val="0"/>
            <w:vAlign w:val="center"/>
          </w:tcPr>
          <w:p w14:paraId="3FDC2E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5F2EE6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7C2B58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AA5B6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restart"/>
            <w:tcBorders>
              <w:tl2br w:val="nil"/>
              <w:tr2bl w:val="nil"/>
            </w:tcBorders>
            <w:noWrap w:val="0"/>
            <w:vAlign w:val="center"/>
          </w:tcPr>
          <w:p w14:paraId="1ECA82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环境风险管控</w:t>
            </w:r>
          </w:p>
        </w:tc>
        <w:tc>
          <w:tcPr>
            <w:tcW w:w="7210" w:type="dxa"/>
            <w:tcBorders>
              <w:tl2br w:val="nil"/>
              <w:tr2bl w:val="nil"/>
            </w:tcBorders>
            <w:noWrap w:val="0"/>
            <w:vAlign w:val="center"/>
          </w:tcPr>
          <w:p w14:paraId="1E8E243A">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16、深入开展行政区域、重点流域、重点饮用水源、化工园区等突发环境事件风险评估，建立区域突发环境事件风险评估数据 信息获取与动态更新机制。落实企业突发环境事件风险评估制度，推进突发环境事件风险分类分级管理，严格监管重大突发环境事件风险企业。</w:t>
            </w:r>
          </w:p>
        </w:tc>
        <w:tc>
          <w:tcPr>
            <w:tcW w:w="3504" w:type="dxa"/>
            <w:tcBorders>
              <w:tl2br w:val="nil"/>
              <w:tr2bl w:val="nil"/>
            </w:tcBorders>
            <w:noWrap w:val="0"/>
            <w:vAlign w:val="center"/>
          </w:tcPr>
          <w:p w14:paraId="75F9D8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656411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32108C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59BAAA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74ADF5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2A308ED5">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17、强化化工园区涉水突发环境事件四级环境风险防范体系建设。持续推进重点化工园区（化工集中区）建设有毒有害气体监测预警体系和水质生物毒性预警体系。</w:t>
            </w:r>
          </w:p>
        </w:tc>
        <w:tc>
          <w:tcPr>
            <w:tcW w:w="3504" w:type="dxa"/>
            <w:tcBorders>
              <w:tl2br w:val="nil"/>
              <w:tr2bl w:val="nil"/>
            </w:tcBorders>
            <w:noWrap w:val="0"/>
            <w:vAlign w:val="center"/>
          </w:tcPr>
          <w:p w14:paraId="067444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04DC78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313E1A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08E919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restart"/>
            <w:tcBorders>
              <w:tl2br w:val="nil"/>
              <w:tr2bl w:val="nil"/>
            </w:tcBorders>
            <w:noWrap w:val="0"/>
            <w:vAlign w:val="center"/>
          </w:tcPr>
          <w:p w14:paraId="1055CA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资源利用效率</w:t>
            </w:r>
          </w:p>
        </w:tc>
        <w:tc>
          <w:tcPr>
            <w:tcW w:w="7210" w:type="dxa"/>
            <w:tcBorders>
              <w:tl2br w:val="nil"/>
              <w:tr2bl w:val="nil"/>
            </w:tcBorders>
            <w:noWrap w:val="0"/>
            <w:vAlign w:val="center"/>
          </w:tcPr>
          <w:p w14:paraId="506F33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18、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3504" w:type="dxa"/>
            <w:tcBorders>
              <w:tl2br w:val="nil"/>
              <w:tr2bl w:val="nil"/>
            </w:tcBorders>
            <w:noWrap w:val="0"/>
            <w:vAlign w:val="center"/>
          </w:tcPr>
          <w:p w14:paraId="7DCC10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3A5BC6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15F5C5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939FA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677875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0876C0EC">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3504" w:type="dxa"/>
            <w:tcBorders>
              <w:tl2br w:val="nil"/>
              <w:tr2bl w:val="nil"/>
            </w:tcBorders>
            <w:noWrap w:val="0"/>
            <w:vAlign w:val="center"/>
          </w:tcPr>
          <w:p w14:paraId="018F04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271606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74FE12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9F8A9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53148C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1D49C13A">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20、新建、扩建“两高”项目应采用先进适用的工艺技术和装备，单位产品物耗、能耗、水耗等达到清洁生产先进水平。</w:t>
            </w:r>
          </w:p>
        </w:tc>
        <w:tc>
          <w:tcPr>
            <w:tcW w:w="3504" w:type="dxa"/>
            <w:tcBorders>
              <w:tl2br w:val="nil"/>
              <w:tr2bl w:val="nil"/>
            </w:tcBorders>
            <w:noWrap w:val="0"/>
            <w:vAlign w:val="center"/>
          </w:tcPr>
          <w:p w14:paraId="40E8B6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项目不属于</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两高</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eastAsia" w:ascii="Times New Roman" w:hAnsi="Times New Roman" w:eastAsia="宋体" w:cs="Times New Roman"/>
                <w:b w:val="0"/>
                <w:bCs w:val="0"/>
                <w:color w:val="auto"/>
                <w:kern w:val="0"/>
                <w:sz w:val="21"/>
                <w:szCs w:val="21"/>
                <w:vertAlign w:val="baseline"/>
                <w:lang w:val="en-US" w:eastAsia="zh-CN"/>
              </w:rPr>
              <w:t>项目。</w:t>
            </w:r>
          </w:p>
        </w:tc>
        <w:tc>
          <w:tcPr>
            <w:tcW w:w="1004" w:type="dxa"/>
            <w:tcBorders>
              <w:tl2br w:val="nil"/>
              <w:tr2bl w:val="nil"/>
            </w:tcBorders>
            <w:noWrap w:val="0"/>
            <w:vAlign w:val="center"/>
          </w:tcPr>
          <w:p w14:paraId="2B1F25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00F13D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46FAA3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0AD8C9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729110D2">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21、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 广工业水循环利用，加快淘汰落后用水工艺和技术。</w:t>
            </w:r>
          </w:p>
        </w:tc>
        <w:tc>
          <w:tcPr>
            <w:tcW w:w="3504" w:type="dxa"/>
            <w:tcBorders>
              <w:tl2br w:val="nil"/>
              <w:tr2bl w:val="nil"/>
            </w:tcBorders>
            <w:noWrap w:val="0"/>
            <w:vAlign w:val="center"/>
          </w:tcPr>
          <w:p w14:paraId="321D4B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593439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582776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4C51FC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32C7D0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6C567451">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22、加快推进节水配套设施建设，加强再生水、雨水等非常规水多元、梯级和安全利用，逐年提高非常规水利用比例。结合现有</w:t>
            </w:r>
            <w:r>
              <w:rPr>
                <w:rFonts w:hint="eastAsia" w:ascii="Times New Roman" w:hAnsi="Times New Roman" w:eastAsia="宋体"/>
                <w:color w:val="auto"/>
                <w:kern w:val="0"/>
                <w:sz w:val="21"/>
                <w:szCs w:val="21"/>
                <w:lang w:val="en-US" w:eastAsia="zh-CN"/>
              </w:rPr>
              <w:t>污水处理设施</w:t>
            </w:r>
            <w:r>
              <w:rPr>
                <w:rFonts w:hint="eastAsia" w:ascii="Times New Roman" w:hAnsi="Times New Roman" w:eastAsia="宋体" w:cs="Times New Roman"/>
                <w:color w:val="auto"/>
                <w:kern w:val="0"/>
                <w:sz w:val="21"/>
                <w:szCs w:val="21"/>
                <w:lang w:val="en-US" w:eastAsia="zh-CN" w:bidi="ar-SA"/>
              </w:rPr>
              <w:t>提标升级扩能改造，系统规划城镇污水再生利用设施。</w:t>
            </w:r>
          </w:p>
        </w:tc>
        <w:tc>
          <w:tcPr>
            <w:tcW w:w="3504" w:type="dxa"/>
            <w:tcBorders>
              <w:tl2br w:val="nil"/>
              <w:tr2bl w:val="nil"/>
            </w:tcBorders>
            <w:noWrap w:val="0"/>
            <w:vAlign w:val="center"/>
          </w:tcPr>
          <w:p w14:paraId="4FD222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w:t>
            </w:r>
          </w:p>
        </w:tc>
        <w:tc>
          <w:tcPr>
            <w:tcW w:w="1004" w:type="dxa"/>
            <w:tcBorders>
              <w:tl2br w:val="nil"/>
              <w:tr2bl w:val="nil"/>
            </w:tcBorders>
            <w:noWrap w:val="0"/>
            <w:vAlign w:val="center"/>
          </w:tcPr>
          <w:p w14:paraId="6FA8B4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4E654D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restart"/>
            <w:tcBorders>
              <w:tl2br w:val="nil"/>
              <w:tr2bl w:val="nil"/>
            </w:tcBorders>
            <w:noWrap w:val="0"/>
            <w:vAlign w:val="center"/>
          </w:tcPr>
          <w:p w14:paraId="49AC52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区县总体管控要求</w:t>
            </w:r>
          </w:p>
        </w:tc>
        <w:tc>
          <w:tcPr>
            <w:tcW w:w="974" w:type="dxa"/>
            <w:vMerge w:val="restart"/>
            <w:tcBorders>
              <w:tl2br w:val="nil"/>
              <w:tr2bl w:val="nil"/>
            </w:tcBorders>
            <w:noWrap w:val="0"/>
            <w:vAlign w:val="center"/>
          </w:tcPr>
          <w:p w14:paraId="625EB0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空间布局约束</w:t>
            </w:r>
          </w:p>
        </w:tc>
        <w:tc>
          <w:tcPr>
            <w:tcW w:w="7210" w:type="dxa"/>
            <w:tcBorders>
              <w:tl2br w:val="nil"/>
              <w:tr2bl w:val="nil"/>
            </w:tcBorders>
            <w:noWrap w:val="0"/>
            <w:vAlign w:val="center"/>
          </w:tcPr>
          <w:p w14:paraId="17FA12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第一条  执行重点管控单元市级总体要求第一条、第二条、第三条、第四条、第五条和第七条。</w:t>
            </w:r>
          </w:p>
        </w:tc>
        <w:tc>
          <w:tcPr>
            <w:tcW w:w="3504" w:type="dxa"/>
            <w:tcBorders>
              <w:tl2br w:val="nil"/>
              <w:tr2bl w:val="nil"/>
            </w:tcBorders>
            <w:noWrap w:val="0"/>
            <w:vAlign w:val="center"/>
          </w:tcPr>
          <w:p w14:paraId="28DD25D0">
            <w:pPr>
              <w:pStyle w:val="46"/>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olor w:val="auto"/>
                <w:spacing w:val="9"/>
                <w:sz w:val="21"/>
                <w:szCs w:val="21"/>
                <w:lang w:val="en-US" w:eastAsia="zh-CN"/>
              </w:rPr>
              <w:t>已于上文对比分析。</w:t>
            </w:r>
          </w:p>
        </w:tc>
        <w:tc>
          <w:tcPr>
            <w:tcW w:w="1004" w:type="dxa"/>
            <w:tcBorders>
              <w:tl2br w:val="nil"/>
              <w:tr2bl w:val="nil"/>
            </w:tcBorders>
            <w:noWrap w:val="0"/>
            <w:vAlign w:val="center"/>
          </w:tcPr>
          <w:p w14:paraId="3BE699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61F485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1B313E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6369A6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40F1E6E5">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第二条  以完善优势产业链发展作为方向，科学合理优化工业用地空间布局，推进产城融合高质量发展。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3504" w:type="dxa"/>
            <w:tcBorders>
              <w:tl2br w:val="nil"/>
              <w:tr2bl w:val="nil"/>
            </w:tcBorders>
            <w:noWrap w:val="0"/>
            <w:vAlign w:val="center"/>
          </w:tcPr>
          <w:p w14:paraId="469BCE86">
            <w:pPr>
              <w:pStyle w:val="46"/>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rPr>
              <w:t>项目为动物医院扩建项目，所用地为商业用地，不属于工业用地，不涉及防护距离。</w:t>
            </w:r>
          </w:p>
        </w:tc>
        <w:tc>
          <w:tcPr>
            <w:tcW w:w="1004" w:type="dxa"/>
            <w:tcBorders>
              <w:tl2br w:val="nil"/>
              <w:tr2bl w:val="nil"/>
            </w:tcBorders>
            <w:noWrap w:val="0"/>
            <w:vAlign w:val="center"/>
          </w:tcPr>
          <w:p w14:paraId="5B3CF1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47A891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45CA52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restart"/>
            <w:tcBorders>
              <w:tl2br w:val="nil"/>
              <w:tr2bl w:val="nil"/>
            </w:tcBorders>
            <w:noWrap w:val="0"/>
            <w:vAlign w:val="center"/>
          </w:tcPr>
          <w:p w14:paraId="1E08CD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污染物排放管控</w:t>
            </w:r>
          </w:p>
        </w:tc>
        <w:tc>
          <w:tcPr>
            <w:tcW w:w="7210" w:type="dxa"/>
            <w:tcBorders>
              <w:tl2br w:val="nil"/>
              <w:tr2bl w:val="nil"/>
            </w:tcBorders>
            <w:noWrap w:val="0"/>
            <w:vAlign w:val="center"/>
          </w:tcPr>
          <w:p w14:paraId="39A22D9E">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第三条  执行重点管控单元市级总体要求第八条、第九条、第十一条、第十二条、第十四条和第十五条。</w:t>
            </w:r>
          </w:p>
        </w:tc>
        <w:tc>
          <w:tcPr>
            <w:tcW w:w="3504" w:type="dxa"/>
            <w:tcBorders>
              <w:tl2br w:val="nil"/>
              <w:tr2bl w:val="nil"/>
            </w:tcBorders>
            <w:noWrap w:val="0"/>
            <w:vAlign w:val="center"/>
          </w:tcPr>
          <w:p w14:paraId="7FD3FD7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spacing w:val="9"/>
                <w:sz w:val="21"/>
                <w:szCs w:val="21"/>
                <w:lang w:val="en-US" w:eastAsia="zh-CN"/>
              </w:rPr>
              <w:t>已于上文对比分析。</w:t>
            </w:r>
          </w:p>
        </w:tc>
        <w:tc>
          <w:tcPr>
            <w:tcW w:w="1004" w:type="dxa"/>
            <w:tcBorders>
              <w:tl2br w:val="nil"/>
              <w:tr2bl w:val="nil"/>
            </w:tcBorders>
            <w:noWrap w:val="0"/>
            <w:vAlign w:val="center"/>
          </w:tcPr>
          <w:p w14:paraId="572C8F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6477AC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513B37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0CC9EE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7C0E7482">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第四条  以重点行业为抓手，深化挥发性有机物治理，减缓工居混杂矛盾。</w:t>
            </w:r>
          </w:p>
          <w:p w14:paraId="5507B041">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3504" w:type="dxa"/>
            <w:tcBorders>
              <w:tl2br w:val="nil"/>
              <w:tr2bl w:val="nil"/>
            </w:tcBorders>
            <w:noWrap w:val="0"/>
            <w:vAlign w:val="center"/>
          </w:tcPr>
          <w:p w14:paraId="2D43912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w:t>
            </w:r>
            <w:r>
              <w:rPr>
                <w:rFonts w:hint="eastAsia" w:ascii="Times New Roman" w:hAnsi="Times New Roman" w:eastAsia="宋体" w:cs="Times New Roman"/>
                <w:b w:val="0"/>
                <w:bCs w:val="0"/>
                <w:color w:val="auto"/>
                <w:kern w:val="0"/>
                <w:sz w:val="21"/>
                <w:szCs w:val="21"/>
                <w:vertAlign w:val="baseline"/>
                <w:lang w:val="en-US" w:eastAsia="zh-CN"/>
              </w:rPr>
              <w:t>为动物医院扩建项目，不属于重点行业，不涉及VOCs排放。</w:t>
            </w:r>
          </w:p>
        </w:tc>
        <w:tc>
          <w:tcPr>
            <w:tcW w:w="1004" w:type="dxa"/>
            <w:tcBorders>
              <w:tl2br w:val="nil"/>
              <w:tr2bl w:val="nil"/>
            </w:tcBorders>
            <w:noWrap w:val="0"/>
            <w:vAlign w:val="center"/>
          </w:tcPr>
          <w:p w14:paraId="3E501E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61A61B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122497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6070FE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7F74BD0B">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第五条  以餐饮油烟为重点，强化生活污染防治。</w:t>
            </w:r>
          </w:p>
          <w:p w14:paraId="71919973">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加大居民生活油烟排放治理，推动具备条件的餐饮单位安装餐饮油烟在线监控设施，加强对重点区域无油烟净化设施露天摊位的管理。</w:t>
            </w:r>
          </w:p>
        </w:tc>
        <w:tc>
          <w:tcPr>
            <w:tcW w:w="3504" w:type="dxa"/>
            <w:tcBorders>
              <w:tl2br w:val="nil"/>
              <w:tr2bl w:val="nil"/>
            </w:tcBorders>
            <w:noWrap w:val="0"/>
            <w:vAlign w:val="center"/>
          </w:tcPr>
          <w:p w14:paraId="0833F1A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项目不涉及餐饮油烟。</w:t>
            </w:r>
          </w:p>
        </w:tc>
        <w:tc>
          <w:tcPr>
            <w:tcW w:w="1004" w:type="dxa"/>
            <w:tcBorders>
              <w:tl2br w:val="nil"/>
              <w:tr2bl w:val="nil"/>
            </w:tcBorders>
            <w:noWrap w:val="0"/>
            <w:vAlign w:val="center"/>
          </w:tcPr>
          <w:p w14:paraId="560942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37F64A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2B181E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1073D5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455268B8">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第六条  以交通和扬尘污染治理为关键，提升环境空气质量。</w:t>
            </w:r>
          </w:p>
          <w:p w14:paraId="25975C32">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3504" w:type="dxa"/>
            <w:tcBorders>
              <w:tl2br w:val="nil"/>
              <w:tr2bl w:val="nil"/>
            </w:tcBorders>
            <w:noWrap w:val="0"/>
            <w:vAlign w:val="center"/>
          </w:tcPr>
          <w:p w14:paraId="67EB379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项目不涉及交通和扬尘污染</w:t>
            </w: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04" w:type="dxa"/>
            <w:tcBorders>
              <w:tl2br w:val="nil"/>
              <w:tr2bl w:val="nil"/>
            </w:tcBorders>
            <w:noWrap w:val="0"/>
            <w:vAlign w:val="center"/>
          </w:tcPr>
          <w:p w14:paraId="77E495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4FC1E2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01659A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06CD9F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3FDFD53D">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第七条  以“三河六溪”污染综合治理为核心，改善次级河流水质。</w:t>
            </w:r>
          </w:p>
          <w:p w14:paraId="1C7CDC70">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3504" w:type="dxa"/>
            <w:tcBorders>
              <w:tl2br w:val="nil"/>
              <w:tr2bl w:val="nil"/>
            </w:tcBorders>
            <w:noWrap w:val="0"/>
            <w:vAlign w:val="center"/>
          </w:tcPr>
          <w:p w14:paraId="2FB9F4E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项目的受纳水体为跳蹬河，项目医疗废水经相应的消毒设施处理后（出水参照执行《医疗机构水污染物排放标准》（GB 18466-2005）预处理标准）与生活污水、其他废水一起排入</w:t>
            </w:r>
            <w:r>
              <w:rPr>
                <w:rFonts w:hint="eastAsia" w:cs="Times New Roman"/>
                <w:b w:val="0"/>
                <w:bCs w:val="0"/>
                <w:color w:val="auto"/>
                <w:kern w:val="0"/>
                <w:sz w:val="21"/>
                <w:szCs w:val="21"/>
                <w:highlight w:val="none"/>
                <w:vertAlign w:val="baseline"/>
                <w:lang w:val="en-US" w:eastAsia="zh-CN"/>
              </w:rPr>
              <w:t>金科阳光小镇</w:t>
            </w:r>
            <w:r>
              <w:rPr>
                <w:rFonts w:hint="eastAsia" w:ascii="Times New Roman" w:hAnsi="Times New Roman" w:eastAsia="宋体" w:cs="Times New Roman"/>
                <w:b w:val="0"/>
                <w:bCs w:val="0"/>
                <w:color w:val="auto"/>
                <w:kern w:val="0"/>
                <w:sz w:val="21"/>
                <w:szCs w:val="21"/>
                <w:highlight w:val="none"/>
                <w:vertAlign w:val="baseline"/>
                <w:lang w:val="en-US" w:eastAsia="zh-CN"/>
              </w:rPr>
              <w:t>6期生化池进行进一步处理。</w:t>
            </w:r>
          </w:p>
        </w:tc>
        <w:tc>
          <w:tcPr>
            <w:tcW w:w="1004" w:type="dxa"/>
            <w:tcBorders>
              <w:tl2br w:val="nil"/>
              <w:tr2bl w:val="nil"/>
            </w:tcBorders>
            <w:noWrap w:val="0"/>
            <w:vAlign w:val="center"/>
          </w:tcPr>
          <w:p w14:paraId="1AFCD9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1C08C4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31D931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5C10F4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2CE6AB7D">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第八条  以农业种植和水产养殖为重点，强化面源污染防治。</w:t>
            </w:r>
          </w:p>
          <w:p w14:paraId="3CA6D8A4">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3504" w:type="dxa"/>
            <w:tcBorders>
              <w:tl2br w:val="nil"/>
              <w:tr2bl w:val="nil"/>
            </w:tcBorders>
            <w:noWrap w:val="0"/>
            <w:vAlign w:val="center"/>
          </w:tcPr>
          <w:p w14:paraId="166665C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ascii="Times New Roman" w:hAnsi="Times New Roman" w:eastAsia="宋体"/>
                <w:color w:val="auto"/>
                <w:spacing w:val="9"/>
                <w:sz w:val="21"/>
                <w:szCs w:val="21"/>
              </w:rPr>
            </w:pPr>
            <w:r>
              <w:rPr>
                <w:rFonts w:hint="eastAsia" w:ascii="Times New Roman" w:hAnsi="Times New Roman" w:eastAsia="宋体" w:cs="Times New Roman"/>
                <w:b w:val="0"/>
                <w:bCs w:val="0"/>
                <w:color w:val="auto"/>
                <w:kern w:val="0"/>
                <w:sz w:val="21"/>
                <w:szCs w:val="21"/>
                <w:highlight w:val="none"/>
                <w:vertAlign w:val="baseline"/>
                <w:lang w:val="en-US" w:eastAsia="zh-CN"/>
              </w:rPr>
              <w:t>项目为动物医院扩建项目，不涉及</w:t>
            </w:r>
            <w:r>
              <w:rPr>
                <w:rFonts w:hint="eastAsia" w:ascii="Times New Roman" w:hAnsi="Times New Roman" w:eastAsia="宋体" w:cs="Times New Roman"/>
                <w:color w:val="auto"/>
                <w:kern w:val="0"/>
                <w:sz w:val="21"/>
                <w:szCs w:val="21"/>
                <w:lang w:val="en-US" w:eastAsia="zh-CN" w:bidi="ar-SA"/>
              </w:rPr>
              <w:t>农业种植和水产养殖</w:t>
            </w: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04" w:type="dxa"/>
            <w:tcBorders>
              <w:tl2br w:val="nil"/>
              <w:tr2bl w:val="nil"/>
            </w:tcBorders>
            <w:noWrap w:val="0"/>
            <w:vAlign w:val="center"/>
          </w:tcPr>
          <w:p w14:paraId="1B3260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54F7F6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64FE26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restart"/>
            <w:tcBorders>
              <w:tl2br w:val="nil"/>
              <w:tr2bl w:val="nil"/>
            </w:tcBorders>
            <w:noWrap w:val="0"/>
            <w:vAlign w:val="center"/>
          </w:tcPr>
          <w:p w14:paraId="382297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环境风险防控</w:t>
            </w:r>
          </w:p>
        </w:tc>
        <w:tc>
          <w:tcPr>
            <w:tcW w:w="7210" w:type="dxa"/>
            <w:tcBorders>
              <w:tl2br w:val="nil"/>
              <w:tr2bl w:val="nil"/>
            </w:tcBorders>
            <w:noWrap w:val="0"/>
            <w:vAlign w:val="center"/>
          </w:tcPr>
          <w:p w14:paraId="2559ACB5">
            <w:pPr>
              <w:pStyle w:val="60"/>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第九条  执行重点管控单元市级总体要求第十六条。</w:t>
            </w:r>
          </w:p>
        </w:tc>
        <w:tc>
          <w:tcPr>
            <w:tcW w:w="3504" w:type="dxa"/>
            <w:tcBorders>
              <w:tl2br w:val="nil"/>
              <w:tr2bl w:val="nil"/>
            </w:tcBorders>
            <w:noWrap w:val="0"/>
            <w:vAlign w:val="center"/>
          </w:tcPr>
          <w:p w14:paraId="4D595B5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olor w:val="auto"/>
                <w:spacing w:val="9"/>
                <w:sz w:val="21"/>
                <w:szCs w:val="21"/>
                <w:lang w:val="en-US" w:eastAsia="zh-CN"/>
              </w:rPr>
              <w:t>已于上文对比分析。</w:t>
            </w:r>
          </w:p>
        </w:tc>
        <w:tc>
          <w:tcPr>
            <w:tcW w:w="1004" w:type="dxa"/>
            <w:tcBorders>
              <w:tl2br w:val="nil"/>
              <w:tr2bl w:val="nil"/>
            </w:tcBorders>
            <w:noWrap w:val="0"/>
            <w:vAlign w:val="center"/>
          </w:tcPr>
          <w:p w14:paraId="5B9516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757E82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5F71BB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54305C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6C770C28">
            <w:pPr>
              <w:pStyle w:val="60"/>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第十条  以保障饮用水源安全为目标，完善区域环境风险措施。</w:t>
            </w:r>
          </w:p>
          <w:p w14:paraId="4D708D5B">
            <w:pPr>
              <w:pStyle w:val="60"/>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tc>
        <w:tc>
          <w:tcPr>
            <w:tcW w:w="3504" w:type="dxa"/>
            <w:tcBorders>
              <w:tl2br w:val="nil"/>
              <w:tr2bl w:val="nil"/>
            </w:tcBorders>
            <w:noWrap w:val="0"/>
            <w:vAlign w:val="center"/>
          </w:tcPr>
          <w:p w14:paraId="5560307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imes New Roman" w:hAnsi="Times New Roman" w:eastAsia="宋体"/>
                <w:color w:val="auto"/>
                <w:spacing w:val="9"/>
                <w:sz w:val="21"/>
                <w:szCs w:val="21"/>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项目为动物医院扩建项目，不涉及饮用水源，不涉及</w:t>
            </w:r>
            <w:r>
              <w:rPr>
                <w:rFonts w:hint="eastAsia" w:ascii="Times New Roman" w:hAnsi="Times New Roman" w:eastAsia="宋体" w:cs="Times New Roman"/>
                <w:color w:val="auto"/>
                <w:kern w:val="0"/>
                <w:sz w:val="21"/>
                <w:szCs w:val="21"/>
                <w:lang w:val="en-US" w:eastAsia="zh-CN" w:bidi="ar-SA"/>
              </w:rPr>
              <w:t>化工企业及危化品仓库</w:t>
            </w:r>
            <w:r>
              <w:rPr>
                <w:rFonts w:hint="eastAsia" w:ascii="Times New Roman" w:hAnsi="Times New Roman" w:eastAsia="宋体" w:cs="Times New Roman"/>
                <w:b w:val="0"/>
                <w:bCs w:val="0"/>
                <w:color w:val="auto"/>
                <w:kern w:val="0"/>
                <w:sz w:val="21"/>
                <w:szCs w:val="21"/>
                <w:highlight w:val="none"/>
                <w:vertAlign w:val="baseline"/>
                <w:lang w:val="en-US" w:eastAsia="zh-CN"/>
              </w:rPr>
              <w:t>，项目环境风险小，无需编制</w:t>
            </w:r>
            <w:r>
              <w:rPr>
                <w:rFonts w:hint="eastAsia" w:ascii="Times New Roman" w:hAnsi="Times New Roman" w:eastAsia="宋体" w:cs="Times New Roman"/>
                <w:color w:val="auto"/>
                <w:kern w:val="0"/>
                <w:sz w:val="21"/>
                <w:szCs w:val="21"/>
                <w:lang w:val="en-US" w:eastAsia="zh-CN" w:bidi="ar-SA"/>
              </w:rPr>
              <w:t>突发环境事件应急预案</w:t>
            </w: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04" w:type="dxa"/>
            <w:tcBorders>
              <w:tl2br w:val="nil"/>
              <w:tr2bl w:val="nil"/>
            </w:tcBorders>
            <w:noWrap w:val="0"/>
            <w:vAlign w:val="center"/>
          </w:tcPr>
          <w:p w14:paraId="5C8582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50AB60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342FFE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69D8AF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39E3F1D4">
            <w:pPr>
              <w:pStyle w:val="60"/>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3504" w:type="dxa"/>
            <w:tcBorders>
              <w:tl2br w:val="nil"/>
              <w:tr2bl w:val="nil"/>
            </w:tcBorders>
            <w:noWrap w:val="0"/>
            <w:vAlign w:val="center"/>
          </w:tcPr>
          <w:p w14:paraId="6A80BB8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项目不涉及。</w:t>
            </w:r>
          </w:p>
        </w:tc>
        <w:tc>
          <w:tcPr>
            <w:tcW w:w="1004" w:type="dxa"/>
            <w:tcBorders>
              <w:tl2br w:val="nil"/>
              <w:tr2bl w:val="nil"/>
            </w:tcBorders>
            <w:noWrap w:val="0"/>
            <w:vAlign w:val="center"/>
          </w:tcPr>
          <w:p w14:paraId="0704EB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3C80C6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12CF03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restart"/>
            <w:tcBorders>
              <w:tl2br w:val="nil"/>
              <w:tr2bl w:val="nil"/>
            </w:tcBorders>
            <w:noWrap w:val="0"/>
            <w:vAlign w:val="center"/>
          </w:tcPr>
          <w:p w14:paraId="716F1B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资源开发利用效率</w:t>
            </w:r>
          </w:p>
        </w:tc>
        <w:tc>
          <w:tcPr>
            <w:tcW w:w="7210" w:type="dxa"/>
            <w:tcBorders>
              <w:tl2br w:val="nil"/>
              <w:tr2bl w:val="nil"/>
            </w:tcBorders>
            <w:noWrap w:val="0"/>
            <w:vAlign w:val="center"/>
          </w:tcPr>
          <w:p w14:paraId="21F4ADE5">
            <w:pPr>
              <w:pStyle w:val="60"/>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第十二条  执行重点管控单元市级总体要求第十八条、第十九条、第二十条、第二十一条。</w:t>
            </w:r>
          </w:p>
        </w:tc>
        <w:tc>
          <w:tcPr>
            <w:tcW w:w="3504" w:type="dxa"/>
            <w:tcBorders>
              <w:tl2br w:val="nil"/>
              <w:tr2bl w:val="nil"/>
            </w:tcBorders>
            <w:noWrap w:val="0"/>
            <w:vAlign w:val="center"/>
          </w:tcPr>
          <w:p w14:paraId="7584AD79">
            <w:pPr>
              <w:pStyle w:val="46"/>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olor w:val="auto"/>
                <w:spacing w:val="9"/>
                <w:sz w:val="21"/>
                <w:szCs w:val="21"/>
                <w:lang w:val="en-US" w:eastAsia="zh-CN"/>
              </w:rPr>
              <w:t>已于上文对比分析。</w:t>
            </w:r>
          </w:p>
        </w:tc>
        <w:tc>
          <w:tcPr>
            <w:tcW w:w="1004" w:type="dxa"/>
            <w:tcBorders>
              <w:tl2br w:val="nil"/>
              <w:tr2bl w:val="nil"/>
            </w:tcBorders>
            <w:noWrap w:val="0"/>
            <w:vAlign w:val="center"/>
          </w:tcPr>
          <w:p w14:paraId="0326E0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6394A9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31ED7A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5C5105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21350C7A">
            <w:pPr>
              <w:pStyle w:val="60"/>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第十三条  以促进产业绿色低碳循环发展为导向，推动减污降碳协同共治。结合九龙新城园区西部片区（原西彭工业园区）近零碳园区建设，深化有色金属冶炼及压延加工业、化学原料及化学制品制造业和汽车制造业等行业减污降碳。</w:t>
            </w:r>
          </w:p>
        </w:tc>
        <w:tc>
          <w:tcPr>
            <w:tcW w:w="3504" w:type="dxa"/>
            <w:tcBorders>
              <w:tl2br w:val="nil"/>
              <w:tr2bl w:val="nil"/>
            </w:tcBorders>
            <w:noWrap w:val="0"/>
            <w:vAlign w:val="center"/>
          </w:tcPr>
          <w:p w14:paraId="0E950198">
            <w:pPr>
              <w:pStyle w:val="46"/>
              <w:keepNext w:val="0"/>
              <w:keepLines w:val="0"/>
              <w:pageBreakBefore w:val="0"/>
              <w:widowControl w:val="0"/>
              <w:kinsoku/>
              <w:wordWrap/>
              <w:overflowPunct/>
              <w:topLinePunct w:val="0"/>
              <w:bidi w:val="0"/>
              <w:spacing w:line="240" w:lineRule="auto"/>
              <w:ind w:left="0" w:leftChars="0" w:right="0" w:rightChars="0" w:firstLine="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项目为动物医院扩建项目，不涉及前述行业。</w:t>
            </w:r>
          </w:p>
        </w:tc>
        <w:tc>
          <w:tcPr>
            <w:tcW w:w="1004" w:type="dxa"/>
            <w:tcBorders>
              <w:tl2br w:val="nil"/>
              <w:tr2bl w:val="nil"/>
            </w:tcBorders>
            <w:noWrap w:val="0"/>
            <w:vAlign w:val="center"/>
          </w:tcPr>
          <w:p w14:paraId="56E722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0ECD8D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49F9AC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974" w:type="dxa"/>
            <w:vMerge w:val="continue"/>
            <w:tcBorders>
              <w:tl2br w:val="nil"/>
              <w:tr2bl w:val="nil"/>
            </w:tcBorders>
            <w:noWrap w:val="0"/>
            <w:vAlign w:val="center"/>
          </w:tcPr>
          <w:p w14:paraId="4372B4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7210" w:type="dxa"/>
            <w:tcBorders>
              <w:tl2br w:val="nil"/>
              <w:tr2bl w:val="nil"/>
            </w:tcBorders>
            <w:noWrap w:val="0"/>
            <w:vAlign w:val="center"/>
          </w:tcPr>
          <w:p w14:paraId="305C5BEC">
            <w:pPr>
              <w:pStyle w:val="60"/>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第十四条  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3504" w:type="dxa"/>
            <w:tcBorders>
              <w:tl2br w:val="nil"/>
              <w:tr2bl w:val="nil"/>
            </w:tcBorders>
            <w:noWrap w:val="0"/>
            <w:vAlign w:val="center"/>
          </w:tcPr>
          <w:p w14:paraId="1DF807E9">
            <w:pPr>
              <w:pStyle w:val="46"/>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项目不属于</w:t>
            </w:r>
            <w:r>
              <w:rPr>
                <w:rFonts w:hint="eastAsia" w:ascii="Times New Roman" w:hAnsi="Times New Roman" w:eastAsia="宋体" w:cs="Times New Roman"/>
                <w:color w:val="auto"/>
                <w:kern w:val="0"/>
                <w:sz w:val="21"/>
                <w:szCs w:val="21"/>
                <w:lang w:val="en-US" w:eastAsia="zh-CN" w:bidi="ar-SA"/>
              </w:rPr>
              <w:t>高耗水行业和重点监控用水单位，项目所在地管网已全面建成，不涉及农业节水</w:t>
            </w: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04" w:type="dxa"/>
            <w:tcBorders>
              <w:tl2br w:val="nil"/>
              <w:tr2bl w:val="nil"/>
            </w:tcBorders>
            <w:noWrap w:val="0"/>
            <w:vAlign w:val="center"/>
          </w:tcPr>
          <w:p w14:paraId="7FF9C8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符合</w:t>
            </w:r>
          </w:p>
        </w:tc>
      </w:tr>
      <w:tr w14:paraId="559B31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restart"/>
            <w:tcBorders>
              <w:tl2br w:val="nil"/>
              <w:tr2bl w:val="nil"/>
            </w:tcBorders>
            <w:noWrap w:val="0"/>
            <w:vAlign w:val="center"/>
          </w:tcPr>
          <w:p w14:paraId="329E59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单元管控要求</w:t>
            </w:r>
          </w:p>
        </w:tc>
        <w:tc>
          <w:tcPr>
            <w:tcW w:w="974" w:type="dxa"/>
            <w:vMerge w:val="restart"/>
            <w:tcBorders>
              <w:tl2br w:val="nil"/>
              <w:tr2bl w:val="nil"/>
            </w:tcBorders>
            <w:noWrap w:val="0"/>
            <w:vAlign w:val="center"/>
          </w:tcPr>
          <w:p w14:paraId="6DC464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空间布局约束</w:t>
            </w:r>
          </w:p>
        </w:tc>
        <w:tc>
          <w:tcPr>
            <w:tcW w:w="7210" w:type="dxa"/>
            <w:tcBorders>
              <w:tl2br w:val="nil"/>
              <w:tr2bl w:val="nil"/>
            </w:tcBorders>
            <w:noWrap w:val="0"/>
            <w:vAlign w:val="center"/>
          </w:tcPr>
          <w:p w14:paraId="191056BF">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1.有序推动九龙工业园区“东三街”和九龙街道工业用地转型升级，重点发展制造服务业</w:t>
            </w:r>
            <w:r>
              <w:rPr>
                <w:rFonts w:hint="eastAsia" w:ascii="Times New Roman" w:hAnsi="Times New Roman" w:eastAsia="宋体" w:cs="Times New Roman"/>
                <w:color w:val="auto"/>
                <w:spacing w:val="0"/>
                <w:kern w:val="0"/>
                <w:sz w:val="21"/>
                <w:szCs w:val="21"/>
                <w:highlight w:val="none"/>
                <w:lang w:val="en-US" w:eastAsia="zh-CN" w:bidi="ar"/>
              </w:rPr>
              <w:t>。</w:t>
            </w:r>
          </w:p>
        </w:tc>
        <w:tc>
          <w:tcPr>
            <w:tcW w:w="3504" w:type="dxa"/>
            <w:vMerge w:val="restart"/>
            <w:tcBorders>
              <w:tl2br w:val="nil"/>
              <w:tr2bl w:val="nil"/>
            </w:tcBorders>
            <w:noWrap w:val="0"/>
            <w:vAlign w:val="center"/>
          </w:tcPr>
          <w:p w14:paraId="49C9FA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，位于九龙坡区华岩镇，不在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w:t>
            </w:r>
          </w:p>
        </w:tc>
        <w:tc>
          <w:tcPr>
            <w:tcW w:w="1004" w:type="dxa"/>
            <w:tcBorders>
              <w:tl2br w:val="nil"/>
              <w:tr2bl w:val="nil"/>
            </w:tcBorders>
            <w:noWrap w:val="0"/>
            <w:vAlign w:val="center"/>
          </w:tcPr>
          <w:p w14:paraId="74136A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65CB5E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361A44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3C1EBE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noWrap w:val="0"/>
            <w:vAlign w:val="center"/>
          </w:tcPr>
          <w:p w14:paraId="630610BC">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2.九龙工业园区B区为智能制造工业区，未来周边规划布局为居住区，应优化工业区内部布局，将污染较大的企业远离居住区一侧布设。</w:t>
            </w:r>
          </w:p>
        </w:tc>
        <w:tc>
          <w:tcPr>
            <w:tcW w:w="3504" w:type="dxa"/>
            <w:vMerge w:val="continue"/>
            <w:tcBorders>
              <w:tl2br w:val="nil"/>
              <w:tr2bl w:val="nil"/>
            </w:tcBorders>
            <w:noWrap w:val="0"/>
            <w:vAlign w:val="center"/>
          </w:tcPr>
          <w:p w14:paraId="16F532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p>
        </w:tc>
        <w:tc>
          <w:tcPr>
            <w:tcW w:w="1004" w:type="dxa"/>
            <w:tcBorders>
              <w:tl2br w:val="nil"/>
              <w:tr2bl w:val="nil"/>
            </w:tcBorders>
            <w:noWrap w:val="0"/>
            <w:vAlign w:val="center"/>
          </w:tcPr>
          <w:p w14:paraId="4B8AC2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34BB58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024D3E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restart"/>
            <w:tcBorders>
              <w:tl2br w:val="nil"/>
              <w:tr2bl w:val="nil"/>
            </w:tcBorders>
            <w:noWrap w:val="0"/>
            <w:vAlign w:val="center"/>
          </w:tcPr>
          <w:p w14:paraId="28F95F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污染物排放管控</w:t>
            </w:r>
          </w:p>
        </w:tc>
        <w:tc>
          <w:tcPr>
            <w:tcW w:w="7210" w:type="dxa"/>
            <w:tcBorders>
              <w:tl2br w:val="nil"/>
              <w:tr2bl w:val="nil"/>
            </w:tcBorders>
            <w:shd w:val="clear" w:color="auto" w:fill="auto"/>
            <w:noWrap w:val="0"/>
            <w:vAlign w:val="center"/>
          </w:tcPr>
          <w:p w14:paraId="1463A985">
            <w:pPr>
              <w:keepNext w:val="0"/>
              <w:keepLines w:val="0"/>
              <w:pageBreakBefore w:val="0"/>
              <w:widowControl/>
              <w:numPr>
                <w:ilvl w:val="0"/>
                <w:numId w:val="0"/>
              </w:numPr>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1.九龙工业园区B区内新建、改建、扩建涉VOCs排放的项目，要加强源头控制，使用低（无）VOCs含量的原辅料，加强废气收集，安装高效治理设施</w:t>
            </w:r>
            <w:r>
              <w:rPr>
                <w:rFonts w:hint="eastAsia" w:ascii="Times New Roman" w:hAnsi="Times New Roman" w:eastAsia="宋体" w:cs="Times New Roman"/>
                <w:color w:val="auto"/>
                <w:spacing w:val="0"/>
                <w:kern w:val="0"/>
                <w:sz w:val="21"/>
                <w:szCs w:val="21"/>
                <w:highlight w:val="none"/>
                <w:lang w:val="en-US" w:eastAsia="zh-CN" w:bidi="ar"/>
              </w:rPr>
              <w:t>。</w:t>
            </w:r>
          </w:p>
        </w:tc>
        <w:tc>
          <w:tcPr>
            <w:tcW w:w="3504" w:type="dxa"/>
            <w:tcBorders>
              <w:tl2br w:val="nil"/>
              <w:tr2bl w:val="nil"/>
            </w:tcBorders>
            <w:noWrap w:val="0"/>
            <w:vAlign w:val="center"/>
          </w:tcPr>
          <w:p w14:paraId="5FC5450B">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不涉及</w:t>
            </w:r>
            <w:r>
              <w:rPr>
                <w:rFonts w:hint="default" w:ascii="Times New Roman" w:hAnsi="Times New Roman" w:eastAsia="宋体" w:cs="Times New Roman"/>
                <w:color w:val="auto"/>
                <w:spacing w:val="0"/>
                <w:kern w:val="0"/>
                <w:sz w:val="21"/>
                <w:szCs w:val="21"/>
                <w:highlight w:val="none"/>
                <w:lang w:val="en-US" w:eastAsia="zh-CN" w:bidi="ar"/>
              </w:rPr>
              <w:t>VOCs排放</w:t>
            </w:r>
            <w:r>
              <w:rPr>
                <w:rFonts w:hint="eastAsia" w:ascii="Times New Roman" w:hAnsi="Times New Roman" w:eastAsia="宋体" w:cs="Times New Roman"/>
                <w:color w:val="auto"/>
                <w:spacing w:val="0"/>
                <w:sz w:val="21"/>
                <w:highlight w:val="none"/>
                <w:lang w:val="en-US" w:eastAsia="zh-CN"/>
              </w:rPr>
              <w:t>。</w:t>
            </w:r>
          </w:p>
        </w:tc>
        <w:tc>
          <w:tcPr>
            <w:tcW w:w="1004" w:type="dxa"/>
            <w:tcBorders>
              <w:tl2br w:val="nil"/>
              <w:tr2bl w:val="nil"/>
            </w:tcBorders>
            <w:noWrap w:val="0"/>
            <w:vAlign w:val="center"/>
          </w:tcPr>
          <w:p w14:paraId="2CD1C6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1478B1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0D265A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709E37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27688A08">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2.有序推动九龙工业园区“东三街”和九龙街道范围内现状工业制造类企业开展搬迁工作，搬迁前企业应深化污染治理，在减污、风险可控的前提下可进行改造升级。</w:t>
            </w:r>
          </w:p>
        </w:tc>
        <w:tc>
          <w:tcPr>
            <w:tcW w:w="3504" w:type="dxa"/>
            <w:tcBorders>
              <w:tl2br w:val="nil"/>
              <w:tr2bl w:val="nil"/>
            </w:tcBorders>
            <w:noWrap w:val="0"/>
            <w:vAlign w:val="center"/>
          </w:tcPr>
          <w:p w14:paraId="5C4E3580">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color w:val="auto"/>
                <w:spacing w:val="0"/>
                <w:sz w:val="21"/>
                <w:highlight w:val="none"/>
                <w:lang w:val="en-US" w:eastAsia="zh-CN"/>
              </w:rPr>
              <w:t>项</w:t>
            </w:r>
            <w:r>
              <w:rPr>
                <w:rFonts w:hint="eastAsia" w:ascii="Times New Roman" w:hAnsi="Times New Roman" w:eastAsia="宋体" w:cs="Times New Roman"/>
                <w:color w:val="auto"/>
                <w:spacing w:val="0"/>
                <w:sz w:val="21"/>
                <w:highlight w:val="none"/>
                <w:lang w:val="en-US" w:eastAsia="zh-CN"/>
              </w:rPr>
              <w:t>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w:t>
            </w:r>
          </w:p>
        </w:tc>
        <w:tc>
          <w:tcPr>
            <w:tcW w:w="1004" w:type="dxa"/>
            <w:tcBorders>
              <w:tl2br w:val="nil"/>
              <w:tr2bl w:val="nil"/>
            </w:tcBorders>
            <w:noWrap w:val="0"/>
            <w:vAlign w:val="center"/>
          </w:tcPr>
          <w:p w14:paraId="521CA6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3B792B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0A4908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164337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003BFF9E">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3.推进桃花溪流域、跳蹬河流域雨污分流整治；推进扬声桥污水处理厂提标改造，出水水质达到准Ⅳ类标准</w:t>
            </w:r>
            <w:r>
              <w:rPr>
                <w:rFonts w:hint="eastAsia" w:ascii="Times New Roman" w:hAnsi="Times New Roman" w:eastAsia="宋体" w:cs="Times New Roman"/>
                <w:color w:val="auto"/>
                <w:spacing w:val="0"/>
                <w:kern w:val="0"/>
                <w:sz w:val="21"/>
                <w:szCs w:val="21"/>
                <w:highlight w:val="none"/>
                <w:lang w:val="en-US" w:eastAsia="zh-CN" w:bidi="ar"/>
              </w:rPr>
              <w:t>。</w:t>
            </w:r>
          </w:p>
        </w:tc>
        <w:tc>
          <w:tcPr>
            <w:tcW w:w="3504" w:type="dxa"/>
            <w:tcBorders>
              <w:tl2br w:val="nil"/>
              <w:tr2bl w:val="nil"/>
            </w:tcBorders>
            <w:noWrap w:val="0"/>
            <w:vAlign w:val="center"/>
          </w:tcPr>
          <w:p w14:paraId="30EFD806">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项目的受纳水体为跳蹬河，项目医疗废水经相应的消毒设施处理后（出水参照执行《医疗机构水污染物排放标准》（GB 18466-2005）预处理标准）与生活污水、其他废水一起排入</w:t>
            </w:r>
            <w:r>
              <w:rPr>
                <w:rFonts w:hint="eastAsia" w:ascii="Times New Roman" w:hAnsi="Times New Roman" w:cs="Times New Roman"/>
                <w:b w:val="0"/>
                <w:bCs w:val="0"/>
                <w:color w:val="auto"/>
                <w:kern w:val="0"/>
                <w:sz w:val="21"/>
                <w:szCs w:val="21"/>
                <w:highlight w:val="none"/>
                <w:vertAlign w:val="baseline"/>
                <w:lang w:val="en-US" w:eastAsia="zh-CN"/>
              </w:rPr>
              <w:t>金科阳光小镇</w:t>
            </w:r>
            <w:r>
              <w:rPr>
                <w:rFonts w:hint="eastAsia" w:ascii="Times New Roman" w:hAnsi="Times New Roman" w:eastAsia="宋体" w:cs="Times New Roman"/>
                <w:b w:val="0"/>
                <w:bCs w:val="0"/>
                <w:color w:val="auto"/>
                <w:kern w:val="0"/>
                <w:sz w:val="21"/>
                <w:szCs w:val="21"/>
                <w:highlight w:val="none"/>
                <w:vertAlign w:val="baseline"/>
                <w:lang w:val="en-US" w:eastAsia="zh-CN"/>
              </w:rPr>
              <w:t>6期生化池进行进一步处理，达标后排入</w:t>
            </w:r>
            <w:r>
              <w:rPr>
                <w:rFonts w:hint="eastAsia" w:ascii="Times New Roman" w:hAnsi="Times New Roman" w:eastAsia="宋体" w:cs="Times New Roman"/>
                <w:color w:val="auto"/>
                <w:sz w:val="21"/>
                <w:highlight w:val="none"/>
                <w:lang w:val="en-US" w:eastAsia="zh-CN"/>
              </w:rPr>
              <w:t>中梁山污水处理厂</w:t>
            </w:r>
            <w:r>
              <w:rPr>
                <w:rFonts w:hint="default" w:ascii="Times New Roman" w:hAnsi="Times New Roman" w:eastAsia="宋体" w:cs="Times New Roman"/>
                <w:color w:val="auto"/>
                <w:sz w:val="21"/>
                <w:szCs w:val="21"/>
                <w:highlight w:val="none"/>
                <w:lang w:val="en-US" w:eastAsia="zh-CN"/>
              </w:rPr>
              <w:t>处理达标后排入</w:t>
            </w:r>
            <w:r>
              <w:rPr>
                <w:rFonts w:hint="eastAsia" w:ascii="Times New Roman" w:hAnsi="Times New Roman" w:eastAsia="宋体" w:cs="Times New Roman"/>
                <w:color w:val="auto"/>
                <w:sz w:val="21"/>
                <w:szCs w:val="21"/>
                <w:highlight w:val="none"/>
                <w:lang w:val="en-US" w:eastAsia="zh-CN"/>
              </w:rPr>
              <w:t>长江</w:t>
            </w:r>
            <w:r>
              <w:rPr>
                <w:rFonts w:hint="default" w:ascii="Times New Roman" w:hAnsi="Times New Roman" w:eastAsia="宋体" w:cs="Times New Roman"/>
                <w:color w:val="auto"/>
                <w:sz w:val="21"/>
                <w:szCs w:val="21"/>
                <w:highlight w:val="none"/>
                <w:lang w:val="en-US" w:eastAsia="zh-CN"/>
              </w:rPr>
              <w:t>。</w:t>
            </w:r>
          </w:p>
        </w:tc>
        <w:tc>
          <w:tcPr>
            <w:tcW w:w="1004" w:type="dxa"/>
            <w:tcBorders>
              <w:tl2br w:val="nil"/>
              <w:tr2bl w:val="nil"/>
            </w:tcBorders>
            <w:noWrap w:val="0"/>
            <w:vAlign w:val="center"/>
          </w:tcPr>
          <w:p w14:paraId="3DE69A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54AE9E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187BAB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69EC8A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1B3C57F2">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tc>
        <w:tc>
          <w:tcPr>
            <w:tcW w:w="3504" w:type="dxa"/>
            <w:tcBorders>
              <w:tl2br w:val="nil"/>
              <w:tr2bl w:val="nil"/>
            </w:tcBorders>
            <w:noWrap w:val="0"/>
            <w:vAlign w:val="center"/>
          </w:tcPr>
          <w:p w14:paraId="7ED321EA">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，不设置食堂，不涉及餐饮。</w:t>
            </w:r>
          </w:p>
        </w:tc>
        <w:tc>
          <w:tcPr>
            <w:tcW w:w="1004" w:type="dxa"/>
            <w:tcBorders>
              <w:tl2br w:val="nil"/>
              <w:tr2bl w:val="nil"/>
            </w:tcBorders>
            <w:noWrap w:val="0"/>
            <w:vAlign w:val="center"/>
          </w:tcPr>
          <w:p w14:paraId="273FDB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78DA65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3AF9E8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2B20D0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41181391">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r>
              <w:rPr>
                <w:rFonts w:hint="eastAsia" w:ascii="Times New Roman" w:hAnsi="Times New Roman" w:eastAsia="宋体" w:cs="Times New Roman"/>
                <w:color w:val="auto"/>
                <w:spacing w:val="0"/>
                <w:kern w:val="0"/>
                <w:sz w:val="21"/>
                <w:szCs w:val="21"/>
                <w:highlight w:val="none"/>
                <w:lang w:val="en-US" w:eastAsia="zh-CN" w:bidi="ar"/>
              </w:rPr>
              <w:t>。</w:t>
            </w:r>
          </w:p>
        </w:tc>
        <w:tc>
          <w:tcPr>
            <w:tcW w:w="3504" w:type="dxa"/>
            <w:tcBorders>
              <w:tl2br w:val="nil"/>
              <w:tr2bl w:val="nil"/>
            </w:tcBorders>
            <w:noWrap w:val="0"/>
            <w:vAlign w:val="center"/>
          </w:tcPr>
          <w:p w14:paraId="7A2F5D5D">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，不涉及车辆运输。</w:t>
            </w:r>
          </w:p>
        </w:tc>
        <w:tc>
          <w:tcPr>
            <w:tcW w:w="1004" w:type="dxa"/>
            <w:tcBorders>
              <w:tl2br w:val="nil"/>
              <w:tr2bl w:val="nil"/>
            </w:tcBorders>
            <w:noWrap w:val="0"/>
            <w:vAlign w:val="center"/>
          </w:tcPr>
          <w:p w14:paraId="62E022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415647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60F753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4E4A1A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633786CA">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8"/>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6.以九龙半岛为重点，加强施工扬尘监管，逐步推进建筑面积2万平方米以上的工地安装在线监控系统。</w:t>
            </w:r>
          </w:p>
        </w:tc>
        <w:tc>
          <w:tcPr>
            <w:tcW w:w="3504" w:type="dxa"/>
            <w:tcBorders>
              <w:tl2br w:val="nil"/>
              <w:tr2bl w:val="nil"/>
            </w:tcBorders>
            <w:noWrap w:val="0"/>
            <w:vAlign w:val="center"/>
          </w:tcPr>
          <w:p w14:paraId="062799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color w:val="auto"/>
                <w:spacing w:val="0"/>
                <w:sz w:val="21"/>
                <w:highlight w:val="none"/>
                <w:lang w:val="en-US" w:eastAsia="zh-CN"/>
              </w:rPr>
              <w:t>项目不涉及。</w:t>
            </w:r>
          </w:p>
        </w:tc>
        <w:tc>
          <w:tcPr>
            <w:tcW w:w="1004" w:type="dxa"/>
            <w:tcBorders>
              <w:tl2br w:val="nil"/>
              <w:tr2bl w:val="nil"/>
            </w:tcBorders>
            <w:noWrap w:val="0"/>
            <w:vAlign w:val="center"/>
          </w:tcPr>
          <w:p w14:paraId="490941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5E028B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7DFAFD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restart"/>
            <w:tcBorders>
              <w:tl2br w:val="nil"/>
              <w:tr2bl w:val="nil"/>
            </w:tcBorders>
            <w:noWrap w:val="0"/>
            <w:vAlign w:val="center"/>
          </w:tcPr>
          <w:p w14:paraId="41DC6C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环境风险防控</w:t>
            </w:r>
          </w:p>
        </w:tc>
        <w:tc>
          <w:tcPr>
            <w:tcW w:w="7210" w:type="dxa"/>
            <w:tcBorders>
              <w:tl2br w:val="nil"/>
              <w:tr2bl w:val="nil"/>
            </w:tcBorders>
            <w:shd w:val="clear" w:color="auto" w:fill="auto"/>
            <w:noWrap w:val="0"/>
            <w:vAlign w:val="center"/>
          </w:tcPr>
          <w:p w14:paraId="058381D4">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1.九龙工业园区禁止新建、扩建排放重金属（铬、镉、汞、砷、铅等五类重金属）、剧毒物质和持久性有机污染物的工业项目</w:t>
            </w:r>
            <w:r>
              <w:rPr>
                <w:rFonts w:hint="eastAsia" w:ascii="Times New Roman" w:hAnsi="Times New Roman" w:eastAsia="宋体" w:cs="Times New Roman"/>
                <w:color w:val="auto"/>
                <w:spacing w:val="0"/>
                <w:kern w:val="0"/>
                <w:sz w:val="21"/>
                <w:szCs w:val="21"/>
                <w:highlight w:val="none"/>
                <w:lang w:val="en-US" w:eastAsia="zh-CN" w:bidi="ar"/>
              </w:rPr>
              <w:t>。</w:t>
            </w:r>
          </w:p>
        </w:tc>
        <w:tc>
          <w:tcPr>
            <w:tcW w:w="3504" w:type="dxa"/>
            <w:vMerge w:val="restart"/>
            <w:tcBorders>
              <w:tl2br w:val="nil"/>
              <w:tr2bl w:val="nil"/>
            </w:tcBorders>
            <w:noWrap w:val="0"/>
            <w:vAlign w:val="center"/>
          </w:tcPr>
          <w:p w14:paraId="2EB4A9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，位于九龙坡区华岩镇，不在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内，不涉及</w:t>
            </w:r>
            <w:r>
              <w:rPr>
                <w:rFonts w:hint="default" w:ascii="Times New Roman" w:hAnsi="Times New Roman" w:eastAsia="宋体" w:cs="Times New Roman"/>
                <w:color w:val="auto"/>
                <w:spacing w:val="0"/>
                <w:kern w:val="0"/>
                <w:sz w:val="21"/>
                <w:szCs w:val="21"/>
                <w:highlight w:val="none"/>
                <w:lang w:val="en-US" w:eastAsia="zh-CN" w:bidi="ar"/>
              </w:rPr>
              <w:t>土壤污染</w:t>
            </w:r>
            <w:r>
              <w:rPr>
                <w:rFonts w:hint="eastAsia" w:ascii="Times New Roman" w:hAnsi="Times New Roman" w:eastAsia="宋体" w:cs="Times New Roman"/>
                <w:color w:val="auto"/>
                <w:spacing w:val="0"/>
                <w:kern w:val="0"/>
                <w:sz w:val="21"/>
                <w:szCs w:val="21"/>
                <w:highlight w:val="none"/>
                <w:lang w:val="en-US" w:eastAsia="zh-CN" w:bidi="ar"/>
              </w:rPr>
              <w:t>地块</w:t>
            </w:r>
            <w:r>
              <w:rPr>
                <w:rFonts w:hint="eastAsia" w:ascii="Times New Roman" w:hAnsi="Times New Roman" w:eastAsia="宋体" w:cs="Times New Roman"/>
                <w:color w:val="auto"/>
                <w:spacing w:val="0"/>
                <w:sz w:val="21"/>
                <w:highlight w:val="none"/>
                <w:lang w:val="en-US" w:eastAsia="zh-CN"/>
              </w:rPr>
              <w:t>。</w:t>
            </w:r>
          </w:p>
        </w:tc>
        <w:tc>
          <w:tcPr>
            <w:tcW w:w="1004" w:type="dxa"/>
            <w:tcBorders>
              <w:tl2br w:val="nil"/>
              <w:tr2bl w:val="nil"/>
            </w:tcBorders>
            <w:noWrap w:val="0"/>
            <w:vAlign w:val="center"/>
          </w:tcPr>
          <w:p w14:paraId="62608C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086E05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68D52E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0C723B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SA"/>
              </w:rPr>
            </w:pPr>
          </w:p>
        </w:tc>
        <w:tc>
          <w:tcPr>
            <w:tcW w:w="7210" w:type="dxa"/>
            <w:tcBorders>
              <w:tl2br w:val="nil"/>
              <w:tr2bl w:val="nil"/>
            </w:tcBorders>
            <w:shd w:val="clear" w:color="auto" w:fill="auto"/>
            <w:noWrap w:val="0"/>
            <w:vAlign w:val="center"/>
          </w:tcPr>
          <w:p w14:paraId="48755CB8">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2.未达到土壤污染风险评估报告确定的风险管控、修复目标的地块，禁止开工建设任何与风险管控、修复无关的项目。</w:t>
            </w:r>
          </w:p>
        </w:tc>
        <w:tc>
          <w:tcPr>
            <w:tcW w:w="3504" w:type="dxa"/>
            <w:vMerge w:val="continue"/>
            <w:tcBorders>
              <w:tl2br w:val="nil"/>
              <w:tr2bl w:val="nil"/>
            </w:tcBorders>
            <w:noWrap w:val="0"/>
            <w:vAlign w:val="center"/>
          </w:tcPr>
          <w:p w14:paraId="6D2067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4" w:type="dxa"/>
            <w:tcBorders>
              <w:tl2br w:val="nil"/>
              <w:tr2bl w:val="nil"/>
            </w:tcBorders>
            <w:noWrap w:val="0"/>
            <w:vAlign w:val="center"/>
          </w:tcPr>
          <w:p w14:paraId="33E732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yellow"/>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3C439C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2107D9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restart"/>
            <w:tcBorders>
              <w:tl2br w:val="nil"/>
              <w:tr2bl w:val="nil"/>
            </w:tcBorders>
            <w:noWrap w:val="0"/>
            <w:vAlign w:val="center"/>
          </w:tcPr>
          <w:p w14:paraId="1FCA1D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资源开发效率要求</w:t>
            </w:r>
          </w:p>
        </w:tc>
        <w:tc>
          <w:tcPr>
            <w:tcW w:w="7210" w:type="dxa"/>
            <w:tcBorders>
              <w:tl2br w:val="nil"/>
              <w:tr2bl w:val="nil"/>
            </w:tcBorders>
            <w:shd w:val="clear" w:color="auto" w:fill="auto"/>
            <w:noWrap w:val="0"/>
            <w:vAlign w:val="center"/>
          </w:tcPr>
          <w:p w14:paraId="33072BCD">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1.新建和改、扩建的工业项目清洁生产水平应达到国内先进水平</w:t>
            </w:r>
            <w:r>
              <w:rPr>
                <w:rFonts w:hint="eastAsia" w:ascii="Times New Roman" w:hAnsi="Times New Roman" w:eastAsia="宋体" w:cs="Times New Roman"/>
                <w:color w:val="auto"/>
                <w:spacing w:val="0"/>
                <w:kern w:val="0"/>
                <w:sz w:val="21"/>
                <w:szCs w:val="21"/>
                <w:highlight w:val="none"/>
                <w:lang w:val="en-US" w:eastAsia="zh-CN" w:bidi="ar"/>
              </w:rPr>
              <w:t>。</w:t>
            </w:r>
          </w:p>
        </w:tc>
        <w:tc>
          <w:tcPr>
            <w:tcW w:w="3504" w:type="dxa"/>
            <w:vMerge w:val="restart"/>
            <w:tcBorders>
              <w:tl2br w:val="nil"/>
              <w:tr2bl w:val="nil"/>
            </w:tcBorders>
            <w:noWrap w:val="0"/>
            <w:vAlign w:val="center"/>
          </w:tcPr>
          <w:p w14:paraId="7F808889">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，不属于工业项目，在满足运营前提条件下优先选用节水设备。</w:t>
            </w:r>
          </w:p>
        </w:tc>
        <w:tc>
          <w:tcPr>
            <w:tcW w:w="1004" w:type="dxa"/>
            <w:tcBorders>
              <w:tl2br w:val="nil"/>
              <w:tr2bl w:val="nil"/>
            </w:tcBorders>
            <w:noWrap w:val="0"/>
            <w:vAlign w:val="center"/>
          </w:tcPr>
          <w:p w14:paraId="1D2C19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31F197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496442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798A62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4427EAB1">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2.加强工业节水改造，限制高耗水行业发展，加强重点监控用水单位监管。</w:t>
            </w:r>
          </w:p>
        </w:tc>
        <w:tc>
          <w:tcPr>
            <w:tcW w:w="3504" w:type="dxa"/>
            <w:vMerge w:val="continue"/>
            <w:tcBorders>
              <w:tl2br w:val="nil"/>
              <w:tr2bl w:val="nil"/>
            </w:tcBorders>
            <w:noWrap w:val="0"/>
            <w:vAlign w:val="center"/>
          </w:tcPr>
          <w:p w14:paraId="5102630F">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4" w:type="dxa"/>
            <w:tcBorders>
              <w:tl2br w:val="nil"/>
              <w:tr2bl w:val="nil"/>
            </w:tcBorders>
            <w:noWrap w:val="0"/>
            <w:vAlign w:val="center"/>
          </w:tcPr>
          <w:p w14:paraId="69A4A4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5AE5EF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5DB986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6FE5D2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6515BECB">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3.推进桃花溪流域中水回用工程建设，加快扬声桥污水处理厂尾水再生利用设施和管网建设。</w:t>
            </w:r>
          </w:p>
        </w:tc>
        <w:tc>
          <w:tcPr>
            <w:tcW w:w="3504" w:type="dxa"/>
            <w:vMerge w:val="continue"/>
            <w:tcBorders>
              <w:tl2br w:val="nil"/>
              <w:tr2bl w:val="nil"/>
            </w:tcBorders>
            <w:noWrap w:val="0"/>
            <w:vAlign w:val="center"/>
          </w:tcPr>
          <w:p w14:paraId="0C27E8DB">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4" w:type="dxa"/>
            <w:tcBorders>
              <w:tl2br w:val="nil"/>
              <w:tr2bl w:val="nil"/>
            </w:tcBorders>
            <w:noWrap w:val="0"/>
            <w:vAlign w:val="center"/>
          </w:tcPr>
          <w:p w14:paraId="47FA11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r w14:paraId="095E3E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60" w:type="dxa"/>
            <w:vMerge w:val="continue"/>
            <w:tcBorders>
              <w:tl2br w:val="nil"/>
              <w:tr2bl w:val="nil"/>
            </w:tcBorders>
            <w:noWrap w:val="0"/>
            <w:vAlign w:val="center"/>
          </w:tcPr>
          <w:p w14:paraId="464F68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yellow"/>
                <w:vertAlign w:val="baseline"/>
                <w:lang w:val="en-US" w:eastAsia="zh-CN"/>
              </w:rPr>
            </w:pPr>
          </w:p>
        </w:tc>
        <w:tc>
          <w:tcPr>
            <w:tcW w:w="974" w:type="dxa"/>
            <w:vMerge w:val="continue"/>
            <w:tcBorders>
              <w:tl2br w:val="nil"/>
              <w:tr2bl w:val="nil"/>
            </w:tcBorders>
            <w:noWrap w:val="0"/>
            <w:vAlign w:val="center"/>
          </w:tcPr>
          <w:p w14:paraId="37B173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210" w:type="dxa"/>
            <w:tcBorders>
              <w:tl2br w:val="nil"/>
              <w:tr2bl w:val="nil"/>
            </w:tcBorders>
            <w:shd w:val="clear" w:color="auto" w:fill="auto"/>
            <w:noWrap w:val="0"/>
            <w:vAlign w:val="center"/>
          </w:tcPr>
          <w:p w14:paraId="2D03B45A">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4.加强城镇节水，开展公共建筑节水改造、城镇供水管网漏损治理工程。</w:t>
            </w:r>
          </w:p>
        </w:tc>
        <w:tc>
          <w:tcPr>
            <w:tcW w:w="3504" w:type="dxa"/>
            <w:vMerge w:val="continue"/>
            <w:tcBorders>
              <w:tl2br w:val="nil"/>
              <w:tr2bl w:val="nil"/>
            </w:tcBorders>
            <w:noWrap w:val="0"/>
            <w:vAlign w:val="center"/>
          </w:tcPr>
          <w:p w14:paraId="1BCEAEF4">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4" w:type="dxa"/>
            <w:tcBorders>
              <w:tl2br w:val="nil"/>
              <w:tr2bl w:val="nil"/>
            </w:tcBorders>
            <w:noWrap w:val="0"/>
            <w:vAlign w:val="center"/>
          </w:tcPr>
          <w:p w14:paraId="22F1DC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符合</w:t>
            </w:r>
          </w:p>
        </w:tc>
      </w:tr>
    </w:tbl>
    <w:p w14:paraId="4A104E5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center"/>
        <w:textAlignment w:val="auto"/>
        <w:rPr>
          <w:rFonts w:hint="default" w:ascii="Times New Roman" w:hAnsi="Times New Roman" w:eastAsia="宋体" w:cs="Times New Roman"/>
          <w:b w:val="0"/>
          <w:bCs w:val="0"/>
          <w:color w:val="auto"/>
          <w:kern w:val="0"/>
          <w:sz w:val="24"/>
          <w:szCs w:val="24"/>
          <w:lang w:val="en-US" w:eastAsia="zh-CN"/>
        </w:rPr>
        <w:sectPr>
          <w:footerReference r:id="rId4"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2"/>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8555"/>
      </w:tblGrid>
      <w:tr w14:paraId="169DD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06" w:hRule="atLeast"/>
        </w:trPr>
        <w:tc>
          <w:tcPr>
            <w:tcW w:w="505" w:type="dxa"/>
            <w:tcBorders>
              <w:tl2br w:val="nil"/>
              <w:tr2bl w:val="nil"/>
            </w:tcBorders>
            <w:noWrap w:val="0"/>
            <w:vAlign w:val="center"/>
          </w:tcPr>
          <w:p w14:paraId="381DD2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4"/>
                <w:szCs w:val="24"/>
                <w:vertAlign w:val="baseline"/>
                <w:lang w:val="en-US" w:eastAsia="zh-CN"/>
              </w:rPr>
              <w:t>其他符合性分析</w:t>
            </w:r>
          </w:p>
        </w:tc>
        <w:tc>
          <w:tcPr>
            <w:tcW w:w="8555" w:type="dxa"/>
            <w:tcBorders>
              <w:tl2br w:val="nil"/>
              <w:tr2bl w:val="nil"/>
            </w:tcBorders>
            <w:noWrap w:val="0"/>
            <w:vAlign w:val="center"/>
          </w:tcPr>
          <w:p w14:paraId="197E1A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color w:val="auto"/>
                <w:sz w:val="24"/>
                <w:szCs w:val="24"/>
                <w:vertAlign w:val="baseline"/>
              </w:rPr>
            </w:pPr>
            <w:r>
              <w:rPr>
                <w:rFonts w:hint="eastAsia" w:cs="Times New Roman"/>
                <w:b/>
                <w:bCs/>
                <w:color w:val="auto"/>
                <w:kern w:val="2"/>
                <w:sz w:val="24"/>
                <w:szCs w:val="24"/>
                <w:vertAlign w:val="baseline"/>
                <w:lang w:val="en-US" w:eastAsia="zh-CN" w:bidi="ar-SA"/>
              </w:rPr>
              <w:t>1.2</w:t>
            </w:r>
            <w:r>
              <w:rPr>
                <w:rFonts w:hint="default" w:ascii="Times New Roman" w:hAnsi="Times New Roman" w:eastAsia="宋体" w:cs="Times New Roman"/>
                <w:b/>
                <w:bCs/>
                <w:color w:val="auto"/>
                <w:sz w:val="24"/>
                <w:szCs w:val="24"/>
                <w:vertAlign w:val="baseline"/>
              </w:rPr>
              <w:t>与《产业结构调整指导目录》</w:t>
            </w:r>
            <w:r>
              <w:rPr>
                <w:rFonts w:hint="eastAsia" w:ascii="Times New Roman" w:hAnsi="Times New Roman" w:eastAsia="宋体" w:cs="Times New Roman"/>
                <w:b/>
                <w:bCs/>
                <w:color w:val="auto"/>
                <w:sz w:val="24"/>
                <w:szCs w:val="24"/>
                <w:vertAlign w:val="baseline"/>
                <w:lang w:eastAsia="zh-CN"/>
              </w:rPr>
              <w:t>（</w:t>
            </w:r>
            <w:r>
              <w:rPr>
                <w:rFonts w:hint="default" w:ascii="Times New Roman" w:hAnsi="Times New Roman" w:eastAsia="宋体" w:cs="Times New Roman"/>
                <w:b/>
                <w:bCs/>
                <w:color w:val="auto"/>
                <w:sz w:val="24"/>
                <w:szCs w:val="24"/>
                <w:vertAlign w:val="baseline"/>
              </w:rPr>
              <w:t>2024年本</w:t>
            </w:r>
            <w:r>
              <w:rPr>
                <w:rFonts w:hint="eastAsia" w:ascii="Times New Roman" w:hAnsi="Times New Roman" w:eastAsia="宋体" w:cs="Times New Roman"/>
                <w:b/>
                <w:bCs/>
                <w:color w:val="auto"/>
                <w:sz w:val="24"/>
                <w:szCs w:val="24"/>
                <w:vertAlign w:val="baseline"/>
                <w:lang w:eastAsia="zh-CN"/>
              </w:rPr>
              <w:t>）</w:t>
            </w:r>
            <w:r>
              <w:rPr>
                <w:rFonts w:hint="default" w:ascii="Times New Roman" w:hAnsi="Times New Roman" w:eastAsia="宋体" w:cs="Times New Roman"/>
                <w:b/>
                <w:bCs/>
                <w:color w:val="auto"/>
                <w:sz w:val="24"/>
                <w:szCs w:val="24"/>
                <w:vertAlign w:val="baseline"/>
              </w:rPr>
              <w:t>符合性分析</w:t>
            </w:r>
          </w:p>
          <w:p w14:paraId="739F75C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根据《产业结构调整指导目录</w:t>
            </w:r>
            <w:r>
              <w:rPr>
                <w:rFonts w:hint="eastAsia"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val="en-US" w:eastAsia="zh-CN"/>
              </w:rPr>
              <w:t>20</w:t>
            </w:r>
            <w:r>
              <w:rPr>
                <w:rFonts w:hint="eastAsia" w:cs="Times New Roman"/>
                <w:b w:val="0"/>
                <w:bCs w:val="0"/>
                <w:color w:val="auto"/>
                <w:kern w:val="0"/>
                <w:sz w:val="24"/>
                <w:szCs w:val="24"/>
                <w:lang w:val="en-US" w:eastAsia="zh-CN"/>
              </w:rPr>
              <w:t>24</w:t>
            </w:r>
            <w:r>
              <w:rPr>
                <w:rFonts w:hint="default" w:ascii="Times New Roman" w:hAnsi="Times New Roman" w:eastAsia="宋体" w:cs="Times New Roman"/>
                <w:b w:val="0"/>
                <w:bCs w:val="0"/>
                <w:color w:val="auto"/>
                <w:kern w:val="0"/>
                <w:sz w:val="24"/>
                <w:szCs w:val="24"/>
                <w:lang w:val="en-US" w:eastAsia="zh-CN"/>
              </w:rPr>
              <w:t>年本</w:t>
            </w:r>
            <w:r>
              <w:rPr>
                <w:rFonts w:hint="eastAsia"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val="en-US" w:eastAsia="zh-CN"/>
              </w:rPr>
              <w:t>》，</w:t>
            </w:r>
            <w:r>
              <w:rPr>
                <w:rFonts w:hint="eastAsia" w:cs="Times New Roman"/>
                <w:b w:val="0"/>
                <w:bCs w:val="0"/>
                <w:color w:val="auto"/>
                <w:kern w:val="0"/>
                <w:sz w:val="24"/>
                <w:szCs w:val="24"/>
                <w:lang w:val="en-US" w:eastAsia="zh-CN"/>
              </w:rPr>
              <w:t>本</w:t>
            </w:r>
            <w:r>
              <w:rPr>
                <w:rFonts w:hint="default" w:ascii="Times New Roman" w:hAnsi="Times New Roman" w:eastAsia="宋体" w:cs="Times New Roman"/>
                <w:b w:val="0"/>
                <w:bCs w:val="0"/>
                <w:color w:val="auto"/>
                <w:kern w:val="0"/>
                <w:sz w:val="24"/>
                <w:szCs w:val="24"/>
                <w:lang w:val="en-US" w:eastAsia="zh-CN"/>
              </w:rPr>
              <w:t>项目不属于鼓励类、限制类和淘汰类，属于允许类项目，符合国家产业政策。</w:t>
            </w:r>
          </w:p>
          <w:p w14:paraId="29A1400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此外，项目</w:t>
            </w:r>
            <w:r>
              <w:rPr>
                <w:rFonts w:hint="eastAsia" w:cs="Times New Roman"/>
                <w:b w:val="0"/>
                <w:bCs w:val="0"/>
                <w:color w:val="auto"/>
                <w:kern w:val="0"/>
                <w:sz w:val="24"/>
                <w:szCs w:val="24"/>
                <w:lang w:val="en-US" w:eastAsia="zh-CN"/>
              </w:rPr>
              <w:t>已取得</w:t>
            </w:r>
            <w:r>
              <w:rPr>
                <w:rFonts w:hint="default" w:ascii="Times New Roman" w:hAnsi="Times New Roman" w:eastAsia="宋体" w:cs="Times New Roman"/>
                <w:b w:val="0"/>
                <w:bCs w:val="0"/>
                <w:color w:val="auto"/>
                <w:kern w:val="0"/>
                <w:sz w:val="24"/>
                <w:szCs w:val="24"/>
                <w:highlight w:val="none"/>
                <w:lang w:val="en-US" w:eastAsia="zh-CN"/>
              </w:rPr>
              <w:t>重庆市</w:t>
            </w:r>
            <w:r>
              <w:rPr>
                <w:rFonts w:hint="eastAsia" w:cs="Times New Roman"/>
                <w:b w:val="0"/>
                <w:bCs w:val="0"/>
                <w:color w:val="auto"/>
                <w:kern w:val="0"/>
                <w:sz w:val="24"/>
                <w:szCs w:val="24"/>
                <w:highlight w:val="none"/>
                <w:lang w:val="en-US" w:eastAsia="zh-CN"/>
              </w:rPr>
              <w:t>九龙坡区</w:t>
            </w:r>
            <w:r>
              <w:rPr>
                <w:rFonts w:hint="default" w:ascii="Times New Roman" w:hAnsi="Times New Roman" w:eastAsia="宋体" w:cs="Times New Roman"/>
                <w:b w:val="0"/>
                <w:bCs w:val="0"/>
                <w:color w:val="auto"/>
                <w:kern w:val="0"/>
                <w:sz w:val="24"/>
                <w:szCs w:val="24"/>
                <w:highlight w:val="none"/>
                <w:lang w:val="en-US" w:eastAsia="zh-CN"/>
              </w:rPr>
              <w:t>发展和改革委员会的《重庆市企业投资项目备案证》</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项目代码</w:t>
            </w:r>
            <w:r>
              <w:rPr>
                <w:rFonts w:hint="eastAsia" w:cs="Times New Roman"/>
                <w:b w:val="0"/>
                <w:bCs w:val="0"/>
                <w:color w:val="auto"/>
                <w:kern w:val="0"/>
                <w:sz w:val="24"/>
                <w:szCs w:val="24"/>
                <w:highlight w:val="none"/>
                <w:lang w:val="en-US" w:eastAsia="zh-CN"/>
              </w:rPr>
              <w:t>2503-500107-04-05-692148</w:t>
            </w:r>
            <w:r>
              <w:rPr>
                <w:rFonts w:hint="eastAsia"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val="en-US" w:eastAsia="zh-CN"/>
              </w:rPr>
              <w:t>因此，综上所述，</w:t>
            </w:r>
            <w:r>
              <w:rPr>
                <w:rFonts w:hint="eastAsia" w:cs="Times New Roman"/>
                <w:b w:val="0"/>
                <w:bCs w:val="0"/>
                <w:color w:val="auto"/>
                <w:kern w:val="0"/>
                <w:sz w:val="24"/>
                <w:szCs w:val="24"/>
                <w:lang w:val="en-US" w:eastAsia="zh-CN"/>
              </w:rPr>
              <w:t>本</w:t>
            </w:r>
            <w:r>
              <w:rPr>
                <w:rFonts w:hint="default" w:ascii="Times New Roman" w:hAnsi="Times New Roman" w:eastAsia="宋体" w:cs="Times New Roman"/>
                <w:b w:val="0"/>
                <w:bCs w:val="0"/>
                <w:color w:val="auto"/>
                <w:kern w:val="0"/>
                <w:sz w:val="24"/>
                <w:szCs w:val="24"/>
                <w:lang w:val="en-US" w:eastAsia="zh-CN"/>
              </w:rPr>
              <w:t>项目符合产业政策的要求。</w:t>
            </w:r>
          </w:p>
          <w:p w14:paraId="15AC9C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auto"/>
                <w:sz w:val="24"/>
                <w:szCs w:val="24"/>
                <w:vertAlign w:val="baseline"/>
              </w:rPr>
            </w:pPr>
            <w:r>
              <w:rPr>
                <w:rFonts w:hint="eastAsia" w:cs="Times New Roman"/>
                <w:b/>
                <w:bCs/>
                <w:color w:val="auto"/>
                <w:sz w:val="24"/>
                <w:szCs w:val="24"/>
                <w:vertAlign w:val="baseline"/>
                <w:lang w:val="en-US" w:eastAsia="zh-CN"/>
              </w:rPr>
              <w:t>1.3</w:t>
            </w:r>
            <w:r>
              <w:rPr>
                <w:rFonts w:hint="default" w:ascii="Times New Roman" w:hAnsi="Times New Roman" w:eastAsia="宋体" w:cs="Times New Roman"/>
                <w:b/>
                <w:bCs/>
                <w:color w:val="auto"/>
                <w:sz w:val="24"/>
                <w:szCs w:val="24"/>
                <w:vertAlign w:val="baseline"/>
              </w:rPr>
              <w:t>与《重庆市发展和改革委员会关于印发重庆市产业投资准入工作手册的通知》</w:t>
            </w:r>
            <w:r>
              <w:rPr>
                <w:rFonts w:hint="eastAsia" w:ascii="Times New Roman" w:hAnsi="Times New Roman" w:eastAsia="宋体" w:cs="Times New Roman"/>
                <w:b/>
                <w:bCs/>
                <w:color w:val="auto"/>
                <w:sz w:val="24"/>
                <w:szCs w:val="24"/>
                <w:vertAlign w:val="baseline"/>
                <w:lang w:eastAsia="zh-CN"/>
              </w:rPr>
              <w:t>（</w:t>
            </w:r>
            <w:r>
              <w:rPr>
                <w:rFonts w:hint="default" w:ascii="Times New Roman" w:hAnsi="Times New Roman" w:eastAsia="宋体" w:cs="Times New Roman"/>
                <w:b/>
                <w:bCs/>
                <w:color w:val="auto"/>
                <w:sz w:val="24"/>
                <w:szCs w:val="24"/>
                <w:vertAlign w:val="baseline"/>
              </w:rPr>
              <w:t>渝发改投资</w:t>
            </w:r>
            <w:r>
              <w:rPr>
                <w:rFonts w:hint="eastAsia" w:cs="Times New Roman"/>
                <w:b/>
                <w:bCs/>
                <w:color w:val="auto"/>
                <w:sz w:val="24"/>
                <w:szCs w:val="24"/>
                <w:vertAlign w:val="baseline"/>
                <w:lang w:eastAsia="zh-CN"/>
              </w:rPr>
              <w:t>〔2022〕1436号</w:t>
            </w:r>
            <w:r>
              <w:rPr>
                <w:rFonts w:hint="eastAsia" w:ascii="Times New Roman" w:hAnsi="Times New Roman" w:eastAsia="宋体" w:cs="Times New Roman"/>
                <w:b/>
                <w:bCs/>
                <w:color w:val="auto"/>
                <w:sz w:val="24"/>
                <w:szCs w:val="24"/>
                <w:vertAlign w:val="baseline"/>
                <w:lang w:eastAsia="zh-CN"/>
              </w:rPr>
              <w:t>）</w:t>
            </w:r>
            <w:r>
              <w:rPr>
                <w:rFonts w:hint="default" w:ascii="Times New Roman" w:hAnsi="Times New Roman" w:eastAsia="宋体" w:cs="Times New Roman"/>
                <w:b/>
                <w:bCs/>
                <w:color w:val="auto"/>
                <w:sz w:val="24"/>
                <w:szCs w:val="24"/>
                <w:vertAlign w:val="baseline"/>
              </w:rPr>
              <w:t>符合性分析</w:t>
            </w:r>
          </w:p>
          <w:p w14:paraId="4236F74A">
            <w:pPr>
              <w:pStyle w:val="6"/>
              <w:spacing w:line="312" w:lineRule="auto"/>
              <w:ind w:firstLine="0" w:firstLineChars="0"/>
              <w:jc w:val="center"/>
              <w:rPr>
                <w:rFonts w:ascii="Times New Roman" w:hAnsi="Times New Roman" w:eastAsia="宋体"/>
                <w:color w:val="auto"/>
                <w:sz w:val="21"/>
              </w:rPr>
            </w:pPr>
            <w:r>
              <w:rPr>
                <w:rFonts w:hint="eastAsia" w:ascii="Times New Roman" w:hAnsi="Times New Roman" w:eastAsia="宋体"/>
                <w:color w:val="auto"/>
                <w:sz w:val="21"/>
              </w:rPr>
              <w:t>表1.3-1 项目与《重庆市产业投资准入工作手册》符合性分析</w:t>
            </w:r>
          </w:p>
          <w:tbl>
            <w:tblPr>
              <w:tblStyle w:val="21"/>
              <w:tblW w:w="82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36"/>
              <w:gridCol w:w="4619"/>
              <w:gridCol w:w="2524"/>
              <w:gridCol w:w="717"/>
            </w:tblGrid>
            <w:tr w14:paraId="45F1D5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436" w:type="dxa"/>
                  <w:tcBorders>
                    <w:tl2br w:val="nil"/>
                    <w:tr2bl w:val="nil"/>
                  </w:tcBorders>
                  <w:noWrap w:val="0"/>
                  <w:vAlign w:val="center"/>
                </w:tcPr>
                <w:p w14:paraId="35ED4161">
                  <w:pPr>
                    <w:snapToGrid w:val="0"/>
                    <w:jc w:val="center"/>
                    <w:rPr>
                      <w:color w:val="auto"/>
                      <w:szCs w:val="21"/>
                    </w:rPr>
                  </w:pPr>
                  <w:r>
                    <w:rPr>
                      <w:rFonts w:hint="eastAsia"/>
                      <w:color w:val="auto"/>
                      <w:szCs w:val="21"/>
                    </w:rPr>
                    <w:t>序号</w:t>
                  </w:r>
                </w:p>
              </w:tc>
              <w:tc>
                <w:tcPr>
                  <w:tcW w:w="4619" w:type="dxa"/>
                  <w:tcBorders>
                    <w:tl2br w:val="nil"/>
                    <w:tr2bl w:val="nil"/>
                  </w:tcBorders>
                  <w:noWrap w:val="0"/>
                  <w:vAlign w:val="center"/>
                </w:tcPr>
                <w:p w14:paraId="0EA4581A">
                  <w:pPr>
                    <w:snapToGrid w:val="0"/>
                    <w:jc w:val="center"/>
                    <w:rPr>
                      <w:color w:val="auto"/>
                      <w:szCs w:val="21"/>
                    </w:rPr>
                  </w:pPr>
                  <w:r>
                    <w:rPr>
                      <w:rFonts w:hint="eastAsia"/>
                      <w:color w:val="auto"/>
                      <w:szCs w:val="21"/>
                    </w:rPr>
                    <w:t>《重庆市产业投资准入工作手册》</w:t>
                  </w:r>
                </w:p>
              </w:tc>
              <w:tc>
                <w:tcPr>
                  <w:tcW w:w="2524" w:type="dxa"/>
                  <w:tcBorders>
                    <w:tl2br w:val="nil"/>
                    <w:tr2bl w:val="nil"/>
                  </w:tcBorders>
                  <w:noWrap w:val="0"/>
                  <w:vAlign w:val="center"/>
                </w:tcPr>
                <w:p w14:paraId="4116F008">
                  <w:pPr>
                    <w:snapToGrid w:val="0"/>
                    <w:jc w:val="center"/>
                    <w:rPr>
                      <w:color w:val="auto"/>
                      <w:szCs w:val="21"/>
                    </w:rPr>
                  </w:pPr>
                  <w:r>
                    <w:rPr>
                      <w:rFonts w:hint="eastAsia"/>
                      <w:color w:val="auto"/>
                      <w:szCs w:val="21"/>
                    </w:rPr>
                    <w:t>项目情况</w:t>
                  </w:r>
                </w:p>
              </w:tc>
              <w:tc>
                <w:tcPr>
                  <w:tcW w:w="717" w:type="dxa"/>
                  <w:tcBorders>
                    <w:tl2br w:val="nil"/>
                    <w:tr2bl w:val="nil"/>
                  </w:tcBorders>
                  <w:noWrap w:val="0"/>
                  <w:vAlign w:val="center"/>
                </w:tcPr>
                <w:p w14:paraId="3706076E">
                  <w:pPr>
                    <w:snapToGrid w:val="0"/>
                    <w:jc w:val="center"/>
                    <w:rPr>
                      <w:color w:val="auto"/>
                      <w:szCs w:val="21"/>
                    </w:rPr>
                  </w:pPr>
                  <w:r>
                    <w:rPr>
                      <w:rFonts w:hint="eastAsia"/>
                      <w:color w:val="auto"/>
                      <w:szCs w:val="21"/>
                    </w:rPr>
                    <w:t>符合性</w:t>
                  </w:r>
                </w:p>
              </w:tc>
            </w:tr>
            <w:tr w14:paraId="5DC3C7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296" w:type="dxa"/>
                  <w:gridSpan w:val="4"/>
                  <w:tcBorders>
                    <w:tl2br w:val="nil"/>
                    <w:tr2bl w:val="nil"/>
                  </w:tcBorders>
                  <w:noWrap w:val="0"/>
                  <w:vAlign w:val="center"/>
                </w:tcPr>
                <w:p w14:paraId="61047956">
                  <w:pPr>
                    <w:snapToGrid w:val="0"/>
                    <w:jc w:val="center"/>
                    <w:rPr>
                      <w:color w:val="auto"/>
                      <w:szCs w:val="21"/>
                    </w:rPr>
                  </w:pPr>
                  <w:r>
                    <w:rPr>
                      <w:rFonts w:hint="eastAsia"/>
                      <w:color w:val="auto"/>
                      <w:szCs w:val="21"/>
                    </w:rPr>
                    <w:t>一、不予准入类</w:t>
                  </w:r>
                </w:p>
              </w:tc>
            </w:tr>
            <w:tr w14:paraId="0C4D30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296" w:type="dxa"/>
                  <w:gridSpan w:val="4"/>
                  <w:tcBorders>
                    <w:tl2br w:val="nil"/>
                    <w:tr2bl w:val="nil"/>
                  </w:tcBorders>
                  <w:noWrap w:val="0"/>
                  <w:vAlign w:val="center"/>
                </w:tcPr>
                <w:p w14:paraId="00D091A3">
                  <w:pPr>
                    <w:snapToGrid w:val="0"/>
                    <w:jc w:val="center"/>
                    <w:rPr>
                      <w:color w:val="auto"/>
                      <w:szCs w:val="21"/>
                    </w:rPr>
                  </w:pPr>
                  <w:r>
                    <w:rPr>
                      <w:rFonts w:hint="eastAsia"/>
                      <w:color w:val="auto"/>
                      <w:szCs w:val="21"/>
                    </w:rPr>
                    <w:t>（一）全市范围内不予准入的产业</w:t>
                  </w:r>
                </w:p>
              </w:tc>
            </w:tr>
            <w:tr w14:paraId="042D9F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1" w:hRule="atLeast"/>
                <w:jc w:val="center"/>
              </w:trPr>
              <w:tc>
                <w:tcPr>
                  <w:tcW w:w="436" w:type="dxa"/>
                  <w:tcBorders>
                    <w:tl2br w:val="nil"/>
                    <w:tr2bl w:val="nil"/>
                  </w:tcBorders>
                  <w:noWrap w:val="0"/>
                  <w:vAlign w:val="center"/>
                </w:tcPr>
                <w:p w14:paraId="58478717">
                  <w:pPr>
                    <w:snapToGrid w:val="0"/>
                    <w:jc w:val="center"/>
                    <w:rPr>
                      <w:color w:val="auto"/>
                      <w:szCs w:val="21"/>
                    </w:rPr>
                  </w:pPr>
                  <w:r>
                    <w:rPr>
                      <w:rFonts w:hint="eastAsia"/>
                      <w:color w:val="auto"/>
                      <w:szCs w:val="21"/>
                    </w:rPr>
                    <w:t>1</w:t>
                  </w:r>
                </w:p>
              </w:tc>
              <w:tc>
                <w:tcPr>
                  <w:tcW w:w="4619" w:type="dxa"/>
                  <w:tcBorders>
                    <w:tl2br w:val="nil"/>
                    <w:tr2bl w:val="nil"/>
                  </w:tcBorders>
                  <w:noWrap w:val="0"/>
                  <w:vAlign w:val="center"/>
                </w:tcPr>
                <w:p w14:paraId="6247CFA7">
                  <w:pPr>
                    <w:snapToGrid w:val="0"/>
                    <w:jc w:val="center"/>
                    <w:rPr>
                      <w:color w:val="auto"/>
                      <w:szCs w:val="21"/>
                    </w:rPr>
                  </w:pPr>
                  <w:r>
                    <w:rPr>
                      <w:rFonts w:hint="eastAsia"/>
                      <w:color w:val="auto"/>
                      <w:szCs w:val="21"/>
                    </w:rPr>
                    <w:t>国家产业结构调整指导目录中的淘汰类项目。</w:t>
                  </w:r>
                </w:p>
              </w:tc>
              <w:tc>
                <w:tcPr>
                  <w:tcW w:w="2524" w:type="dxa"/>
                  <w:tcBorders>
                    <w:tl2br w:val="nil"/>
                    <w:tr2bl w:val="nil"/>
                  </w:tcBorders>
                  <w:noWrap w:val="0"/>
                  <w:vAlign w:val="center"/>
                </w:tcPr>
                <w:p w14:paraId="3125169D">
                  <w:pPr>
                    <w:snapToGrid w:val="0"/>
                    <w:jc w:val="center"/>
                    <w:rPr>
                      <w:color w:val="auto"/>
                      <w:szCs w:val="21"/>
                    </w:rPr>
                  </w:pPr>
                  <w:r>
                    <w:rPr>
                      <w:rFonts w:hint="eastAsia"/>
                      <w:color w:val="auto"/>
                      <w:szCs w:val="21"/>
                    </w:rPr>
                    <w:t>不属于淘汰类项目。</w:t>
                  </w:r>
                </w:p>
              </w:tc>
              <w:tc>
                <w:tcPr>
                  <w:tcW w:w="717" w:type="dxa"/>
                  <w:vMerge w:val="restart"/>
                  <w:tcBorders>
                    <w:tl2br w:val="nil"/>
                    <w:tr2bl w:val="nil"/>
                  </w:tcBorders>
                  <w:noWrap w:val="0"/>
                  <w:vAlign w:val="center"/>
                </w:tcPr>
                <w:p w14:paraId="4EEF5885">
                  <w:pPr>
                    <w:snapToGrid w:val="0"/>
                    <w:jc w:val="center"/>
                    <w:rPr>
                      <w:color w:val="auto"/>
                      <w:szCs w:val="21"/>
                    </w:rPr>
                  </w:pPr>
                  <w:r>
                    <w:rPr>
                      <w:rFonts w:hint="eastAsia"/>
                      <w:color w:val="auto"/>
                      <w:szCs w:val="21"/>
                    </w:rPr>
                    <w:t>符合</w:t>
                  </w:r>
                </w:p>
              </w:tc>
            </w:tr>
            <w:tr w14:paraId="63FBA2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1" w:hRule="atLeast"/>
                <w:jc w:val="center"/>
              </w:trPr>
              <w:tc>
                <w:tcPr>
                  <w:tcW w:w="436" w:type="dxa"/>
                  <w:tcBorders>
                    <w:tl2br w:val="nil"/>
                    <w:tr2bl w:val="nil"/>
                  </w:tcBorders>
                  <w:noWrap w:val="0"/>
                  <w:vAlign w:val="center"/>
                </w:tcPr>
                <w:p w14:paraId="37575B0C">
                  <w:pPr>
                    <w:snapToGrid w:val="0"/>
                    <w:jc w:val="center"/>
                    <w:rPr>
                      <w:color w:val="auto"/>
                      <w:szCs w:val="21"/>
                    </w:rPr>
                  </w:pPr>
                  <w:r>
                    <w:rPr>
                      <w:rFonts w:hint="eastAsia"/>
                      <w:color w:val="auto"/>
                      <w:szCs w:val="21"/>
                    </w:rPr>
                    <w:t>2</w:t>
                  </w:r>
                </w:p>
              </w:tc>
              <w:tc>
                <w:tcPr>
                  <w:tcW w:w="4619" w:type="dxa"/>
                  <w:tcBorders>
                    <w:tl2br w:val="nil"/>
                    <w:tr2bl w:val="nil"/>
                  </w:tcBorders>
                  <w:noWrap w:val="0"/>
                  <w:vAlign w:val="center"/>
                </w:tcPr>
                <w:p w14:paraId="4832BDEC">
                  <w:pPr>
                    <w:snapToGrid w:val="0"/>
                    <w:jc w:val="center"/>
                    <w:rPr>
                      <w:color w:val="auto"/>
                      <w:szCs w:val="21"/>
                    </w:rPr>
                  </w:pPr>
                  <w:r>
                    <w:rPr>
                      <w:rFonts w:hint="eastAsia"/>
                      <w:color w:val="auto"/>
                      <w:szCs w:val="21"/>
                    </w:rPr>
                    <w:t>天然林商业性采伐。</w:t>
                  </w:r>
                </w:p>
              </w:tc>
              <w:tc>
                <w:tcPr>
                  <w:tcW w:w="2524" w:type="dxa"/>
                  <w:tcBorders>
                    <w:tl2br w:val="nil"/>
                    <w:tr2bl w:val="nil"/>
                  </w:tcBorders>
                  <w:noWrap w:val="0"/>
                  <w:vAlign w:val="center"/>
                </w:tcPr>
                <w:p w14:paraId="5F2EA7D1">
                  <w:pPr>
                    <w:snapToGrid w:val="0"/>
                    <w:jc w:val="center"/>
                    <w:rPr>
                      <w:color w:val="auto"/>
                      <w:szCs w:val="21"/>
                    </w:rPr>
                  </w:pPr>
                  <w:r>
                    <w:rPr>
                      <w:rFonts w:hint="eastAsia"/>
                      <w:color w:val="auto"/>
                      <w:szCs w:val="21"/>
                    </w:rPr>
                    <w:t>不涉及。</w:t>
                  </w:r>
                </w:p>
              </w:tc>
              <w:tc>
                <w:tcPr>
                  <w:tcW w:w="717" w:type="dxa"/>
                  <w:vMerge w:val="continue"/>
                  <w:tcBorders>
                    <w:tl2br w:val="nil"/>
                    <w:tr2bl w:val="nil"/>
                  </w:tcBorders>
                  <w:noWrap w:val="0"/>
                  <w:vAlign w:val="center"/>
                </w:tcPr>
                <w:p w14:paraId="24CE7F08">
                  <w:pPr>
                    <w:snapToGrid w:val="0"/>
                    <w:jc w:val="center"/>
                    <w:rPr>
                      <w:color w:val="auto"/>
                      <w:szCs w:val="21"/>
                    </w:rPr>
                  </w:pPr>
                </w:p>
              </w:tc>
            </w:tr>
            <w:tr w14:paraId="2D8A22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5E3707FD">
                  <w:pPr>
                    <w:snapToGrid w:val="0"/>
                    <w:jc w:val="center"/>
                    <w:rPr>
                      <w:color w:val="auto"/>
                      <w:szCs w:val="21"/>
                    </w:rPr>
                  </w:pPr>
                  <w:r>
                    <w:rPr>
                      <w:rFonts w:hint="eastAsia"/>
                      <w:color w:val="auto"/>
                      <w:szCs w:val="21"/>
                    </w:rPr>
                    <w:t>3</w:t>
                  </w:r>
                </w:p>
              </w:tc>
              <w:tc>
                <w:tcPr>
                  <w:tcW w:w="4619" w:type="dxa"/>
                  <w:tcBorders>
                    <w:tl2br w:val="nil"/>
                    <w:tr2bl w:val="nil"/>
                  </w:tcBorders>
                  <w:noWrap w:val="0"/>
                  <w:vAlign w:val="center"/>
                </w:tcPr>
                <w:p w14:paraId="38666592">
                  <w:pPr>
                    <w:snapToGrid w:val="0"/>
                    <w:jc w:val="center"/>
                    <w:rPr>
                      <w:color w:val="auto"/>
                      <w:szCs w:val="21"/>
                    </w:rPr>
                  </w:pPr>
                  <w:r>
                    <w:rPr>
                      <w:rFonts w:hint="eastAsia"/>
                      <w:color w:val="auto"/>
                      <w:szCs w:val="21"/>
                    </w:rPr>
                    <w:t>法律法规和相关政策明令不予准入的其他项目。</w:t>
                  </w:r>
                </w:p>
              </w:tc>
              <w:tc>
                <w:tcPr>
                  <w:tcW w:w="2524" w:type="dxa"/>
                  <w:tcBorders>
                    <w:tl2br w:val="nil"/>
                    <w:tr2bl w:val="nil"/>
                  </w:tcBorders>
                  <w:noWrap w:val="0"/>
                  <w:vAlign w:val="center"/>
                </w:tcPr>
                <w:p w14:paraId="42C6E9C0">
                  <w:pPr>
                    <w:snapToGrid w:val="0"/>
                    <w:jc w:val="center"/>
                    <w:rPr>
                      <w:color w:val="auto"/>
                      <w:szCs w:val="21"/>
                    </w:rPr>
                  </w:pPr>
                  <w:r>
                    <w:rPr>
                      <w:rFonts w:hint="eastAsia"/>
                      <w:color w:val="auto"/>
                      <w:szCs w:val="21"/>
                    </w:rPr>
                    <w:t>不属于法律法规和相关政策明令不予准入的项目。</w:t>
                  </w:r>
                </w:p>
              </w:tc>
              <w:tc>
                <w:tcPr>
                  <w:tcW w:w="717" w:type="dxa"/>
                  <w:vMerge w:val="continue"/>
                  <w:tcBorders>
                    <w:tl2br w:val="nil"/>
                    <w:tr2bl w:val="nil"/>
                  </w:tcBorders>
                  <w:noWrap w:val="0"/>
                  <w:vAlign w:val="center"/>
                </w:tcPr>
                <w:p w14:paraId="13EACE77">
                  <w:pPr>
                    <w:snapToGrid w:val="0"/>
                    <w:jc w:val="center"/>
                    <w:rPr>
                      <w:color w:val="auto"/>
                      <w:szCs w:val="21"/>
                    </w:rPr>
                  </w:pPr>
                </w:p>
              </w:tc>
            </w:tr>
            <w:tr w14:paraId="46815E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296" w:type="dxa"/>
                  <w:gridSpan w:val="4"/>
                  <w:tcBorders>
                    <w:tl2br w:val="nil"/>
                    <w:tr2bl w:val="nil"/>
                  </w:tcBorders>
                  <w:noWrap w:val="0"/>
                  <w:vAlign w:val="center"/>
                </w:tcPr>
                <w:p w14:paraId="22D69B7A">
                  <w:pPr>
                    <w:snapToGrid w:val="0"/>
                    <w:jc w:val="center"/>
                    <w:rPr>
                      <w:color w:val="auto"/>
                      <w:szCs w:val="21"/>
                    </w:rPr>
                  </w:pPr>
                  <w:r>
                    <w:rPr>
                      <w:rFonts w:hint="eastAsia"/>
                      <w:color w:val="auto"/>
                      <w:szCs w:val="21"/>
                    </w:rPr>
                    <w:t>（二）重点区域不予准入的产业</w:t>
                  </w:r>
                </w:p>
              </w:tc>
            </w:tr>
            <w:tr w14:paraId="600A74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1AA3BFAF">
                  <w:pPr>
                    <w:snapToGrid w:val="0"/>
                    <w:jc w:val="center"/>
                    <w:rPr>
                      <w:color w:val="auto"/>
                      <w:szCs w:val="21"/>
                    </w:rPr>
                  </w:pPr>
                  <w:r>
                    <w:rPr>
                      <w:rFonts w:hint="eastAsia"/>
                      <w:color w:val="auto"/>
                      <w:szCs w:val="21"/>
                    </w:rPr>
                    <w:t>1</w:t>
                  </w:r>
                </w:p>
              </w:tc>
              <w:tc>
                <w:tcPr>
                  <w:tcW w:w="4619" w:type="dxa"/>
                  <w:tcBorders>
                    <w:tl2br w:val="nil"/>
                    <w:tr2bl w:val="nil"/>
                  </w:tcBorders>
                  <w:noWrap w:val="0"/>
                  <w:vAlign w:val="center"/>
                </w:tcPr>
                <w:p w14:paraId="2E7CC6E5">
                  <w:pPr>
                    <w:snapToGrid w:val="0"/>
                    <w:jc w:val="center"/>
                    <w:rPr>
                      <w:color w:val="auto"/>
                      <w:szCs w:val="21"/>
                    </w:rPr>
                  </w:pPr>
                  <w:r>
                    <w:rPr>
                      <w:rFonts w:hint="eastAsia"/>
                      <w:color w:val="auto"/>
                      <w:szCs w:val="21"/>
                    </w:rPr>
                    <w:t>外环绕城高速公路以内长江、嘉陵江水域采砂。</w:t>
                  </w:r>
                </w:p>
              </w:tc>
              <w:tc>
                <w:tcPr>
                  <w:tcW w:w="2524" w:type="dxa"/>
                  <w:tcBorders>
                    <w:tl2br w:val="nil"/>
                    <w:tr2bl w:val="nil"/>
                  </w:tcBorders>
                  <w:noWrap w:val="0"/>
                  <w:vAlign w:val="center"/>
                </w:tcPr>
                <w:p w14:paraId="265532EA">
                  <w:pPr>
                    <w:snapToGrid w:val="0"/>
                    <w:jc w:val="center"/>
                    <w:rPr>
                      <w:color w:val="auto"/>
                      <w:szCs w:val="21"/>
                    </w:rPr>
                  </w:pPr>
                  <w:r>
                    <w:rPr>
                      <w:rFonts w:hint="eastAsia"/>
                      <w:color w:val="auto"/>
                      <w:szCs w:val="21"/>
                    </w:rPr>
                    <w:t>不涉及。</w:t>
                  </w:r>
                </w:p>
              </w:tc>
              <w:tc>
                <w:tcPr>
                  <w:tcW w:w="717" w:type="dxa"/>
                  <w:vMerge w:val="restart"/>
                  <w:tcBorders>
                    <w:tl2br w:val="nil"/>
                    <w:tr2bl w:val="nil"/>
                  </w:tcBorders>
                  <w:noWrap w:val="0"/>
                  <w:vAlign w:val="center"/>
                </w:tcPr>
                <w:p w14:paraId="60D9CB91">
                  <w:pPr>
                    <w:snapToGrid w:val="0"/>
                    <w:jc w:val="center"/>
                    <w:rPr>
                      <w:color w:val="auto"/>
                      <w:szCs w:val="21"/>
                    </w:rPr>
                  </w:pPr>
                  <w:r>
                    <w:rPr>
                      <w:rFonts w:hint="eastAsia"/>
                      <w:color w:val="auto"/>
                      <w:szCs w:val="21"/>
                    </w:rPr>
                    <w:t>符合</w:t>
                  </w:r>
                </w:p>
              </w:tc>
            </w:tr>
            <w:tr w14:paraId="799DA5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34B9055F">
                  <w:pPr>
                    <w:snapToGrid w:val="0"/>
                    <w:jc w:val="center"/>
                    <w:rPr>
                      <w:color w:val="auto"/>
                      <w:szCs w:val="21"/>
                    </w:rPr>
                  </w:pPr>
                  <w:r>
                    <w:rPr>
                      <w:rFonts w:hint="eastAsia"/>
                      <w:color w:val="auto"/>
                      <w:szCs w:val="21"/>
                    </w:rPr>
                    <w:t>2</w:t>
                  </w:r>
                </w:p>
              </w:tc>
              <w:tc>
                <w:tcPr>
                  <w:tcW w:w="4619" w:type="dxa"/>
                  <w:tcBorders>
                    <w:tl2br w:val="nil"/>
                    <w:tr2bl w:val="nil"/>
                  </w:tcBorders>
                  <w:noWrap w:val="0"/>
                  <w:vAlign w:val="center"/>
                </w:tcPr>
                <w:p w14:paraId="1E43A292">
                  <w:pPr>
                    <w:snapToGrid w:val="0"/>
                    <w:jc w:val="center"/>
                    <w:rPr>
                      <w:color w:val="auto"/>
                      <w:szCs w:val="21"/>
                    </w:rPr>
                  </w:pPr>
                  <w:r>
                    <w:rPr>
                      <w:rFonts w:hint="eastAsia"/>
                      <w:color w:val="auto"/>
                      <w:szCs w:val="21"/>
                    </w:rPr>
                    <w:t>二十五度以上陡坡地开垦种植农作物。</w:t>
                  </w:r>
                </w:p>
              </w:tc>
              <w:tc>
                <w:tcPr>
                  <w:tcW w:w="2524" w:type="dxa"/>
                  <w:tcBorders>
                    <w:tl2br w:val="nil"/>
                    <w:tr2bl w:val="nil"/>
                  </w:tcBorders>
                  <w:noWrap w:val="0"/>
                  <w:vAlign w:val="center"/>
                </w:tcPr>
                <w:p w14:paraId="330ED987">
                  <w:pPr>
                    <w:snapToGrid w:val="0"/>
                    <w:jc w:val="center"/>
                    <w:rPr>
                      <w:color w:val="auto"/>
                      <w:szCs w:val="21"/>
                    </w:rPr>
                  </w:pPr>
                  <w:r>
                    <w:rPr>
                      <w:rFonts w:hint="eastAsia"/>
                      <w:color w:val="auto"/>
                      <w:szCs w:val="21"/>
                    </w:rPr>
                    <w:t>不涉及。</w:t>
                  </w:r>
                </w:p>
              </w:tc>
              <w:tc>
                <w:tcPr>
                  <w:tcW w:w="717" w:type="dxa"/>
                  <w:vMerge w:val="continue"/>
                  <w:tcBorders>
                    <w:tl2br w:val="nil"/>
                    <w:tr2bl w:val="nil"/>
                  </w:tcBorders>
                  <w:noWrap w:val="0"/>
                  <w:vAlign w:val="center"/>
                </w:tcPr>
                <w:p w14:paraId="3326EC85">
                  <w:pPr>
                    <w:snapToGrid w:val="0"/>
                    <w:jc w:val="center"/>
                    <w:rPr>
                      <w:color w:val="auto"/>
                      <w:szCs w:val="21"/>
                    </w:rPr>
                  </w:pPr>
                </w:p>
              </w:tc>
            </w:tr>
            <w:tr w14:paraId="23E0FF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743A666C">
                  <w:pPr>
                    <w:snapToGrid w:val="0"/>
                    <w:jc w:val="center"/>
                    <w:rPr>
                      <w:color w:val="auto"/>
                      <w:szCs w:val="21"/>
                    </w:rPr>
                  </w:pPr>
                  <w:r>
                    <w:rPr>
                      <w:rFonts w:hint="eastAsia"/>
                      <w:color w:val="auto"/>
                      <w:szCs w:val="21"/>
                    </w:rPr>
                    <w:t>3</w:t>
                  </w:r>
                </w:p>
              </w:tc>
              <w:tc>
                <w:tcPr>
                  <w:tcW w:w="4619" w:type="dxa"/>
                  <w:tcBorders>
                    <w:tl2br w:val="nil"/>
                    <w:tr2bl w:val="nil"/>
                  </w:tcBorders>
                  <w:noWrap w:val="0"/>
                  <w:vAlign w:val="center"/>
                </w:tcPr>
                <w:p w14:paraId="4EFD61CE">
                  <w:pPr>
                    <w:snapToGrid w:val="0"/>
                    <w:jc w:val="center"/>
                    <w:rPr>
                      <w:color w:val="auto"/>
                      <w:szCs w:val="21"/>
                    </w:rPr>
                  </w:pPr>
                  <w:r>
                    <w:rPr>
                      <w:rFonts w:hint="eastAsia"/>
                      <w:color w:val="auto"/>
                      <w:szCs w:val="21"/>
                    </w:rPr>
                    <w:t>在自然保护区核心区、缓冲区的岸线和河段范围内投资建设旅游和生产经营项目。</w:t>
                  </w:r>
                </w:p>
              </w:tc>
              <w:tc>
                <w:tcPr>
                  <w:tcW w:w="2524" w:type="dxa"/>
                  <w:tcBorders>
                    <w:tl2br w:val="nil"/>
                    <w:tr2bl w:val="nil"/>
                  </w:tcBorders>
                  <w:noWrap w:val="0"/>
                  <w:vAlign w:val="center"/>
                </w:tcPr>
                <w:p w14:paraId="19110D62">
                  <w:pPr>
                    <w:snapToGrid w:val="0"/>
                    <w:jc w:val="center"/>
                    <w:rPr>
                      <w:color w:val="auto"/>
                      <w:szCs w:val="21"/>
                    </w:rPr>
                  </w:pPr>
                  <w:r>
                    <w:rPr>
                      <w:rFonts w:hint="eastAsia"/>
                      <w:color w:val="auto"/>
                      <w:szCs w:val="21"/>
                    </w:rPr>
                    <w:t>不在该范围内，且不属于前述项目。</w:t>
                  </w:r>
                </w:p>
              </w:tc>
              <w:tc>
                <w:tcPr>
                  <w:tcW w:w="717" w:type="dxa"/>
                  <w:vMerge w:val="continue"/>
                  <w:tcBorders>
                    <w:tl2br w:val="nil"/>
                    <w:tr2bl w:val="nil"/>
                  </w:tcBorders>
                  <w:noWrap w:val="0"/>
                  <w:vAlign w:val="center"/>
                </w:tcPr>
                <w:p w14:paraId="49290EFE">
                  <w:pPr>
                    <w:snapToGrid w:val="0"/>
                    <w:jc w:val="center"/>
                    <w:rPr>
                      <w:color w:val="auto"/>
                      <w:szCs w:val="21"/>
                    </w:rPr>
                  </w:pPr>
                </w:p>
              </w:tc>
            </w:tr>
            <w:tr w14:paraId="6727AD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30DF2177">
                  <w:pPr>
                    <w:snapToGrid w:val="0"/>
                    <w:jc w:val="center"/>
                    <w:rPr>
                      <w:color w:val="auto"/>
                      <w:szCs w:val="21"/>
                    </w:rPr>
                  </w:pPr>
                  <w:r>
                    <w:rPr>
                      <w:rFonts w:hint="eastAsia"/>
                      <w:color w:val="auto"/>
                      <w:szCs w:val="21"/>
                    </w:rPr>
                    <w:t>4</w:t>
                  </w:r>
                </w:p>
              </w:tc>
              <w:tc>
                <w:tcPr>
                  <w:tcW w:w="4619" w:type="dxa"/>
                  <w:tcBorders>
                    <w:tl2br w:val="nil"/>
                    <w:tr2bl w:val="nil"/>
                  </w:tcBorders>
                  <w:noWrap w:val="0"/>
                  <w:vAlign w:val="center"/>
                </w:tcPr>
                <w:p w14:paraId="79F04060">
                  <w:pPr>
                    <w:snapToGrid w:val="0"/>
                    <w:jc w:val="center"/>
                    <w:rPr>
                      <w:color w:val="auto"/>
                      <w:szCs w:val="21"/>
                    </w:rPr>
                  </w:pPr>
                  <w:r>
                    <w:rPr>
                      <w:rFonts w:hint="eastAsia"/>
                      <w:color w:val="auto"/>
                      <w:szCs w:val="21"/>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524" w:type="dxa"/>
                  <w:tcBorders>
                    <w:tl2br w:val="nil"/>
                    <w:tr2bl w:val="nil"/>
                  </w:tcBorders>
                  <w:noWrap w:val="0"/>
                  <w:vAlign w:val="center"/>
                </w:tcPr>
                <w:p w14:paraId="49D386A9">
                  <w:pPr>
                    <w:snapToGrid w:val="0"/>
                    <w:jc w:val="center"/>
                    <w:rPr>
                      <w:color w:val="auto"/>
                      <w:szCs w:val="21"/>
                    </w:rPr>
                  </w:pPr>
                  <w:r>
                    <w:rPr>
                      <w:rFonts w:hint="eastAsia"/>
                      <w:color w:val="auto"/>
                      <w:szCs w:val="21"/>
                    </w:rPr>
                    <w:t>不在该范围内，且不属于前述项目。</w:t>
                  </w:r>
                </w:p>
              </w:tc>
              <w:tc>
                <w:tcPr>
                  <w:tcW w:w="717" w:type="dxa"/>
                  <w:vMerge w:val="continue"/>
                  <w:tcBorders>
                    <w:tl2br w:val="nil"/>
                    <w:tr2bl w:val="nil"/>
                  </w:tcBorders>
                  <w:noWrap w:val="0"/>
                  <w:vAlign w:val="center"/>
                </w:tcPr>
                <w:p w14:paraId="29AD2AE0">
                  <w:pPr>
                    <w:snapToGrid w:val="0"/>
                    <w:jc w:val="center"/>
                    <w:rPr>
                      <w:color w:val="auto"/>
                      <w:szCs w:val="21"/>
                    </w:rPr>
                  </w:pPr>
                </w:p>
              </w:tc>
            </w:tr>
            <w:tr w14:paraId="1F938C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359F8B97">
                  <w:pPr>
                    <w:snapToGrid w:val="0"/>
                    <w:jc w:val="center"/>
                    <w:rPr>
                      <w:color w:val="auto"/>
                      <w:szCs w:val="21"/>
                    </w:rPr>
                  </w:pPr>
                  <w:r>
                    <w:rPr>
                      <w:rFonts w:hint="eastAsia"/>
                      <w:color w:val="auto"/>
                      <w:szCs w:val="21"/>
                    </w:rPr>
                    <w:t>5</w:t>
                  </w:r>
                </w:p>
              </w:tc>
              <w:tc>
                <w:tcPr>
                  <w:tcW w:w="4619" w:type="dxa"/>
                  <w:tcBorders>
                    <w:tl2br w:val="nil"/>
                    <w:tr2bl w:val="nil"/>
                  </w:tcBorders>
                  <w:noWrap w:val="0"/>
                  <w:vAlign w:val="center"/>
                </w:tcPr>
                <w:p w14:paraId="0AC19215">
                  <w:pPr>
                    <w:snapToGrid w:val="0"/>
                    <w:jc w:val="center"/>
                    <w:rPr>
                      <w:color w:val="auto"/>
                      <w:szCs w:val="21"/>
                    </w:rPr>
                  </w:pPr>
                  <w:r>
                    <w:rPr>
                      <w:rFonts w:hint="eastAsia"/>
                      <w:color w:val="auto"/>
                      <w:szCs w:val="21"/>
                    </w:rPr>
                    <w:t>长江干流岸线3公里范围内和重要支流岸线1公里范围内新建、改建、扩建尾矿库、冶炼渣库和磷石膏库（以提升安全、生态环境保护水平为目的的改建除外）。</w:t>
                  </w:r>
                </w:p>
              </w:tc>
              <w:tc>
                <w:tcPr>
                  <w:tcW w:w="2524" w:type="dxa"/>
                  <w:tcBorders>
                    <w:tl2br w:val="nil"/>
                    <w:tr2bl w:val="nil"/>
                  </w:tcBorders>
                  <w:noWrap w:val="0"/>
                  <w:vAlign w:val="center"/>
                </w:tcPr>
                <w:p w14:paraId="2B33C60A">
                  <w:pPr>
                    <w:snapToGrid w:val="0"/>
                    <w:jc w:val="center"/>
                    <w:rPr>
                      <w:color w:val="auto"/>
                      <w:szCs w:val="21"/>
                    </w:rPr>
                  </w:pPr>
                  <w:r>
                    <w:rPr>
                      <w:rFonts w:hint="eastAsia"/>
                      <w:color w:val="auto"/>
                      <w:szCs w:val="21"/>
                    </w:rPr>
                    <w:t>不涉及尾矿库、冶炼渣库和磷石膏库。</w:t>
                  </w:r>
                </w:p>
              </w:tc>
              <w:tc>
                <w:tcPr>
                  <w:tcW w:w="717" w:type="dxa"/>
                  <w:vMerge w:val="continue"/>
                  <w:tcBorders>
                    <w:tl2br w:val="nil"/>
                    <w:tr2bl w:val="nil"/>
                  </w:tcBorders>
                  <w:noWrap w:val="0"/>
                  <w:vAlign w:val="center"/>
                </w:tcPr>
                <w:p w14:paraId="59510CC8">
                  <w:pPr>
                    <w:snapToGrid w:val="0"/>
                    <w:jc w:val="center"/>
                    <w:rPr>
                      <w:color w:val="auto"/>
                      <w:szCs w:val="21"/>
                    </w:rPr>
                  </w:pPr>
                </w:p>
              </w:tc>
            </w:tr>
            <w:tr w14:paraId="34A11B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74DDFB14">
                  <w:pPr>
                    <w:snapToGrid w:val="0"/>
                    <w:jc w:val="center"/>
                    <w:rPr>
                      <w:color w:val="auto"/>
                      <w:szCs w:val="21"/>
                    </w:rPr>
                  </w:pPr>
                  <w:r>
                    <w:rPr>
                      <w:rFonts w:hint="eastAsia"/>
                      <w:color w:val="auto"/>
                      <w:szCs w:val="21"/>
                    </w:rPr>
                    <w:t>6</w:t>
                  </w:r>
                </w:p>
              </w:tc>
              <w:tc>
                <w:tcPr>
                  <w:tcW w:w="4619" w:type="dxa"/>
                  <w:tcBorders>
                    <w:tl2br w:val="nil"/>
                    <w:tr2bl w:val="nil"/>
                  </w:tcBorders>
                  <w:noWrap w:val="0"/>
                  <w:vAlign w:val="center"/>
                </w:tcPr>
                <w:p w14:paraId="3C5F101D">
                  <w:pPr>
                    <w:snapToGrid w:val="0"/>
                    <w:jc w:val="center"/>
                    <w:rPr>
                      <w:color w:val="auto"/>
                      <w:szCs w:val="21"/>
                    </w:rPr>
                  </w:pPr>
                  <w:r>
                    <w:rPr>
                      <w:rFonts w:hint="eastAsia"/>
                      <w:color w:val="auto"/>
                      <w:szCs w:val="21"/>
                    </w:rPr>
                    <w:t>在风景名胜区核心景区的岸线和河段范围内投资建设与风景名胜资源保护无关的项目。</w:t>
                  </w:r>
                </w:p>
              </w:tc>
              <w:tc>
                <w:tcPr>
                  <w:tcW w:w="2524" w:type="dxa"/>
                  <w:tcBorders>
                    <w:tl2br w:val="nil"/>
                    <w:tr2bl w:val="nil"/>
                  </w:tcBorders>
                  <w:noWrap w:val="0"/>
                  <w:vAlign w:val="center"/>
                </w:tcPr>
                <w:p w14:paraId="44951B55">
                  <w:pPr>
                    <w:snapToGrid w:val="0"/>
                    <w:jc w:val="center"/>
                    <w:rPr>
                      <w:color w:val="auto"/>
                      <w:szCs w:val="21"/>
                    </w:rPr>
                  </w:pPr>
                  <w:r>
                    <w:rPr>
                      <w:rFonts w:hint="eastAsia"/>
                      <w:color w:val="auto"/>
                      <w:szCs w:val="21"/>
                    </w:rPr>
                    <w:t>不在该范围内，且不属于前述项目。</w:t>
                  </w:r>
                </w:p>
              </w:tc>
              <w:tc>
                <w:tcPr>
                  <w:tcW w:w="717" w:type="dxa"/>
                  <w:vMerge w:val="continue"/>
                  <w:tcBorders>
                    <w:tl2br w:val="nil"/>
                    <w:tr2bl w:val="nil"/>
                  </w:tcBorders>
                  <w:noWrap w:val="0"/>
                  <w:vAlign w:val="center"/>
                </w:tcPr>
                <w:p w14:paraId="1A2CCCB7">
                  <w:pPr>
                    <w:snapToGrid w:val="0"/>
                    <w:jc w:val="center"/>
                    <w:rPr>
                      <w:color w:val="auto"/>
                      <w:szCs w:val="21"/>
                    </w:rPr>
                  </w:pPr>
                </w:p>
              </w:tc>
            </w:tr>
            <w:tr w14:paraId="2D1555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3DEEC58C">
                  <w:pPr>
                    <w:snapToGrid w:val="0"/>
                    <w:jc w:val="center"/>
                    <w:rPr>
                      <w:color w:val="auto"/>
                      <w:szCs w:val="21"/>
                    </w:rPr>
                  </w:pPr>
                  <w:r>
                    <w:rPr>
                      <w:rFonts w:hint="eastAsia"/>
                      <w:color w:val="auto"/>
                      <w:szCs w:val="21"/>
                    </w:rPr>
                    <w:t>7</w:t>
                  </w:r>
                </w:p>
              </w:tc>
              <w:tc>
                <w:tcPr>
                  <w:tcW w:w="4619" w:type="dxa"/>
                  <w:tcBorders>
                    <w:tl2br w:val="nil"/>
                    <w:tr2bl w:val="nil"/>
                  </w:tcBorders>
                  <w:noWrap w:val="0"/>
                  <w:vAlign w:val="center"/>
                </w:tcPr>
                <w:p w14:paraId="5BF3466C">
                  <w:pPr>
                    <w:snapToGrid w:val="0"/>
                    <w:jc w:val="center"/>
                    <w:rPr>
                      <w:color w:val="auto"/>
                      <w:szCs w:val="21"/>
                    </w:rPr>
                  </w:pPr>
                  <w:r>
                    <w:rPr>
                      <w:rFonts w:hint="eastAsia"/>
                      <w:color w:val="auto"/>
                      <w:szCs w:val="21"/>
                    </w:rPr>
                    <w:t>在国家湿地公园的岸线和河段范围内挖沙、采矿，以及任何不符合主体功能定位的投资建设项目。</w:t>
                  </w:r>
                </w:p>
              </w:tc>
              <w:tc>
                <w:tcPr>
                  <w:tcW w:w="2524" w:type="dxa"/>
                  <w:tcBorders>
                    <w:tl2br w:val="nil"/>
                    <w:tr2bl w:val="nil"/>
                  </w:tcBorders>
                  <w:noWrap w:val="0"/>
                  <w:vAlign w:val="center"/>
                </w:tcPr>
                <w:p w14:paraId="0572A73B">
                  <w:pPr>
                    <w:snapToGrid w:val="0"/>
                    <w:jc w:val="center"/>
                    <w:rPr>
                      <w:color w:val="auto"/>
                      <w:szCs w:val="21"/>
                    </w:rPr>
                  </w:pPr>
                  <w:r>
                    <w:rPr>
                      <w:rFonts w:hint="eastAsia"/>
                      <w:color w:val="auto"/>
                      <w:szCs w:val="21"/>
                    </w:rPr>
                    <w:t>不在该范围内，且不属于前述项目。</w:t>
                  </w:r>
                </w:p>
              </w:tc>
              <w:tc>
                <w:tcPr>
                  <w:tcW w:w="717" w:type="dxa"/>
                  <w:vMerge w:val="continue"/>
                  <w:tcBorders>
                    <w:tl2br w:val="nil"/>
                    <w:tr2bl w:val="nil"/>
                  </w:tcBorders>
                  <w:noWrap w:val="0"/>
                  <w:vAlign w:val="center"/>
                </w:tcPr>
                <w:p w14:paraId="2220CFE2">
                  <w:pPr>
                    <w:snapToGrid w:val="0"/>
                    <w:jc w:val="center"/>
                    <w:rPr>
                      <w:color w:val="auto"/>
                      <w:szCs w:val="21"/>
                    </w:rPr>
                  </w:pPr>
                </w:p>
              </w:tc>
            </w:tr>
            <w:tr w14:paraId="523E48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21803021">
                  <w:pPr>
                    <w:snapToGrid w:val="0"/>
                    <w:jc w:val="center"/>
                    <w:rPr>
                      <w:color w:val="auto"/>
                      <w:szCs w:val="21"/>
                    </w:rPr>
                  </w:pPr>
                  <w:r>
                    <w:rPr>
                      <w:rFonts w:hint="eastAsia"/>
                      <w:color w:val="auto"/>
                      <w:szCs w:val="21"/>
                    </w:rPr>
                    <w:t>8</w:t>
                  </w:r>
                </w:p>
              </w:tc>
              <w:tc>
                <w:tcPr>
                  <w:tcW w:w="4619" w:type="dxa"/>
                  <w:tcBorders>
                    <w:tl2br w:val="nil"/>
                    <w:tr2bl w:val="nil"/>
                  </w:tcBorders>
                  <w:noWrap w:val="0"/>
                  <w:vAlign w:val="center"/>
                </w:tcPr>
                <w:p w14:paraId="21161088">
                  <w:pPr>
                    <w:snapToGrid w:val="0"/>
                    <w:jc w:val="center"/>
                    <w:rPr>
                      <w:color w:val="auto"/>
                      <w:szCs w:val="21"/>
                    </w:rPr>
                  </w:pPr>
                  <w:r>
                    <w:rPr>
                      <w:rFonts w:hint="eastAsia"/>
                      <w:color w:val="auto"/>
                      <w:szCs w:val="21"/>
                    </w:rPr>
                    <w:t>在《长江岸线保护和开发利用总体规划》划定的岸线保护区和保留区内投资建设除事关公共安全及公众利益的防洪护岸、河道治理、供水、生态环境保护、航道整治、国家重要基础设施以外的项目。</w:t>
                  </w:r>
                </w:p>
              </w:tc>
              <w:tc>
                <w:tcPr>
                  <w:tcW w:w="2524" w:type="dxa"/>
                  <w:tcBorders>
                    <w:tl2br w:val="nil"/>
                    <w:tr2bl w:val="nil"/>
                  </w:tcBorders>
                  <w:noWrap w:val="0"/>
                  <w:vAlign w:val="center"/>
                </w:tcPr>
                <w:p w14:paraId="3557EBED">
                  <w:pPr>
                    <w:snapToGrid w:val="0"/>
                    <w:jc w:val="center"/>
                    <w:rPr>
                      <w:color w:val="auto"/>
                      <w:szCs w:val="21"/>
                    </w:rPr>
                  </w:pPr>
                  <w:r>
                    <w:rPr>
                      <w:rFonts w:hint="eastAsia"/>
                      <w:color w:val="auto"/>
                      <w:szCs w:val="21"/>
                    </w:rPr>
                    <w:t>不在该范围内，且不属于前述项目。</w:t>
                  </w:r>
                </w:p>
              </w:tc>
              <w:tc>
                <w:tcPr>
                  <w:tcW w:w="717" w:type="dxa"/>
                  <w:vMerge w:val="continue"/>
                  <w:tcBorders>
                    <w:tl2br w:val="nil"/>
                    <w:tr2bl w:val="nil"/>
                  </w:tcBorders>
                  <w:noWrap w:val="0"/>
                  <w:vAlign w:val="center"/>
                </w:tcPr>
                <w:p w14:paraId="7F2570E8">
                  <w:pPr>
                    <w:snapToGrid w:val="0"/>
                    <w:jc w:val="center"/>
                    <w:rPr>
                      <w:color w:val="auto"/>
                      <w:szCs w:val="21"/>
                    </w:rPr>
                  </w:pPr>
                </w:p>
              </w:tc>
            </w:tr>
            <w:tr w14:paraId="572238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3A9CF689">
                  <w:pPr>
                    <w:snapToGrid w:val="0"/>
                    <w:jc w:val="center"/>
                    <w:rPr>
                      <w:color w:val="auto"/>
                      <w:szCs w:val="21"/>
                    </w:rPr>
                  </w:pPr>
                  <w:r>
                    <w:rPr>
                      <w:rFonts w:hint="eastAsia"/>
                      <w:color w:val="auto"/>
                      <w:szCs w:val="21"/>
                    </w:rPr>
                    <w:t>9</w:t>
                  </w:r>
                </w:p>
              </w:tc>
              <w:tc>
                <w:tcPr>
                  <w:tcW w:w="4619" w:type="dxa"/>
                  <w:tcBorders>
                    <w:tl2br w:val="nil"/>
                    <w:tr2bl w:val="nil"/>
                  </w:tcBorders>
                  <w:noWrap w:val="0"/>
                  <w:vAlign w:val="center"/>
                </w:tcPr>
                <w:p w14:paraId="1C704776">
                  <w:pPr>
                    <w:snapToGrid w:val="0"/>
                    <w:jc w:val="center"/>
                    <w:rPr>
                      <w:color w:val="auto"/>
                      <w:szCs w:val="21"/>
                    </w:rPr>
                  </w:pPr>
                  <w:r>
                    <w:rPr>
                      <w:rFonts w:hint="eastAsia"/>
                      <w:color w:val="auto"/>
                      <w:szCs w:val="21"/>
                    </w:rPr>
                    <w:t>在《全国重要江河湖泊水功能区划》划定的河段及湖泊保护区、保留区内投资建设不利于水资源及自然生态保护的项目。</w:t>
                  </w:r>
                </w:p>
              </w:tc>
              <w:tc>
                <w:tcPr>
                  <w:tcW w:w="2524" w:type="dxa"/>
                  <w:tcBorders>
                    <w:tl2br w:val="nil"/>
                    <w:tr2bl w:val="nil"/>
                  </w:tcBorders>
                  <w:noWrap w:val="0"/>
                  <w:vAlign w:val="center"/>
                </w:tcPr>
                <w:p w14:paraId="770D8743">
                  <w:pPr>
                    <w:snapToGrid w:val="0"/>
                    <w:jc w:val="center"/>
                    <w:rPr>
                      <w:color w:val="auto"/>
                      <w:szCs w:val="21"/>
                    </w:rPr>
                  </w:pPr>
                  <w:r>
                    <w:rPr>
                      <w:rFonts w:hint="eastAsia"/>
                      <w:color w:val="auto"/>
                      <w:szCs w:val="21"/>
                    </w:rPr>
                    <w:t>不在该范围内，且不属于前述项目。</w:t>
                  </w:r>
                </w:p>
              </w:tc>
              <w:tc>
                <w:tcPr>
                  <w:tcW w:w="717" w:type="dxa"/>
                  <w:vMerge w:val="continue"/>
                  <w:tcBorders>
                    <w:tl2br w:val="nil"/>
                    <w:tr2bl w:val="nil"/>
                  </w:tcBorders>
                  <w:noWrap w:val="0"/>
                  <w:vAlign w:val="center"/>
                </w:tcPr>
                <w:p w14:paraId="0FD96718">
                  <w:pPr>
                    <w:snapToGrid w:val="0"/>
                    <w:jc w:val="center"/>
                    <w:rPr>
                      <w:color w:val="auto"/>
                      <w:szCs w:val="21"/>
                    </w:rPr>
                  </w:pPr>
                </w:p>
              </w:tc>
            </w:tr>
            <w:tr w14:paraId="08E3E8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8296" w:type="dxa"/>
                  <w:gridSpan w:val="4"/>
                  <w:tcBorders>
                    <w:tl2br w:val="nil"/>
                    <w:tr2bl w:val="nil"/>
                  </w:tcBorders>
                  <w:noWrap w:val="0"/>
                  <w:vAlign w:val="center"/>
                </w:tcPr>
                <w:p w14:paraId="798E3429">
                  <w:pPr>
                    <w:snapToGrid w:val="0"/>
                    <w:jc w:val="center"/>
                    <w:rPr>
                      <w:color w:val="auto"/>
                      <w:szCs w:val="21"/>
                    </w:rPr>
                  </w:pPr>
                  <w:r>
                    <w:rPr>
                      <w:rFonts w:hint="eastAsia"/>
                      <w:color w:val="auto"/>
                      <w:szCs w:val="21"/>
                    </w:rPr>
                    <w:t>二、限制准入类</w:t>
                  </w:r>
                </w:p>
              </w:tc>
            </w:tr>
            <w:tr w14:paraId="0EA371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8296" w:type="dxa"/>
                  <w:gridSpan w:val="4"/>
                  <w:tcBorders>
                    <w:tl2br w:val="nil"/>
                    <w:tr2bl w:val="nil"/>
                  </w:tcBorders>
                  <w:noWrap w:val="0"/>
                  <w:vAlign w:val="center"/>
                </w:tcPr>
                <w:p w14:paraId="0A838799">
                  <w:pPr>
                    <w:snapToGrid w:val="0"/>
                    <w:jc w:val="center"/>
                    <w:rPr>
                      <w:color w:val="auto"/>
                      <w:szCs w:val="21"/>
                    </w:rPr>
                  </w:pPr>
                  <w:r>
                    <w:rPr>
                      <w:rFonts w:hint="eastAsia"/>
                      <w:color w:val="auto"/>
                      <w:szCs w:val="21"/>
                    </w:rPr>
                    <w:t>（一）全市范围内限制准入的产业</w:t>
                  </w:r>
                </w:p>
              </w:tc>
            </w:tr>
            <w:tr w14:paraId="617117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6" w:type="dxa"/>
                  <w:tcBorders>
                    <w:tl2br w:val="nil"/>
                    <w:tr2bl w:val="nil"/>
                  </w:tcBorders>
                  <w:noWrap w:val="0"/>
                  <w:vAlign w:val="center"/>
                </w:tcPr>
                <w:p w14:paraId="0E15FCB5">
                  <w:pPr>
                    <w:snapToGrid w:val="0"/>
                    <w:jc w:val="center"/>
                    <w:rPr>
                      <w:color w:val="auto"/>
                      <w:szCs w:val="21"/>
                    </w:rPr>
                  </w:pPr>
                  <w:r>
                    <w:rPr>
                      <w:rFonts w:hint="eastAsia"/>
                      <w:color w:val="auto"/>
                      <w:szCs w:val="21"/>
                    </w:rPr>
                    <w:t>1</w:t>
                  </w:r>
                </w:p>
              </w:tc>
              <w:tc>
                <w:tcPr>
                  <w:tcW w:w="4619" w:type="dxa"/>
                  <w:tcBorders>
                    <w:tl2br w:val="nil"/>
                    <w:tr2bl w:val="nil"/>
                  </w:tcBorders>
                  <w:noWrap w:val="0"/>
                  <w:vAlign w:val="center"/>
                </w:tcPr>
                <w:p w14:paraId="52E0CCEA">
                  <w:pPr>
                    <w:snapToGrid w:val="0"/>
                    <w:jc w:val="center"/>
                    <w:rPr>
                      <w:color w:val="auto"/>
                      <w:szCs w:val="21"/>
                    </w:rPr>
                  </w:pPr>
                  <w:r>
                    <w:rPr>
                      <w:rFonts w:hint="eastAsia"/>
                      <w:color w:val="auto"/>
                      <w:szCs w:val="21"/>
                    </w:rPr>
                    <w:t>新建、扩建不符合国家产能置换要求的严重过剩产能行业的项目。新建、扩建不符合要求的高耗能高排放项目。</w:t>
                  </w:r>
                </w:p>
              </w:tc>
              <w:tc>
                <w:tcPr>
                  <w:tcW w:w="2524" w:type="dxa"/>
                  <w:tcBorders>
                    <w:tl2br w:val="nil"/>
                    <w:tr2bl w:val="nil"/>
                  </w:tcBorders>
                  <w:noWrap w:val="0"/>
                  <w:vAlign w:val="center"/>
                </w:tcPr>
                <w:p w14:paraId="47FBD02E">
                  <w:pPr>
                    <w:snapToGrid w:val="0"/>
                    <w:jc w:val="center"/>
                    <w:rPr>
                      <w:color w:val="auto"/>
                      <w:szCs w:val="21"/>
                    </w:rPr>
                  </w:pPr>
                  <w:r>
                    <w:rPr>
                      <w:rFonts w:hint="eastAsia"/>
                      <w:color w:val="auto"/>
                      <w:szCs w:val="21"/>
                    </w:rPr>
                    <w:t>不属于严重过剩产能行业的项目和高耗能高排放项目。</w:t>
                  </w:r>
                </w:p>
              </w:tc>
              <w:tc>
                <w:tcPr>
                  <w:tcW w:w="717" w:type="dxa"/>
                  <w:vMerge w:val="restart"/>
                  <w:tcBorders>
                    <w:tl2br w:val="nil"/>
                    <w:tr2bl w:val="nil"/>
                  </w:tcBorders>
                  <w:noWrap w:val="0"/>
                  <w:vAlign w:val="center"/>
                </w:tcPr>
                <w:p w14:paraId="762C13EB">
                  <w:pPr>
                    <w:snapToGrid w:val="0"/>
                    <w:jc w:val="center"/>
                    <w:rPr>
                      <w:color w:val="auto"/>
                      <w:szCs w:val="21"/>
                    </w:rPr>
                  </w:pPr>
                  <w:r>
                    <w:rPr>
                      <w:rFonts w:hint="eastAsia"/>
                      <w:color w:val="auto"/>
                      <w:szCs w:val="21"/>
                    </w:rPr>
                    <w:t>符合</w:t>
                  </w:r>
                </w:p>
              </w:tc>
            </w:tr>
            <w:tr w14:paraId="7458AA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6093AAD1">
                  <w:pPr>
                    <w:snapToGrid w:val="0"/>
                    <w:jc w:val="center"/>
                    <w:rPr>
                      <w:color w:val="auto"/>
                      <w:szCs w:val="21"/>
                    </w:rPr>
                  </w:pPr>
                  <w:r>
                    <w:rPr>
                      <w:rFonts w:hint="eastAsia"/>
                      <w:color w:val="auto"/>
                      <w:szCs w:val="21"/>
                    </w:rPr>
                    <w:t>2</w:t>
                  </w:r>
                </w:p>
              </w:tc>
              <w:tc>
                <w:tcPr>
                  <w:tcW w:w="4619" w:type="dxa"/>
                  <w:tcBorders>
                    <w:tl2br w:val="nil"/>
                    <w:tr2bl w:val="nil"/>
                  </w:tcBorders>
                  <w:noWrap w:val="0"/>
                  <w:vAlign w:val="center"/>
                </w:tcPr>
                <w:p w14:paraId="0FFBB472">
                  <w:pPr>
                    <w:snapToGrid w:val="0"/>
                    <w:jc w:val="center"/>
                    <w:rPr>
                      <w:color w:val="auto"/>
                      <w:szCs w:val="21"/>
                    </w:rPr>
                  </w:pPr>
                  <w:r>
                    <w:rPr>
                      <w:rFonts w:hint="eastAsia"/>
                      <w:color w:val="auto"/>
                      <w:szCs w:val="21"/>
                    </w:rPr>
                    <w:t>新建、扩建不符合国家石化、现代煤化工等产业布局规划的项目。</w:t>
                  </w:r>
                </w:p>
              </w:tc>
              <w:tc>
                <w:tcPr>
                  <w:tcW w:w="2524" w:type="dxa"/>
                  <w:tcBorders>
                    <w:tl2br w:val="nil"/>
                    <w:tr2bl w:val="nil"/>
                  </w:tcBorders>
                  <w:noWrap w:val="0"/>
                  <w:vAlign w:val="center"/>
                </w:tcPr>
                <w:p w14:paraId="7B8EDB3F">
                  <w:pPr>
                    <w:snapToGrid w:val="0"/>
                    <w:jc w:val="center"/>
                    <w:rPr>
                      <w:color w:val="auto"/>
                      <w:szCs w:val="21"/>
                    </w:rPr>
                  </w:pPr>
                  <w:r>
                    <w:rPr>
                      <w:rFonts w:hint="eastAsia"/>
                      <w:color w:val="auto"/>
                      <w:szCs w:val="21"/>
                    </w:rPr>
                    <w:t>不属于国家石化、现代煤化工等产业。</w:t>
                  </w:r>
                </w:p>
              </w:tc>
              <w:tc>
                <w:tcPr>
                  <w:tcW w:w="717" w:type="dxa"/>
                  <w:vMerge w:val="continue"/>
                  <w:tcBorders>
                    <w:tl2br w:val="nil"/>
                    <w:tr2bl w:val="nil"/>
                  </w:tcBorders>
                  <w:noWrap w:val="0"/>
                  <w:vAlign w:val="center"/>
                </w:tcPr>
                <w:p w14:paraId="17FCBD76">
                  <w:pPr>
                    <w:snapToGrid w:val="0"/>
                    <w:jc w:val="center"/>
                    <w:rPr>
                      <w:color w:val="auto"/>
                      <w:szCs w:val="21"/>
                    </w:rPr>
                  </w:pPr>
                </w:p>
              </w:tc>
            </w:tr>
            <w:tr w14:paraId="19D0CA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6B9F27D1">
                  <w:pPr>
                    <w:snapToGrid w:val="0"/>
                    <w:jc w:val="center"/>
                    <w:rPr>
                      <w:color w:val="auto"/>
                      <w:szCs w:val="21"/>
                    </w:rPr>
                  </w:pPr>
                  <w:r>
                    <w:rPr>
                      <w:rFonts w:hint="eastAsia"/>
                      <w:color w:val="auto"/>
                      <w:szCs w:val="21"/>
                    </w:rPr>
                    <w:t>3</w:t>
                  </w:r>
                </w:p>
              </w:tc>
              <w:tc>
                <w:tcPr>
                  <w:tcW w:w="4619" w:type="dxa"/>
                  <w:tcBorders>
                    <w:tl2br w:val="nil"/>
                    <w:tr2bl w:val="nil"/>
                  </w:tcBorders>
                  <w:noWrap w:val="0"/>
                  <w:vAlign w:val="center"/>
                </w:tcPr>
                <w:p w14:paraId="7EC666C9">
                  <w:pPr>
                    <w:snapToGrid w:val="0"/>
                    <w:jc w:val="center"/>
                    <w:rPr>
                      <w:color w:val="auto"/>
                      <w:szCs w:val="21"/>
                    </w:rPr>
                  </w:pPr>
                  <w:r>
                    <w:rPr>
                      <w:rFonts w:hint="eastAsia"/>
                      <w:color w:val="auto"/>
                      <w:szCs w:val="21"/>
                    </w:rPr>
                    <w:t>在合规园区外新建、扩建钢铁、石化、化工、焦化、建材、有色、制浆造纸等高污染项目。</w:t>
                  </w:r>
                </w:p>
              </w:tc>
              <w:tc>
                <w:tcPr>
                  <w:tcW w:w="2524" w:type="dxa"/>
                  <w:tcBorders>
                    <w:tl2br w:val="nil"/>
                    <w:tr2bl w:val="nil"/>
                  </w:tcBorders>
                  <w:noWrap w:val="0"/>
                  <w:vAlign w:val="center"/>
                </w:tcPr>
                <w:p w14:paraId="3E99631C">
                  <w:pPr>
                    <w:snapToGrid w:val="0"/>
                    <w:jc w:val="center"/>
                    <w:rPr>
                      <w:color w:val="auto"/>
                      <w:szCs w:val="21"/>
                    </w:rPr>
                  </w:pPr>
                  <w:r>
                    <w:rPr>
                      <w:rFonts w:hint="eastAsia"/>
                      <w:color w:val="auto"/>
                      <w:szCs w:val="21"/>
                    </w:rPr>
                    <w:t>不属于钢铁、石化、化工、焦化、建材、有色、制浆造纸等高污染项目。</w:t>
                  </w:r>
                </w:p>
              </w:tc>
              <w:tc>
                <w:tcPr>
                  <w:tcW w:w="717" w:type="dxa"/>
                  <w:vMerge w:val="continue"/>
                  <w:tcBorders>
                    <w:tl2br w:val="nil"/>
                    <w:tr2bl w:val="nil"/>
                  </w:tcBorders>
                  <w:noWrap w:val="0"/>
                  <w:vAlign w:val="center"/>
                </w:tcPr>
                <w:p w14:paraId="7B920171">
                  <w:pPr>
                    <w:snapToGrid w:val="0"/>
                    <w:jc w:val="center"/>
                    <w:rPr>
                      <w:color w:val="auto"/>
                      <w:szCs w:val="21"/>
                    </w:rPr>
                  </w:pPr>
                </w:p>
              </w:tc>
            </w:tr>
            <w:tr w14:paraId="654FA7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31A06194">
                  <w:pPr>
                    <w:snapToGrid w:val="0"/>
                    <w:jc w:val="center"/>
                    <w:rPr>
                      <w:color w:val="auto"/>
                      <w:szCs w:val="21"/>
                    </w:rPr>
                  </w:pPr>
                  <w:r>
                    <w:rPr>
                      <w:rFonts w:hint="eastAsia"/>
                      <w:color w:val="auto"/>
                      <w:szCs w:val="21"/>
                    </w:rPr>
                    <w:t>4</w:t>
                  </w:r>
                </w:p>
              </w:tc>
              <w:tc>
                <w:tcPr>
                  <w:tcW w:w="4619" w:type="dxa"/>
                  <w:tcBorders>
                    <w:tl2br w:val="nil"/>
                    <w:tr2bl w:val="nil"/>
                  </w:tcBorders>
                  <w:noWrap w:val="0"/>
                  <w:vAlign w:val="center"/>
                </w:tcPr>
                <w:p w14:paraId="197ADAD1">
                  <w:pPr>
                    <w:snapToGrid w:val="0"/>
                    <w:jc w:val="center"/>
                    <w:rPr>
                      <w:color w:val="auto"/>
                      <w:szCs w:val="21"/>
                    </w:rPr>
                  </w:pPr>
                  <w:r>
                    <w:rPr>
                      <w:rFonts w:hint="eastAsia"/>
                      <w:color w:val="auto"/>
                      <w:szCs w:val="21"/>
                    </w:rPr>
                    <w:t>《汽车产业投资管理规定》（国家发展和改革委员会令第22号）明确禁止建设的汽车投资项目。</w:t>
                  </w:r>
                </w:p>
              </w:tc>
              <w:tc>
                <w:tcPr>
                  <w:tcW w:w="2524" w:type="dxa"/>
                  <w:tcBorders>
                    <w:tl2br w:val="nil"/>
                    <w:tr2bl w:val="nil"/>
                  </w:tcBorders>
                  <w:noWrap w:val="0"/>
                  <w:vAlign w:val="center"/>
                </w:tcPr>
                <w:p w14:paraId="066E800F">
                  <w:pPr>
                    <w:snapToGrid w:val="0"/>
                    <w:jc w:val="center"/>
                    <w:rPr>
                      <w:color w:val="auto"/>
                      <w:szCs w:val="21"/>
                    </w:rPr>
                  </w:pPr>
                  <w:r>
                    <w:rPr>
                      <w:rFonts w:hint="eastAsia"/>
                      <w:color w:val="auto"/>
                      <w:szCs w:val="21"/>
                    </w:rPr>
                    <w:t>不属于汽车投资项目。</w:t>
                  </w:r>
                </w:p>
              </w:tc>
              <w:tc>
                <w:tcPr>
                  <w:tcW w:w="717" w:type="dxa"/>
                  <w:vMerge w:val="continue"/>
                  <w:tcBorders>
                    <w:tl2br w:val="nil"/>
                    <w:tr2bl w:val="nil"/>
                  </w:tcBorders>
                  <w:noWrap w:val="0"/>
                  <w:vAlign w:val="center"/>
                </w:tcPr>
                <w:p w14:paraId="32075326">
                  <w:pPr>
                    <w:snapToGrid w:val="0"/>
                    <w:jc w:val="center"/>
                    <w:rPr>
                      <w:color w:val="auto"/>
                      <w:szCs w:val="21"/>
                    </w:rPr>
                  </w:pPr>
                </w:p>
              </w:tc>
            </w:tr>
            <w:tr w14:paraId="3A57E6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296" w:type="dxa"/>
                  <w:gridSpan w:val="4"/>
                  <w:tcBorders>
                    <w:tl2br w:val="nil"/>
                    <w:tr2bl w:val="nil"/>
                  </w:tcBorders>
                  <w:noWrap w:val="0"/>
                  <w:vAlign w:val="center"/>
                </w:tcPr>
                <w:p w14:paraId="15207ED6">
                  <w:pPr>
                    <w:snapToGrid w:val="0"/>
                    <w:jc w:val="center"/>
                    <w:rPr>
                      <w:color w:val="auto"/>
                      <w:szCs w:val="21"/>
                    </w:rPr>
                  </w:pPr>
                  <w:r>
                    <w:rPr>
                      <w:rFonts w:hint="eastAsia"/>
                      <w:color w:val="auto"/>
                      <w:szCs w:val="21"/>
                    </w:rPr>
                    <w:t>（二）重点区域范围内限制准入的产业</w:t>
                  </w:r>
                </w:p>
              </w:tc>
            </w:tr>
            <w:tr w14:paraId="5FDA75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774AD0CC">
                  <w:pPr>
                    <w:snapToGrid w:val="0"/>
                    <w:jc w:val="center"/>
                    <w:rPr>
                      <w:color w:val="auto"/>
                      <w:szCs w:val="21"/>
                    </w:rPr>
                  </w:pPr>
                  <w:r>
                    <w:rPr>
                      <w:rFonts w:hint="eastAsia"/>
                      <w:color w:val="auto"/>
                      <w:szCs w:val="21"/>
                    </w:rPr>
                    <w:t>1</w:t>
                  </w:r>
                </w:p>
              </w:tc>
              <w:tc>
                <w:tcPr>
                  <w:tcW w:w="4619" w:type="dxa"/>
                  <w:tcBorders>
                    <w:tl2br w:val="nil"/>
                    <w:tr2bl w:val="nil"/>
                  </w:tcBorders>
                  <w:noWrap w:val="0"/>
                  <w:vAlign w:val="center"/>
                </w:tcPr>
                <w:p w14:paraId="27DDA2D2">
                  <w:pPr>
                    <w:snapToGrid w:val="0"/>
                    <w:jc w:val="center"/>
                    <w:rPr>
                      <w:color w:val="auto"/>
                      <w:szCs w:val="21"/>
                    </w:rPr>
                  </w:pPr>
                  <w:r>
                    <w:rPr>
                      <w:rFonts w:hint="eastAsia"/>
                      <w:color w:val="auto"/>
                      <w:szCs w:val="21"/>
                    </w:rPr>
                    <w:t>长江干支流、重要湖泊岸线1公里范围内新建、扩建化工园区和化工项目，长江、嘉陵江、乌江岸线1公里范围内布局新建纸浆制造、印染等存在环境风险的项目。</w:t>
                  </w:r>
                </w:p>
              </w:tc>
              <w:tc>
                <w:tcPr>
                  <w:tcW w:w="2524" w:type="dxa"/>
                  <w:tcBorders>
                    <w:tl2br w:val="nil"/>
                    <w:tr2bl w:val="nil"/>
                  </w:tcBorders>
                  <w:noWrap w:val="0"/>
                  <w:vAlign w:val="center"/>
                </w:tcPr>
                <w:p w14:paraId="004268C5">
                  <w:pPr>
                    <w:snapToGrid w:val="0"/>
                    <w:jc w:val="center"/>
                    <w:rPr>
                      <w:color w:val="auto"/>
                      <w:szCs w:val="21"/>
                    </w:rPr>
                  </w:pPr>
                  <w:r>
                    <w:rPr>
                      <w:rFonts w:hint="eastAsia"/>
                      <w:color w:val="auto"/>
                      <w:szCs w:val="21"/>
                    </w:rPr>
                    <w:t>不属于化工、纸浆制造、印染等项目。</w:t>
                  </w:r>
                </w:p>
              </w:tc>
              <w:tc>
                <w:tcPr>
                  <w:tcW w:w="717" w:type="dxa"/>
                  <w:vMerge w:val="restart"/>
                  <w:tcBorders>
                    <w:tl2br w:val="nil"/>
                    <w:tr2bl w:val="nil"/>
                  </w:tcBorders>
                  <w:noWrap w:val="0"/>
                  <w:vAlign w:val="center"/>
                </w:tcPr>
                <w:p w14:paraId="14B0E2E8">
                  <w:pPr>
                    <w:snapToGrid w:val="0"/>
                    <w:jc w:val="center"/>
                    <w:rPr>
                      <w:color w:val="auto"/>
                      <w:szCs w:val="21"/>
                    </w:rPr>
                  </w:pPr>
                  <w:r>
                    <w:rPr>
                      <w:rFonts w:hint="eastAsia"/>
                      <w:color w:val="auto"/>
                      <w:szCs w:val="21"/>
                    </w:rPr>
                    <w:t>符合</w:t>
                  </w:r>
                </w:p>
              </w:tc>
            </w:tr>
            <w:tr w14:paraId="38FE0A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36" w:type="dxa"/>
                  <w:tcBorders>
                    <w:tl2br w:val="nil"/>
                    <w:tr2bl w:val="nil"/>
                  </w:tcBorders>
                  <w:noWrap w:val="0"/>
                  <w:vAlign w:val="center"/>
                </w:tcPr>
                <w:p w14:paraId="370BAB57">
                  <w:pPr>
                    <w:snapToGrid w:val="0"/>
                    <w:jc w:val="center"/>
                    <w:rPr>
                      <w:color w:val="auto"/>
                      <w:szCs w:val="21"/>
                    </w:rPr>
                  </w:pPr>
                  <w:r>
                    <w:rPr>
                      <w:rFonts w:hint="eastAsia"/>
                      <w:color w:val="auto"/>
                      <w:szCs w:val="21"/>
                    </w:rPr>
                    <w:t>2</w:t>
                  </w:r>
                </w:p>
              </w:tc>
              <w:tc>
                <w:tcPr>
                  <w:tcW w:w="4619" w:type="dxa"/>
                  <w:tcBorders>
                    <w:tl2br w:val="nil"/>
                    <w:tr2bl w:val="nil"/>
                  </w:tcBorders>
                  <w:noWrap w:val="0"/>
                  <w:vAlign w:val="center"/>
                </w:tcPr>
                <w:p w14:paraId="360D4AFE">
                  <w:pPr>
                    <w:snapToGrid w:val="0"/>
                    <w:jc w:val="center"/>
                    <w:rPr>
                      <w:color w:val="auto"/>
                      <w:szCs w:val="21"/>
                    </w:rPr>
                  </w:pPr>
                  <w:r>
                    <w:rPr>
                      <w:rFonts w:hint="eastAsia"/>
                      <w:color w:val="auto"/>
                      <w:szCs w:val="21"/>
                    </w:rPr>
                    <w:t>在水产种质资源保护区的岸线和河段范围内新建围湖造田等投资建设项目。</w:t>
                  </w:r>
                </w:p>
              </w:tc>
              <w:tc>
                <w:tcPr>
                  <w:tcW w:w="2524" w:type="dxa"/>
                  <w:tcBorders>
                    <w:tl2br w:val="nil"/>
                    <w:tr2bl w:val="nil"/>
                  </w:tcBorders>
                  <w:noWrap w:val="0"/>
                  <w:vAlign w:val="center"/>
                </w:tcPr>
                <w:p w14:paraId="25003858">
                  <w:pPr>
                    <w:snapToGrid w:val="0"/>
                    <w:jc w:val="center"/>
                    <w:rPr>
                      <w:color w:val="auto"/>
                      <w:szCs w:val="21"/>
                    </w:rPr>
                  </w:pPr>
                  <w:r>
                    <w:rPr>
                      <w:rFonts w:hint="eastAsia"/>
                      <w:color w:val="auto"/>
                      <w:szCs w:val="21"/>
                    </w:rPr>
                    <w:t>不在该范围内，且不属于前述项目。</w:t>
                  </w:r>
                </w:p>
              </w:tc>
              <w:tc>
                <w:tcPr>
                  <w:tcW w:w="717" w:type="dxa"/>
                  <w:vMerge w:val="continue"/>
                  <w:tcBorders>
                    <w:tl2br w:val="nil"/>
                    <w:tr2bl w:val="nil"/>
                  </w:tcBorders>
                  <w:noWrap w:val="0"/>
                  <w:vAlign w:val="center"/>
                </w:tcPr>
                <w:p w14:paraId="68862C25">
                  <w:pPr>
                    <w:snapToGrid w:val="0"/>
                    <w:jc w:val="center"/>
                    <w:rPr>
                      <w:color w:val="auto"/>
                      <w:szCs w:val="21"/>
                    </w:rPr>
                  </w:pPr>
                </w:p>
              </w:tc>
            </w:tr>
          </w:tbl>
          <w:p w14:paraId="5634FBC5">
            <w:pPr>
              <w:autoSpaceDE w:val="0"/>
              <w:autoSpaceDN w:val="0"/>
              <w:adjustRightInd w:val="0"/>
              <w:snapToGrid w:val="0"/>
              <w:spacing w:before="120" w:beforeLines="50" w:line="360" w:lineRule="auto"/>
              <w:rPr>
                <w:b/>
                <w:bCs/>
                <w:color w:val="auto"/>
                <w:sz w:val="24"/>
                <w:szCs w:val="32"/>
              </w:rPr>
            </w:pPr>
            <w:r>
              <w:rPr>
                <w:rFonts w:hint="eastAsia"/>
                <w:b/>
                <w:bCs/>
                <w:color w:val="auto"/>
                <w:sz w:val="24"/>
                <w:szCs w:val="32"/>
                <w:lang w:val="en-US" w:eastAsia="zh-CN"/>
              </w:rPr>
              <w:t>1.4</w:t>
            </w:r>
            <w:r>
              <w:rPr>
                <w:rFonts w:hint="eastAsia"/>
                <w:b/>
                <w:bCs/>
                <w:color w:val="auto"/>
                <w:sz w:val="24"/>
                <w:szCs w:val="32"/>
              </w:rPr>
              <w:t>与</w:t>
            </w:r>
            <w:bookmarkStart w:id="1" w:name="_Hlk115967864"/>
            <w:r>
              <w:rPr>
                <w:rFonts w:hint="eastAsia"/>
                <w:b/>
                <w:bCs/>
                <w:color w:val="auto"/>
                <w:sz w:val="24"/>
                <w:szCs w:val="32"/>
              </w:rPr>
              <w:t>《四川省、重庆市长江经济带发展负面清单实施细则（试行，2022年版）的通知》（川长江办〔2022〕17号）符合性分析</w:t>
            </w:r>
            <w:bookmarkEnd w:id="1"/>
          </w:p>
          <w:p w14:paraId="5B1AED10">
            <w:pPr>
              <w:pStyle w:val="56"/>
              <w:keepNext w:val="0"/>
              <w:keepLines w:val="0"/>
              <w:pageBreakBefore w:val="0"/>
              <w:widowControl w:val="0"/>
              <w:kinsoku/>
              <w:wordWrap/>
              <w:overflowPunct/>
              <w:topLinePunct w:val="0"/>
              <w:autoSpaceDE/>
              <w:autoSpaceDN/>
              <w:bidi w:val="0"/>
              <w:adjustRightInd/>
              <w:snapToGrid/>
              <w:spacing w:before="0" w:beforeLines="0" w:line="360" w:lineRule="auto"/>
              <w:textAlignment w:val="auto"/>
              <w:rPr>
                <w:b w:val="0"/>
                <w:bCs/>
                <w:color w:val="auto"/>
                <w:sz w:val="21"/>
                <w:szCs w:val="21"/>
              </w:rPr>
            </w:pPr>
            <w:r>
              <w:rPr>
                <w:b w:val="0"/>
                <w:bCs/>
                <w:color w:val="auto"/>
                <w:sz w:val="21"/>
                <w:szCs w:val="21"/>
              </w:rPr>
              <w:t>表</w:t>
            </w:r>
            <w:r>
              <w:rPr>
                <w:rFonts w:hint="eastAsia"/>
                <w:b w:val="0"/>
                <w:bCs/>
                <w:color w:val="auto"/>
                <w:sz w:val="21"/>
                <w:szCs w:val="21"/>
              </w:rPr>
              <w:t>1.</w:t>
            </w:r>
            <w:r>
              <w:rPr>
                <w:rFonts w:hint="eastAsia"/>
                <w:b w:val="0"/>
                <w:bCs/>
                <w:color w:val="auto"/>
                <w:sz w:val="21"/>
                <w:szCs w:val="21"/>
                <w:lang w:val="en-US" w:eastAsia="zh-CN"/>
              </w:rPr>
              <w:t>4-1</w:t>
            </w:r>
            <w:r>
              <w:rPr>
                <w:rFonts w:hint="eastAsia"/>
                <w:b w:val="0"/>
                <w:bCs/>
                <w:color w:val="auto"/>
                <w:sz w:val="21"/>
                <w:szCs w:val="21"/>
              </w:rPr>
              <w:t xml:space="preserve"> </w:t>
            </w:r>
            <w:r>
              <w:rPr>
                <w:b w:val="0"/>
                <w:bCs/>
                <w:color w:val="auto"/>
                <w:sz w:val="21"/>
                <w:szCs w:val="21"/>
              </w:rPr>
              <w:t>与《四川省、重庆市长江经济带发展负面清单实施细则》的符合性分析</w:t>
            </w:r>
          </w:p>
          <w:tbl>
            <w:tblPr>
              <w:tblStyle w:val="21"/>
              <w:tblW w:w="8306" w:type="dxa"/>
              <w:tblInd w:w="-1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03"/>
              <w:gridCol w:w="4924"/>
              <w:gridCol w:w="1740"/>
              <w:gridCol w:w="939"/>
            </w:tblGrid>
            <w:tr w14:paraId="670E8C25">
              <w:tblPrEx>
                <w:tblCellMar>
                  <w:top w:w="0" w:type="dxa"/>
                  <w:left w:w="108" w:type="dxa"/>
                  <w:bottom w:w="0" w:type="dxa"/>
                  <w:right w:w="108" w:type="dxa"/>
                </w:tblCellMar>
              </w:tblPrEx>
              <w:tc>
                <w:tcPr>
                  <w:tcW w:w="703" w:type="dxa"/>
                  <w:tcBorders>
                    <w:tl2br w:val="nil"/>
                    <w:tr2bl w:val="nil"/>
                  </w:tcBorders>
                  <w:noWrap w:val="0"/>
                  <w:vAlign w:val="center"/>
                </w:tcPr>
                <w:p w14:paraId="4649FB07">
                  <w:pPr>
                    <w:snapToGrid w:val="0"/>
                    <w:jc w:val="center"/>
                    <w:rPr>
                      <w:color w:val="auto"/>
                    </w:rPr>
                  </w:pPr>
                  <w:r>
                    <w:rPr>
                      <w:color w:val="auto"/>
                    </w:rPr>
                    <w:t>序号</w:t>
                  </w:r>
                </w:p>
              </w:tc>
              <w:tc>
                <w:tcPr>
                  <w:tcW w:w="4924" w:type="dxa"/>
                  <w:tcBorders>
                    <w:tl2br w:val="nil"/>
                    <w:tr2bl w:val="nil"/>
                  </w:tcBorders>
                  <w:noWrap w:val="0"/>
                  <w:vAlign w:val="center"/>
                </w:tcPr>
                <w:p w14:paraId="0509D46F">
                  <w:pPr>
                    <w:snapToGrid w:val="0"/>
                    <w:jc w:val="center"/>
                    <w:rPr>
                      <w:color w:val="auto"/>
                    </w:rPr>
                  </w:pPr>
                  <w:r>
                    <w:rPr>
                      <w:color w:val="auto"/>
                    </w:rPr>
                    <w:t>条件</w:t>
                  </w:r>
                </w:p>
              </w:tc>
              <w:tc>
                <w:tcPr>
                  <w:tcW w:w="1740" w:type="dxa"/>
                  <w:tcBorders>
                    <w:tl2br w:val="nil"/>
                    <w:tr2bl w:val="nil"/>
                  </w:tcBorders>
                  <w:noWrap w:val="0"/>
                  <w:vAlign w:val="center"/>
                </w:tcPr>
                <w:p w14:paraId="69520B12">
                  <w:pPr>
                    <w:snapToGrid w:val="0"/>
                    <w:jc w:val="center"/>
                    <w:rPr>
                      <w:color w:val="auto"/>
                    </w:rPr>
                  </w:pPr>
                  <w:r>
                    <w:rPr>
                      <w:rFonts w:hint="eastAsia"/>
                      <w:color w:val="auto"/>
                      <w:lang w:val="en-US" w:eastAsia="zh-CN"/>
                    </w:rPr>
                    <w:t>建设</w:t>
                  </w:r>
                  <w:r>
                    <w:rPr>
                      <w:rFonts w:hint="eastAsia"/>
                      <w:color w:val="auto"/>
                    </w:rPr>
                    <w:t>项目情况</w:t>
                  </w:r>
                </w:p>
              </w:tc>
              <w:tc>
                <w:tcPr>
                  <w:tcW w:w="939" w:type="dxa"/>
                  <w:tcBorders>
                    <w:tl2br w:val="nil"/>
                    <w:tr2bl w:val="nil"/>
                  </w:tcBorders>
                  <w:noWrap w:val="0"/>
                  <w:vAlign w:val="center"/>
                </w:tcPr>
                <w:p w14:paraId="778B2AF2">
                  <w:pPr>
                    <w:snapToGrid w:val="0"/>
                    <w:jc w:val="center"/>
                    <w:rPr>
                      <w:color w:val="auto"/>
                    </w:rPr>
                  </w:pPr>
                  <w:r>
                    <w:rPr>
                      <w:rFonts w:hint="eastAsia"/>
                      <w:color w:val="auto"/>
                    </w:rPr>
                    <w:t>符合性</w:t>
                  </w:r>
                </w:p>
              </w:tc>
            </w:tr>
            <w:tr w14:paraId="2DE04E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2A76F48B">
                  <w:pPr>
                    <w:snapToGrid w:val="0"/>
                    <w:jc w:val="center"/>
                    <w:rPr>
                      <w:color w:val="auto"/>
                    </w:rPr>
                  </w:pPr>
                  <w:r>
                    <w:rPr>
                      <w:color w:val="auto"/>
                    </w:rPr>
                    <w:t>1</w:t>
                  </w:r>
                </w:p>
              </w:tc>
              <w:tc>
                <w:tcPr>
                  <w:tcW w:w="4924" w:type="dxa"/>
                  <w:tcBorders>
                    <w:tl2br w:val="nil"/>
                    <w:tr2bl w:val="nil"/>
                  </w:tcBorders>
                  <w:noWrap w:val="0"/>
                  <w:vAlign w:val="center"/>
                </w:tcPr>
                <w:p w14:paraId="765F0F8F">
                  <w:pPr>
                    <w:snapToGrid w:val="0"/>
                    <w:jc w:val="center"/>
                    <w:rPr>
                      <w:color w:val="auto"/>
                    </w:rPr>
                  </w:pPr>
                  <w:r>
                    <w:rPr>
                      <w:color w:val="auto"/>
                    </w:rPr>
                    <w:t>禁止新建、改建和扩建不符合《全国内河航道与港</w:t>
                  </w:r>
                  <w:r>
                    <w:rPr>
                      <w:rFonts w:hint="eastAsia"/>
                      <w:color w:val="auto"/>
                    </w:rPr>
                    <w:t>口布局规划》等</w:t>
                  </w:r>
                  <w:r>
                    <w:rPr>
                      <w:color w:val="auto"/>
                    </w:rPr>
                    <w:t>全国港口布局规划</w:t>
                  </w:r>
                  <w:r>
                    <w:rPr>
                      <w:rFonts w:hint="eastAsia"/>
                      <w:color w:val="auto"/>
                    </w:rPr>
                    <w:t>，</w:t>
                  </w:r>
                  <w:r>
                    <w:rPr>
                      <w:color w:val="auto"/>
                    </w:rPr>
                    <w:t>以及《四川省内河水运发展规划》《泸州</w:t>
                  </w:r>
                  <w:r>
                    <w:rPr>
                      <w:rFonts w:hint="eastAsia"/>
                      <w:color w:val="auto"/>
                    </w:rPr>
                    <w:t>—</w:t>
                  </w:r>
                  <w:r>
                    <w:rPr>
                      <w:color w:val="auto"/>
                    </w:rPr>
                    <w:t>宜宾</w:t>
                  </w:r>
                  <w:r>
                    <w:rPr>
                      <w:rFonts w:hint="eastAsia"/>
                      <w:color w:val="auto"/>
                    </w:rPr>
                    <w:t>—</w:t>
                  </w:r>
                  <w:r>
                    <w:rPr>
                      <w:color w:val="auto"/>
                    </w:rPr>
                    <w:t>乐山港口群布局规划》《重庆港总体规划</w:t>
                  </w:r>
                  <w:r>
                    <w:rPr>
                      <w:rFonts w:hint="eastAsia"/>
                      <w:color w:val="auto"/>
                    </w:rPr>
                    <w:t>（</w:t>
                  </w:r>
                  <w:r>
                    <w:rPr>
                      <w:color w:val="auto"/>
                    </w:rPr>
                    <w:t>203</w:t>
                  </w:r>
                  <w:r>
                    <w:rPr>
                      <w:rFonts w:hint="eastAsia"/>
                      <w:color w:val="auto"/>
                    </w:rPr>
                    <w:t>5</w:t>
                  </w:r>
                  <w:r>
                    <w:rPr>
                      <w:color w:val="auto"/>
                    </w:rPr>
                    <w:t>年）》等省级港口布局规划及市级港口总体规划的码头项目。</w:t>
                  </w:r>
                </w:p>
              </w:tc>
              <w:tc>
                <w:tcPr>
                  <w:tcW w:w="1740" w:type="dxa"/>
                  <w:tcBorders>
                    <w:tl2br w:val="nil"/>
                    <w:tr2bl w:val="nil"/>
                  </w:tcBorders>
                  <w:noWrap w:val="0"/>
                  <w:vAlign w:val="center"/>
                </w:tcPr>
                <w:p w14:paraId="272D12C1">
                  <w:pPr>
                    <w:snapToGrid w:val="0"/>
                    <w:jc w:val="center"/>
                    <w:rPr>
                      <w:color w:val="auto"/>
                    </w:rPr>
                  </w:pPr>
                  <w:r>
                    <w:rPr>
                      <w:color w:val="auto"/>
                    </w:rPr>
                    <w:t>项目不属于码头项目</w:t>
                  </w:r>
                  <w:r>
                    <w:rPr>
                      <w:rFonts w:hint="eastAsia"/>
                      <w:color w:val="auto"/>
                    </w:rPr>
                    <w:t>。</w:t>
                  </w:r>
                </w:p>
              </w:tc>
              <w:tc>
                <w:tcPr>
                  <w:tcW w:w="939" w:type="dxa"/>
                  <w:tcBorders>
                    <w:tl2br w:val="nil"/>
                    <w:tr2bl w:val="nil"/>
                  </w:tcBorders>
                  <w:noWrap w:val="0"/>
                  <w:vAlign w:val="center"/>
                </w:tcPr>
                <w:p w14:paraId="40904503">
                  <w:pPr>
                    <w:snapToGrid w:val="0"/>
                    <w:jc w:val="center"/>
                    <w:rPr>
                      <w:color w:val="auto"/>
                    </w:rPr>
                  </w:pPr>
                  <w:r>
                    <w:rPr>
                      <w:rFonts w:hint="eastAsia"/>
                      <w:color w:val="auto"/>
                    </w:rPr>
                    <w:t>符合</w:t>
                  </w:r>
                </w:p>
              </w:tc>
            </w:tr>
            <w:tr w14:paraId="69E207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36F63A1B">
                  <w:pPr>
                    <w:snapToGrid w:val="0"/>
                    <w:jc w:val="center"/>
                    <w:rPr>
                      <w:color w:val="auto"/>
                    </w:rPr>
                  </w:pPr>
                  <w:r>
                    <w:rPr>
                      <w:color w:val="auto"/>
                    </w:rPr>
                    <w:t>2</w:t>
                  </w:r>
                </w:p>
              </w:tc>
              <w:tc>
                <w:tcPr>
                  <w:tcW w:w="4924" w:type="dxa"/>
                  <w:tcBorders>
                    <w:tl2br w:val="nil"/>
                    <w:tr2bl w:val="nil"/>
                  </w:tcBorders>
                  <w:noWrap w:val="0"/>
                  <w:vAlign w:val="center"/>
                </w:tcPr>
                <w:p w14:paraId="38FE167B">
                  <w:pPr>
                    <w:snapToGrid w:val="0"/>
                    <w:jc w:val="center"/>
                    <w:rPr>
                      <w:color w:val="auto"/>
                    </w:rPr>
                  </w:pPr>
                  <w:r>
                    <w:rPr>
                      <w:color w:val="auto"/>
                    </w:rPr>
                    <w:t>禁止新建、改建和扩建不符合《长江</w:t>
                  </w:r>
                  <w:r>
                    <w:rPr>
                      <w:rFonts w:hint="eastAsia"/>
                      <w:color w:val="auto"/>
                    </w:rPr>
                    <w:t>干线</w:t>
                  </w:r>
                  <w:r>
                    <w:rPr>
                      <w:color w:val="auto"/>
                    </w:rPr>
                    <w:t>过江通道布局规划2020</w:t>
                  </w:r>
                  <w:r>
                    <w:rPr>
                      <w:rFonts w:hint="eastAsia"/>
                      <w:color w:val="auto"/>
                    </w:rPr>
                    <w:t>-</w:t>
                  </w:r>
                  <w:r>
                    <w:rPr>
                      <w:color w:val="auto"/>
                    </w:rPr>
                    <w:t>2035年）》的过长江通道项目</w:t>
                  </w:r>
                  <w:r>
                    <w:rPr>
                      <w:rFonts w:hint="eastAsia"/>
                      <w:color w:val="auto"/>
                    </w:rPr>
                    <w:t>（</w:t>
                  </w:r>
                  <w:r>
                    <w:rPr>
                      <w:color w:val="auto"/>
                    </w:rPr>
                    <w:t>含桥梁、隧道）</w:t>
                  </w:r>
                  <w:r>
                    <w:rPr>
                      <w:rFonts w:hint="eastAsia"/>
                      <w:color w:val="auto"/>
                    </w:rPr>
                    <w:t>，</w:t>
                  </w:r>
                  <w:r>
                    <w:rPr>
                      <w:color w:val="auto"/>
                    </w:rPr>
                    <w:t>国家发展改革委同意过长江通道线位调整的除外</w:t>
                  </w:r>
                  <w:r>
                    <w:rPr>
                      <w:rFonts w:hint="eastAsia"/>
                      <w:color w:val="auto"/>
                    </w:rPr>
                    <w:t>。</w:t>
                  </w:r>
                </w:p>
              </w:tc>
              <w:tc>
                <w:tcPr>
                  <w:tcW w:w="1740" w:type="dxa"/>
                  <w:tcBorders>
                    <w:tl2br w:val="nil"/>
                    <w:tr2bl w:val="nil"/>
                  </w:tcBorders>
                  <w:noWrap w:val="0"/>
                  <w:vAlign w:val="center"/>
                </w:tcPr>
                <w:p w14:paraId="098205CD">
                  <w:pPr>
                    <w:snapToGrid w:val="0"/>
                    <w:jc w:val="center"/>
                    <w:rPr>
                      <w:color w:val="auto"/>
                    </w:rPr>
                  </w:pPr>
                  <w:r>
                    <w:rPr>
                      <w:color w:val="auto"/>
                    </w:rPr>
                    <w:t>项目不涉及长江过江通道</w:t>
                  </w:r>
                  <w:r>
                    <w:rPr>
                      <w:rFonts w:hint="eastAsia"/>
                      <w:color w:val="auto"/>
                    </w:rPr>
                    <w:t>。</w:t>
                  </w:r>
                </w:p>
              </w:tc>
              <w:tc>
                <w:tcPr>
                  <w:tcW w:w="939" w:type="dxa"/>
                  <w:tcBorders>
                    <w:tl2br w:val="nil"/>
                    <w:tr2bl w:val="nil"/>
                  </w:tcBorders>
                  <w:noWrap w:val="0"/>
                  <w:vAlign w:val="center"/>
                </w:tcPr>
                <w:p w14:paraId="50874C72">
                  <w:pPr>
                    <w:snapToGrid w:val="0"/>
                    <w:jc w:val="center"/>
                    <w:rPr>
                      <w:color w:val="auto"/>
                    </w:rPr>
                  </w:pPr>
                  <w:r>
                    <w:rPr>
                      <w:rFonts w:hint="eastAsia"/>
                      <w:color w:val="auto"/>
                    </w:rPr>
                    <w:t>符合</w:t>
                  </w:r>
                </w:p>
              </w:tc>
            </w:tr>
            <w:tr w14:paraId="041BD4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33CD6A3B">
                  <w:pPr>
                    <w:snapToGrid w:val="0"/>
                    <w:jc w:val="center"/>
                    <w:rPr>
                      <w:color w:val="auto"/>
                    </w:rPr>
                  </w:pPr>
                  <w:r>
                    <w:rPr>
                      <w:color w:val="auto"/>
                    </w:rPr>
                    <w:t>3</w:t>
                  </w:r>
                </w:p>
              </w:tc>
              <w:tc>
                <w:tcPr>
                  <w:tcW w:w="4924" w:type="dxa"/>
                  <w:tcBorders>
                    <w:tl2br w:val="nil"/>
                    <w:tr2bl w:val="nil"/>
                  </w:tcBorders>
                  <w:noWrap w:val="0"/>
                  <w:vAlign w:val="center"/>
                </w:tcPr>
                <w:p w14:paraId="322A6609">
                  <w:pPr>
                    <w:snapToGrid w:val="0"/>
                    <w:jc w:val="center"/>
                    <w:rPr>
                      <w:color w:val="auto"/>
                    </w:rPr>
                  </w:pPr>
                  <w:r>
                    <w:rPr>
                      <w:color w:val="auto"/>
                    </w:rPr>
                    <w:t>禁止在自然保护区核心区、缓冲区的岸线和河段范围内投资建设旅游和生产经营项目自然保护区的内部未分区的</w:t>
                  </w:r>
                  <w:r>
                    <w:rPr>
                      <w:rFonts w:hint="eastAsia"/>
                      <w:color w:val="auto"/>
                    </w:rPr>
                    <w:t>，</w:t>
                  </w:r>
                  <w:r>
                    <w:rPr>
                      <w:color w:val="auto"/>
                    </w:rPr>
                    <w:t>依照核心区和缓冲区的规定管控</w:t>
                  </w:r>
                  <w:r>
                    <w:rPr>
                      <w:rFonts w:hint="eastAsia"/>
                      <w:color w:val="auto"/>
                    </w:rPr>
                    <w:t>。</w:t>
                  </w:r>
                </w:p>
              </w:tc>
              <w:tc>
                <w:tcPr>
                  <w:tcW w:w="1740" w:type="dxa"/>
                  <w:tcBorders>
                    <w:tl2br w:val="nil"/>
                    <w:tr2bl w:val="nil"/>
                  </w:tcBorders>
                  <w:noWrap w:val="0"/>
                  <w:vAlign w:val="center"/>
                </w:tcPr>
                <w:p w14:paraId="00BBCE93">
                  <w:pPr>
                    <w:snapToGrid w:val="0"/>
                    <w:jc w:val="center"/>
                    <w:rPr>
                      <w:color w:val="auto"/>
                    </w:rPr>
                  </w:pPr>
                  <w:r>
                    <w:rPr>
                      <w:color w:val="auto"/>
                    </w:rPr>
                    <w:t>项目不涉及自然保护区和风景名胜区。</w:t>
                  </w:r>
                </w:p>
              </w:tc>
              <w:tc>
                <w:tcPr>
                  <w:tcW w:w="939" w:type="dxa"/>
                  <w:tcBorders>
                    <w:tl2br w:val="nil"/>
                    <w:tr2bl w:val="nil"/>
                  </w:tcBorders>
                  <w:noWrap w:val="0"/>
                  <w:vAlign w:val="center"/>
                </w:tcPr>
                <w:p w14:paraId="0C20AA51">
                  <w:pPr>
                    <w:snapToGrid w:val="0"/>
                    <w:jc w:val="center"/>
                    <w:rPr>
                      <w:color w:val="auto"/>
                    </w:rPr>
                  </w:pPr>
                  <w:r>
                    <w:rPr>
                      <w:rFonts w:hint="eastAsia"/>
                      <w:color w:val="auto"/>
                    </w:rPr>
                    <w:t>符合</w:t>
                  </w:r>
                </w:p>
              </w:tc>
            </w:tr>
            <w:tr w14:paraId="5B0182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0187F95D">
                  <w:pPr>
                    <w:snapToGrid w:val="0"/>
                    <w:jc w:val="center"/>
                    <w:rPr>
                      <w:color w:val="auto"/>
                    </w:rPr>
                  </w:pPr>
                  <w:r>
                    <w:rPr>
                      <w:color w:val="auto"/>
                    </w:rPr>
                    <w:t>4</w:t>
                  </w:r>
                </w:p>
              </w:tc>
              <w:tc>
                <w:tcPr>
                  <w:tcW w:w="4924" w:type="dxa"/>
                  <w:tcBorders>
                    <w:tl2br w:val="nil"/>
                    <w:tr2bl w:val="nil"/>
                  </w:tcBorders>
                  <w:noWrap w:val="0"/>
                  <w:vAlign w:val="center"/>
                </w:tcPr>
                <w:p w14:paraId="54444742">
                  <w:pPr>
                    <w:snapToGrid w:val="0"/>
                    <w:jc w:val="center"/>
                    <w:rPr>
                      <w:color w:val="auto"/>
                    </w:rPr>
                  </w:pPr>
                  <w:r>
                    <w:rPr>
                      <w:color w:val="auto"/>
                    </w:rPr>
                    <w:t>禁止违反风景名胜区规划</w:t>
                  </w:r>
                  <w:r>
                    <w:rPr>
                      <w:rFonts w:hint="eastAsia"/>
                      <w:color w:val="auto"/>
                    </w:rPr>
                    <w:t>，</w:t>
                  </w:r>
                  <w:r>
                    <w:rPr>
                      <w:color w:val="auto"/>
                    </w:rPr>
                    <w:t>在风景名胜区内设立各类开发区。禁止在风景名胜区核心景区的岸线和河段范围内建设宾馆、招待所、培训中心、疗养院以及与风景名胜资源保护无关的项目</w:t>
                  </w:r>
                  <w:r>
                    <w:rPr>
                      <w:rFonts w:hint="eastAsia"/>
                      <w:color w:val="auto"/>
                    </w:rPr>
                    <w:t>。</w:t>
                  </w:r>
                </w:p>
              </w:tc>
              <w:tc>
                <w:tcPr>
                  <w:tcW w:w="1740" w:type="dxa"/>
                  <w:tcBorders>
                    <w:tl2br w:val="nil"/>
                    <w:tr2bl w:val="nil"/>
                  </w:tcBorders>
                  <w:noWrap w:val="0"/>
                  <w:vAlign w:val="center"/>
                </w:tcPr>
                <w:p w14:paraId="4A24F5AB">
                  <w:pPr>
                    <w:snapToGrid w:val="0"/>
                    <w:jc w:val="center"/>
                    <w:rPr>
                      <w:color w:val="auto"/>
                    </w:rPr>
                  </w:pPr>
                  <w:r>
                    <w:rPr>
                      <w:color w:val="auto"/>
                    </w:rPr>
                    <w:t>项目不涉及风景名胜区。</w:t>
                  </w:r>
                </w:p>
              </w:tc>
              <w:tc>
                <w:tcPr>
                  <w:tcW w:w="939" w:type="dxa"/>
                  <w:tcBorders>
                    <w:tl2br w:val="nil"/>
                    <w:tr2bl w:val="nil"/>
                  </w:tcBorders>
                  <w:noWrap w:val="0"/>
                  <w:vAlign w:val="center"/>
                </w:tcPr>
                <w:p w14:paraId="1356DAF8">
                  <w:pPr>
                    <w:snapToGrid w:val="0"/>
                    <w:jc w:val="center"/>
                    <w:rPr>
                      <w:rFonts w:hint="eastAsia" w:eastAsia="宋体"/>
                      <w:color w:val="auto"/>
                      <w:lang w:val="en-US" w:eastAsia="zh-CN"/>
                    </w:rPr>
                  </w:pPr>
                  <w:r>
                    <w:rPr>
                      <w:rFonts w:hint="eastAsia"/>
                      <w:color w:val="auto"/>
                      <w:lang w:val="en-US" w:eastAsia="zh-CN"/>
                    </w:rPr>
                    <w:t>符合</w:t>
                  </w:r>
                </w:p>
              </w:tc>
            </w:tr>
            <w:tr w14:paraId="4107C5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79645DFE">
                  <w:pPr>
                    <w:snapToGrid w:val="0"/>
                    <w:jc w:val="center"/>
                    <w:rPr>
                      <w:color w:val="auto"/>
                    </w:rPr>
                  </w:pPr>
                  <w:r>
                    <w:rPr>
                      <w:color w:val="auto"/>
                    </w:rPr>
                    <w:t>5</w:t>
                  </w:r>
                </w:p>
              </w:tc>
              <w:tc>
                <w:tcPr>
                  <w:tcW w:w="4924" w:type="dxa"/>
                  <w:tcBorders>
                    <w:tl2br w:val="nil"/>
                    <w:tr2bl w:val="nil"/>
                  </w:tcBorders>
                  <w:noWrap w:val="0"/>
                  <w:vAlign w:val="center"/>
                </w:tcPr>
                <w:p w14:paraId="08068C69">
                  <w:pPr>
                    <w:snapToGrid w:val="0"/>
                    <w:jc w:val="center"/>
                    <w:rPr>
                      <w:color w:val="auto"/>
                    </w:rPr>
                  </w:pPr>
                  <w:r>
                    <w:rPr>
                      <w:color w:val="auto"/>
                    </w:rPr>
                    <w:t>禁止在饮用水水源准保护区的岸线和河段范围内新建、扩建对水体污染严重的建设项目</w:t>
                  </w:r>
                  <w:r>
                    <w:rPr>
                      <w:rFonts w:hint="eastAsia"/>
                      <w:color w:val="auto"/>
                    </w:rPr>
                    <w:t>，</w:t>
                  </w:r>
                  <w:r>
                    <w:rPr>
                      <w:color w:val="auto"/>
                    </w:rPr>
                    <w:t>禁止改建增加排污量的建设项目</w:t>
                  </w:r>
                  <w:r>
                    <w:rPr>
                      <w:rFonts w:hint="eastAsia"/>
                      <w:color w:val="auto"/>
                    </w:rPr>
                    <w:t>。</w:t>
                  </w:r>
                </w:p>
              </w:tc>
              <w:tc>
                <w:tcPr>
                  <w:tcW w:w="1740" w:type="dxa"/>
                  <w:tcBorders>
                    <w:tl2br w:val="nil"/>
                    <w:tr2bl w:val="nil"/>
                  </w:tcBorders>
                  <w:noWrap w:val="0"/>
                  <w:vAlign w:val="center"/>
                </w:tcPr>
                <w:p w14:paraId="7CBE0DB0">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项目不涉及饮用水水源</w:t>
                  </w:r>
                  <w:r>
                    <w:rPr>
                      <w:rFonts w:hint="default" w:ascii="Times New Roman" w:hAnsi="Times New Roman" w:eastAsia="宋体" w:cs="Times New Roman"/>
                      <w:color w:val="auto"/>
                      <w:highlight w:val="none"/>
                      <w:lang w:val="en-US" w:eastAsia="zh-CN"/>
                    </w:rPr>
                    <w:t>二级</w:t>
                  </w:r>
                  <w:r>
                    <w:rPr>
                      <w:rFonts w:hint="default" w:ascii="Times New Roman" w:hAnsi="Times New Roman" w:eastAsia="宋体" w:cs="Times New Roman"/>
                      <w:color w:val="auto"/>
                      <w:highlight w:val="none"/>
                    </w:rPr>
                    <w:t>保护区。</w:t>
                  </w:r>
                </w:p>
              </w:tc>
              <w:tc>
                <w:tcPr>
                  <w:tcW w:w="939" w:type="dxa"/>
                  <w:tcBorders>
                    <w:tl2br w:val="nil"/>
                    <w:tr2bl w:val="nil"/>
                  </w:tcBorders>
                  <w:noWrap w:val="0"/>
                  <w:vAlign w:val="center"/>
                </w:tcPr>
                <w:p w14:paraId="6529A7D3">
                  <w:pPr>
                    <w:snapToGrid w:val="0"/>
                    <w:jc w:val="center"/>
                    <w:rPr>
                      <w:color w:val="auto"/>
                    </w:rPr>
                  </w:pPr>
                  <w:r>
                    <w:rPr>
                      <w:rFonts w:hint="eastAsia"/>
                      <w:color w:val="auto"/>
                    </w:rPr>
                    <w:t>符合</w:t>
                  </w:r>
                </w:p>
              </w:tc>
            </w:tr>
            <w:tr w14:paraId="24C9F5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2BB21525">
                  <w:pPr>
                    <w:snapToGrid w:val="0"/>
                    <w:jc w:val="center"/>
                    <w:rPr>
                      <w:color w:val="auto"/>
                    </w:rPr>
                  </w:pPr>
                  <w:r>
                    <w:rPr>
                      <w:color w:val="auto"/>
                    </w:rPr>
                    <w:t>6</w:t>
                  </w:r>
                </w:p>
              </w:tc>
              <w:tc>
                <w:tcPr>
                  <w:tcW w:w="4924" w:type="dxa"/>
                  <w:tcBorders>
                    <w:tl2br w:val="nil"/>
                    <w:tr2bl w:val="nil"/>
                  </w:tcBorders>
                  <w:noWrap w:val="0"/>
                  <w:vAlign w:val="center"/>
                </w:tcPr>
                <w:p w14:paraId="428661BC">
                  <w:pPr>
                    <w:snapToGrid w:val="0"/>
                    <w:jc w:val="center"/>
                    <w:rPr>
                      <w:color w:val="auto"/>
                    </w:rPr>
                  </w:pPr>
                  <w:r>
                    <w:rPr>
                      <w:color w:val="auto"/>
                    </w:rPr>
                    <w:t>饮用水水源二级保护区的岸线和河段范围内</w:t>
                  </w:r>
                  <w:r>
                    <w:rPr>
                      <w:rFonts w:hint="eastAsia"/>
                      <w:color w:val="auto"/>
                    </w:rPr>
                    <w:t>，</w:t>
                  </w:r>
                  <w:r>
                    <w:rPr>
                      <w:color w:val="auto"/>
                    </w:rPr>
                    <w:t>除遵守准保护区规定外</w:t>
                  </w:r>
                  <w:r>
                    <w:rPr>
                      <w:rFonts w:hint="eastAsia"/>
                      <w:color w:val="auto"/>
                    </w:rPr>
                    <w:t>，</w:t>
                  </w:r>
                  <w:r>
                    <w:rPr>
                      <w:color w:val="auto"/>
                    </w:rPr>
                    <w:t>禁止新建、改建、扩建排放污染物的投资建设项目；禁止从事对水体有污染的水产养殖等活动</w:t>
                  </w:r>
                  <w:r>
                    <w:rPr>
                      <w:rFonts w:hint="eastAsia"/>
                      <w:color w:val="auto"/>
                    </w:rPr>
                    <w:t>。</w:t>
                  </w:r>
                </w:p>
              </w:tc>
              <w:tc>
                <w:tcPr>
                  <w:tcW w:w="1740" w:type="dxa"/>
                  <w:tcBorders>
                    <w:tl2br w:val="nil"/>
                    <w:tr2bl w:val="nil"/>
                  </w:tcBorders>
                  <w:noWrap w:val="0"/>
                  <w:vAlign w:val="center"/>
                </w:tcPr>
                <w:p w14:paraId="02AC6376">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项目不涉及饮用水水源</w:t>
                  </w:r>
                  <w:r>
                    <w:rPr>
                      <w:rFonts w:hint="default" w:ascii="Times New Roman" w:hAnsi="Times New Roman" w:eastAsia="宋体" w:cs="Times New Roman"/>
                      <w:color w:val="auto"/>
                      <w:highlight w:val="none"/>
                      <w:lang w:val="en-US" w:eastAsia="zh-CN"/>
                    </w:rPr>
                    <w:t>一级</w:t>
                  </w:r>
                  <w:r>
                    <w:rPr>
                      <w:rFonts w:hint="default" w:ascii="Times New Roman" w:hAnsi="Times New Roman" w:eastAsia="宋体" w:cs="Times New Roman"/>
                      <w:color w:val="auto"/>
                      <w:highlight w:val="none"/>
                    </w:rPr>
                    <w:t>保护区。</w:t>
                  </w:r>
                </w:p>
              </w:tc>
              <w:tc>
                <w:tcPr>
                  <w:tcW w:w="939" w:type="dxa"/>
                  <w:tcBorders>
                    <w:tl2br w:val="nil"/>
                    <w:tr2bl w:val="nil"/>
                  </w:tcBorders>
                  <w:noWrap w:val="0"/>
                  <w:vAlign w:val="center"/>
                </w:tcPr>
                <w:p w14:paraId="7820EB91">
                  <w:pPr>
                    <w:snapToGrid w:val="0"/>
                    <w:jc w:val="center"/>
                    <w:rPr>
                      <w:color w:val="auto"/>
                    </w:rPr>
                  </w:pPr>
                  <w:r>
                    <w:rPr>
                      <w:rFonts w:hint="eastAsia"/>
                      <w:color w:val="auto"/>
                    </w:rPr>
                    <w:t>符合</w:t>
                  </w:r>
                </w:p>
              </w:tc>
            </w:tr>
            <w:tr w14:paraId="21BC24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7245A265">
                  <w:pPr>
                    <w:snapToGrid w:val="0"/>
                    <w:jc w:val="center"/>
                    <w:rPr>
                      <w:color w:val="auto"/>
                    </w:rPr>
                  </w:pPr>
                  <w:r>
                    <w:rPr>
                      <w:color w:val="auto"/>
                    </w:rPr>
                    <w:t>7</w:t>
                  </w:r>
                </w:p>
              </w:tc>
              <w:tc>
                <w:tcPr>
                  <w:tcW w:w="4924" w:type="dxa"/>
                  <w:tcBorders>
                    <w:tl2br w:val="nil"/>
                    <w:tr2bl w:val="nil"/>
                  </w:tcBorders>
                  <w:noWrap w:val="0"/>
                  <w:vAlign w:val="center"/>
                </w:tcPr>
                <w:p w14:paraId="2F3B50E6">
                  <w:pPr>
                    <w:snapToGrid w:val="0"/>
                    <w:jc w:val="center"/>
                    <w:rPr>
                      <w:color w:val="auto"/>
                    </w:rPr>
                  </w:pPr>
                  <w:r>
                    <w:rPr>
                      <w:color w:val="auto"/>
                    </w:rPr>
                    <w:t>饮用水水源一级保护区的岸线和河段范围内</w:t>
                  </w:r>
                  <w:r>
                    <w:rPr>
                      <w:rFonts w:hint="eastAsia"/>
                      <w:color w:val="auto"/>
                    </w:rPr>
                    <w:t>，</w:t>
                  </w:r>
                  <w:r>
                    <w:rPr>
                      <w:color w:val="auto"/>
                    </w:rPr>
                    <w:t>除遵守二级保护区规定外</w:t>
                  </w:r>
                  <w:r>
                    <w:rPr>
                      <w:rFonts w:hint="eastAsia"/>
                      <w:color w:val="auto"/>
                    </w:rPr>
                    <w:t>，</w:t>
                  </w:r>
                  <w:r>
                    <w:rPr>
                      <w:color w:val="auto"/>
                    </w:rPr>
                    <w:t>禁止新建、改建、扩建与供水设施和保护水源无关的项目</w:t>
                  </w:r>
                  <w:r>
                    <w:rPr>
                      <w:rFonts w:hint="eastAsia"/>
                      <w:color w:val="auto"/>
                    </w:rPr>
                    <w:t>，</w:t>
                  </w:r>
                  <w:r>
                    <w:rPr>
                      <w:color w:val="auto"/>
                    </w:rPr>
                    <w:t>以及网箱养殖、畜禽养殖、旅游等可能污染饮用水水体的投资建设项目</w:t>
                  </w:r>
                  <w:r>
                    <w:rPr>
                      <w:rFonts w:hint="eastAsia"/>
                      <w:color w:val="auto"/>
                    </w:rPr>
                    <w:t>。</w:t>
                  </w:r>
                </w:p>
              </w:tc>
              <w:tc>
                <w:tcPr>
                  <w:tcW w:w="1740" w:type="dxa"/>
                  <w:tcBorders>
                    <w:tl2br w:val="nil"/>
                    <w:tr2bl w:val="nil"/>
                  </w:tcBorders>
                  <w:noWrap w:val="0"/>
                  <w:vAlign w:val="center"/>
                </w:tcPr>
                <w:p w14:paraId="6EC931EF">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项目不涉及水产种质资源保护区。</w:t>
                  </w:r>
                </w:p>
              </w:tc>
              <w:tc>
                <w:tcPr>
                  <w:tcW w:w="939" w:type="dxa"/>
                  <w:tcBorders>
                    <w:tl2br w:val="nil"/>
                    <w:tr2bl w:val="nil"/>
                  </w:tcBorders>
                  <w:noWrap w:val="0"/>
                  <w:vAlign w:val="center"/>
                </w:tcPr>
                <w:p w14:paraId="5321992A">
                  <w:pPr>
                    <w:snapToGrid w:val="0"/>
                    <w:jc w:val="center"/>
                    <w:rPr>
                      <w:color w:val="auto"/>
                    </w:rPr>
                  </w:pPr>
                  <w:r>
                    <w:rPr>
                      <w:rFonts w:hint="eastAsia"/>
                      <w:color w:val="auto"/>
                    </w:rPr>
                    <w:t>符合</w:t>
                  </w:r>
                </w:p>
              </w:tc>
            </w:tr>
            <w:tr w14:paraId="052728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7FDF69F5">
                  <w:pPr>
                    <w:snapToGrid w:val="0"/>
                    <w:jc w:val="center"/>
                    <w:rPr>
                      <w:color w:val="auto"/>
                    </w:rPr>
                  </w:pPr>
                  <w:r>
                    <w:rPr>
                      <w:color w:val="auto"/>
                    </w:rPr>
                    <w:t>8</w:t>
                  </w:r>
                </w:p>
              </w:tc>
              <w:tc>
                <w:tcPr>
                  <w:tcW w:w="4924" w:type="dxa"/>
                  <w:tcBorders>
                    <w:tl2br w:val="nil"/>
                    <w:tr2bl w:val="nil"/>
                  </w:tcBorders>
                  <w:noWrap w:val="0"/>
                  <w:vAlign w:val="center"/>
                </w:tcPr>
                <w:p w14:paraId="58597D61">
                  <w:pPr>
                    <w:snapToGrid w:val="0"/>
                    <w:jc w:val="center"/>
                    <w:rPr>
                      <w:color w:val="auto"/>
                    </w:rPr>
                  </w:pPr>
                  <w:r>
                    <w:rPr>
                      <w:color w:val="auto"/>
                    </w:rPr>
                    <w:t>禁止在水产种质资源保护区岸线和河段范围内新建围湖造田、围湖造地或挖沙采石等投资建设项目</w:t>
                  </w:r>
                  <w:r>
                    <w:rPr>
                      <w:rFonts w:hint="eastAsia"/>
                      <w:color w:val="auto"/>
                    </w:rPr>
                    <w:t>。</w:t>
                  </w:r>
                </w:p>
              </w:tc>
              <w:tc>
                <w:tcPr>
                  <w:tcW w:w="1740" w:type="dxa"/>
                  <w:tcBorders>
                    <w:tl2br w:val="nil"/>
                    <w:tr2bl w:val="nil"/>
                  </w:tcBorders>
                  <w:noWrap w:val="0"/>
                  <w:vAlign w:val="center"/>
                </w:tcPr>
                <w:p w14:paraId="36D68336">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项目不涉及国家湿地公园。</w:t>
                  </w:r>
                </w:p>
              </w:tc>
              <w:tc>
                <w:tcPr>
                  <w:tcW w:w="939" w:type="dxa"/>
                  <w:tcBorders>
                    <w:tl2br w:val="nil"/>
                    <w:tr2bl w:val="nil"/>
                  </w:tcBorders>
                  <w:noWrap w:val="0"/>
                  <w:vAlign w:val="center"/>
                </w:tcPr>
                <w:p w14:paraId="74E38461">
                  <w:pPr>
                    <w:snapToGrid w:val="0"/>
                    <w:jc w:val="center"/>
                    <w:rPr>
                      <w:color w:val="auto"/>
                    </w:rPr>
                  </w:pPr>
                  <w:r>
                    <w:rPr>
                      <w:rFonts w:hint="eastAsia"/>
                      <w:color w:val="auto"/>
                    </w:rPr>
                    <w:t>符合</w:t>
                  </w:r>
                </w:p>
              </w:tc>
            </w:tr>
            <w:tr w14:paraId="7B45CB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7BF7EEC6">
                  <w:pPr>
                    <w:snapToGrid w:val="0"/>
                    <w:jc w:val="center"/>
                    <w:rPr>
                      <w:color w:val="auto"/>
                    </w:rPr>
                  </w:pPr>
                  <w:r>
                    <w:rPr>
                      <w:color w:val="auto"/>
                    </w:rPr>
                    <w:t>9</w:t>
                  </w:r>
                </w:p>
              </w:tc>
              <w:tc>
                <w:tcPr>
                  <w:tcW w:w="4924" w:type="dxa"/>
                  <w:tcBorders>
                    <w:tl2br w:val="nil"/>
                    <w:tr2bl w:val="nil"/>
                  </w:tcBorders>
                  <w:noWrap w:val="0"/>
                  <w:vAlign w:val="center"/>
                </w:tcPr>
                <w:p w14:paraId="5AFB9D19">
                  <w:pPr>
                    <w:snapToGrid w:val="0"/>
                    <w:jc w:val="center"/>
                    <w:rPr>
                      <w:color w:val="auto"/>
                    </w:rPr>
                  </w:pPr>
                  <w:r>
                    <w:rPr>
                      <w:color w:val="auto"/>
                    </w:rPr>
                    <w:t>禁止在国家湿地公园的岸线和河段范围内开</w:t>
                  </w:r>
                  <w:r>
                    <w:rPr>
                      <w:rFonts w:hint="eastAsia"/>
                      <w:color w:val="auto"/>
                    </w:rPr>
                    <w:t>（</w:t>
                  </w:r>
                  <w:r>
                    <w:rPr>
                      <w:color w:val="auto"/>
                    </w:rPr>
                    <w:t>围）垦、填埋或者排干湿地</w:t>
                  </w:r>
                  <w:r>
                    <w:rPr>
                      <w:rFonts w:hint="eastAsia"/>
                      <w:color w:val="auto"/>
                    </w:rPr>
                    <w:t>，</w:t>
                  </w:r>
                  <w:r>
                    <w:rPr>
                      <w:color w:val="auto"/>
                    </w:rPr>
                    <w:t>截断湿地水源</w:t>
                  </w:r>
                  <w:r>
                    <w:rPr>
                      <w:rFonts w:hint="eastAsia"/>
                      <w:color w:val="auto"/>
                    </w:rPr>
                    <w:t>，</w:t>
                  </w:r>
                  <w:r>
                    <w:rPr>
                      <w:color w:val="auto"/>
                    </w:rPr>
                    <w:t>挖沙、采矿</w:t>
                  </w:r>
                  <w:r>
                    <w:rPr>
                      <w:rFonts w:hint="eastAsia"/>
                      <w:color w:val="auto"/>
                    </w:rPr>
                    <w:t>，</w:t>
                  </w:r>
                  <w:r>
                    <w:rPr>
                      <w:color w:val="auto"/>
                    </w:rPr>
                    <w:t>倾倒有毒有害物质、废弃物、垃圾</w:t>
                  </w:r>
                  <w:r>
                    <w:rPr>
                      <w:rFonts w:hint="eastAsia"/>
                      <w:color w:val="auto"/>
                    </w:rPr>
                    <w:t>，</w:t>
                  </w:r>
                  <w:r>
                    <w:rPr>
                      <w:color w:val="auto"/>
                    </w:rPr>
                    <w:t>从事房地产、度假村、高尔夫球场、风力发电、光伏发电等任何不符合主体功能定位的建设项目和开发活动</w:t>
                  </w:r>
                  <w:r>
                    <w:rPr>
                      <w:rFonts w:hint="eastAsia"/>
                      <w:color w:val="auto"/>
                    </w:rPr>
                    <w:t>，</w:t>
                  </w:r>
                  <w:r>
                    <w:rPr>
                      <w:color w:val="auto"/>
                    </w:rPr>
                    <w:t>破坏野生动物栖息地和迁徙通道、</w:t>
                  </w:r>
                  <w:r>
                    <w:rPr>
                      <w:rFonts w:hint="eastAsia"/>
                      <w:color w:val="auto"/>
                    </w:rPr>
                    <w:t>鱼类洄游</w:t>
                  </w:r>
                  <w:r>
                    <w:rPr>
                      <w:color w:val="auto"/>
                    </w:rPr>
                    <w:t>通道</w:t>
                  </w:r>
                  <w:r>
                    <w:rPr>
                      <w:rFonts w:hint="eastAsia"/>
                      <w:color w:val="auto"/>
                    </w:rPr>
                    <w:t>。</w:t>
                  </w:r>
                </w:p>
              </w:tc>
              <w:tc>
                <w:tcPr>
                  <w:tcW w:w="1740" w:type="dxa"/>
                  <w:tcBorders>
                    <w:tl2br w:val="nil"/>
                    <w:tr2bl w:val="nil"/>
                  </w:tcBorders>
                  <w:noWrap w:val="0"/>
                  <w:vAlign w:val="center"/>
                </w:tcPr>
                <w:p w14:paraId="56075778">
                  <w:pPr>
                    <w:snapToGrid w:val="0"/>
                    <w:jc w:val="center"/>
                    <w:rPr>
                      <w:color w:val="auto"/>
                    </w:rPr>
                  </w:pPr>
                  <w:r>
                    <w:rPr>
                      <w:color w:val="auto"/>
                    </w:rPr>
                    <w:t>项目不涉及国家湿地公园的岸线和河段</w:t>
                  </w:r>
                  <w:r>
                    <w:rPr>
                      <w:rFonts w:hint="eastAsia"/>
                      <w:color w:val="auto"/>
                    </w:rPr>
                    <w:t>。</w:t>
                  </w:r>
                </w:p>
              </w:tc>
              <w:tc>
                <w:tcPr>
                  <w:tcW w:w="939" w:type="dxa"/>
                  <w:tcBorders>
                    <w:tl2br w:val="nil"/>
                    <w:tr2bl w:val="nil"/>
                  </w:tcBorders>
                  <w:noWrap w:val="0"/>
                  <w:vAlign w:val="center"/>
                </w:tcPr>
                <w:p w14:paraId="685879B9">
                  <w:pPr>
                    <w:snapToGrid w:val="0"/>
                    <w:jc w:val="center"/>
                    <w:rPr>
                      <w:color w:val="auto"/>
                    </w:rPr>
                  </w:pPr>
                  <w:r>
                    <w:rPr>
                      <w:rFonts w:hint="eastAsia"/>
                      <w:color w:val="auto"/>
                    </w:rPr>
                    <w:t>符合</w:t>
                  </w:r>
                </w:p>
              </w:tc>
            </w:tr>
            <w:tr w14:paraId="12421B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3C62E053">
                  <w:pPr>
                    <w:snapToGrid w:val="0"/>
                    <w:jc w:val="center"/>
                    <w:rPr>
                      <w:color w:val="auto"/>
                    </w:rPr>
                  </w:pPr>
                  <w:r>
                    <w:rPr>
                      <w:color w:val="auto"/>
                    </w:rPr>
                    <w:t>10</w:t>
                  </w:r>
                </w:p>
              </w:tc>
              <w:tc>
                <w:tcPr>
                  <w:tcW w:w="4924" w:type="dxa"/>
                  <w:tcBorders>
                    <w:tl2br w:val="nil"/>
                    <w:tr2bl w:val="nil"/>
                  </w:tcBorders>
                  <w:noWrap w:val="0"/>
                  <w:vAlign w:val="center"/>
                </w:tcPr>
                <w:p w14:paraId="3ED4E13B">
                  <w:pPr>
                    <w:snapToGrid w:val="0"/>
                    <w:jc w:val="center"/>
                    <w:rPr>
                      <w:color w:val="auto"/>
                    </w:rPr>
                  </w:pPr>
                  <w:r>
                    <w:rPr>
                      <w:color w:val="auto"/>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r>
                    <w:rPr>
                      <w:rFonts w:hint="eastAsia"/>
                      <w:color w:val="auto"/>
                    </w:rPr>
                    <w:t>。</w:t>
                  </w:r>
                </w:p>
              </w:tc>
              <w:tc>
                <w:tcPr>
                  <w:tcW w:w="1740" w:type="dxa"/>
                  <w:tcBorders>
                    <w:tl2br w:val="nil"/>
                    <w:tr2bl w:val="nil"/>
                  </w:tcBorders>
                  <w:noWrap w:val="0"/>
                  <w:vAlign w:val="center"/>
                </w:tcPr>
                <w:p w14:paraId="084974AD">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项目不涉及长江流域河湖岸线。</w:t>
                  </w:r>
                </w:p>
              </w:tc>
              <w:tc>
                <w:tcPr>
                  <w:tcW w:w="939" w:type="dxa"/>
                  <w:tcBorders>
                    <w:tl2br w:val="nil"/>
                    <w:tr2bl w:val="nil"/>
                  </w:tcBorders>
                  <w:noWrap w:val="0"/>
                  <w:vAlign w:val="center"/>
                </w:tcPr>
                <w:p w14:paraId="000EEF92">
                  <w:pPr>
                    <w:snapToGrid w:val="0"/>
                    <w:jc w:val="center"/>
                    <w:rPr>
                      <w:color w:val="auto"/>
                    </w:rPr>
                  </w:pPr>
                  <w:r>
                    <w:rPr>
                      <w:rFonts w:hint="eastAsia"/>
                      <w:color w:val="auto"/>
                    </w:rPr>
                    <w:t>符合</w:t>
                  </w:r>
                </w:p>
              </w:tc>
            </w:tr>
            <w:tr w14:paraId="521730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5C37B8B8">
                  <w:pPr>
                    <w:snapToGrid w:val="0"/>
                    <w:jc w:val="center"/>
                    <w:rPr>
                      <w:color w:val="auto"/>
                    </w:rPr>
                  </w:pPr>
                  <w:r>
                    <w:rPr>
                      <w:color w:val="auto"/>
                    </w:rPr>
                    <w:t>11</w:t>
                  </w:r>
                </w:p>
              </w:tc>
              <w:tc>
                <w:tcPr>
                  <w:tcW w:w="4924" w:type="dxa"/>
                  <w:tcBorders>
                    <w:tl2br w:val="nil"/>
                    <w:tr2bl w:val="nil"/>
                  </w:tcBorders>
                  <w:noWrap w:val="0"/>
                  <w:vAlign w:val="center"/>
                </w:tcPr>
                <w:p w14:paraId="088F2CF6">
                  <w:pPr>
                    <w:snapToGrid w:val="0"/>
                    <w:jc w:val="center"/>
                    <w:rPr>
                      <w:color w:val="auto"/>
                    </w:rPr>
                  </w:pPr>
                  <w:r>
                    <w:rPr>
                      <w:color w:val="auto"/>
                    </w:rPr>
                    <w:t>禁止在《全国重要江河湖泊水功能区划》划定的河段及湖泊保护区、保留区内投资建设不利于水资源及自然生态保护的项目</w:t>
                  </w:r>
                  <w:r>
                    <w:rPr>
                      <w:rFonts w:hint="eastAsia"/>
                      <w:color w:val="auto"/>
                    </w:rPr>
                    <w:t>。</w:t>
                  </w:r>
                </w:p>
              </w:tc>
              <w:tc>
                <w:tcPr>
                  <w:tcW w:w="1740" w:type="dxa"/>
                  <w:tcBorders>
                    <w:tl2br w:val="nil"/>
                    <w:tr2bl w:val="nil"/>
                  </w:tcBorders>
                  <w:noWrap w:val="0"/>
                  <w:vAlign w:val="center"/>
                </w:tcPr>
                <w:p w14:paraId="66524065">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项目不涉及河段及湖泊保护区、保留区。</w:t>
                  </w:r>
                </w:p>
              </w:tc>
              <w:tc>
                <w:tcPr>
                  <w:tcW w:w="939" w:type="dxa"/>
                  <w:tcBorders>
                    <w:tl2br w:val="nil"/>
                    <w:tr2bl w:val="nil"/>
                  </w:tcBorders>
                  <w:noWrap w:val="0"/>
                  <w:vAlign w:val="center"/>
                </w:tcPr>
                <w:p w14:paraId="1B12DA54">
                  <w:pPr>
                    <w:snapToGrid w:val="0"/>
                    <w:jc w:val="center"/>
                    <w:rPr>
                      <w:color w:val="auto"/>
                    </w:rPr>
                  </w:pPr>
                  <w:r>
                    <w:rPr>
                      <w:rFonts w:hint="eastAsia"/>
                      <w:color w:val="auto"/>
                    </w:rPr>
                    <w:t>符合</w:t>
                  </w:r>
                </w:p>
              </w:tc>
            </w:tr>
            <w:tr w14:paraId="74AB74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227D2F48">
                  <w:pPr>
                    <w:snapToGrid w:val="0"/>
                    <w:jc w:val="center"/>
                    <w:rPr>
                      <w:color w:val="auto"/>
                    </w:rPr>
                  </w:pPr>
                  <w:r>
                    <w:rPr>
                      <w:color w:val="auto"/>
                    </w:rPr>
                    <w:t>12</w:t>
                  </w:r>
                </w:p>
              </w:tc>
              <w:tc>
                <w:tcPr>
                  <w:tcW w:w="4924" w:type="dxa"/>
                  <w:tcBorders>
                    <w:tl2br w:val="nil"/>
                    <w:tr2bl w:val="nil"/>
                  </w:tcBorders>
                  <w:noWrap w:val="0"/>
                  <w:vAlign w:val="center"/>
                </w:tcPr>
                <w:p w14:paraId="4AD61185">
                  <w:pPr>
                    <w:snapToGrid w:val="0"/>
                    <w:jc w:val="center"/>
                    <w:rPr>
                      <w:color w:val="auto"/>
                    </w:rPr>
                  </w:pPr>
                  <w:r>
                    <w:rPr>
                      <w:color w:val="auto"/>
                    </w:rPr>
                    <w:t>禁止在长江流域江河、湖泊新设、改设或者扩大排污口</w:t>
                  </w:r>
                  <w:r>
                    <w:rPr>
                      <w:rFonts w:hint="eastAsia"/>
                      <w:color w:val="auto"/>
                    </w:rPr>
                    <w:t>，</w:t>
                  </w:r>
                  <w:r>
                    <w:rPr>
                      <w:color w:val="auto"/>
                    </w:rPr>
                    <w:t>经有管辖权的生态环境主管部门或者长江流域生态环境监督管理机构同意的除外</w:t>
                  </w:r>
                  <w:r>
                    <w:rPr>
                      <w:rFonts w:hint="eastAsia"/>
                      <w:color w:val="auto"/>
                    </w:rPr>
                    <w:t>。</w:t>
                  </w:r>
                </w:p>
              </w:tc>
              <w:tc>
                <w:tcPr>
                  <w:tcW w:w="1740" w:type="dxa"/>
                  <w:tcBorders>
                    <w:tl2br w:val="nil"/>
                    <w:tr2bl w:val="nil"/>
                  </w:tcBorders>
                  <w:noWrap w:val="0"/>
                  <w:vAlign w:val="center"/>
                </w:tcPr>
                <w:p w14:paraId="71FEB720">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项目不在长江流域新设、改设或者扩大江河、湖泊排污口。</w:t>
                  </w:r>
                </w:p>
              </w:tc>
              <w:tc>
                <w:tcPr>
                  <w:tcW w:w="939" w:type="dxa"/>
                  <w:tcBorders>
                    <w:tl2br w:val="nil"/>
                    <w:tr2bl w:val="nil"/>
                  </w:tcBorders>
                  <w:noWrap w:val="0"/>
                  <w:vAlign w:val="center"/>
                </w:tcPr>
                <w:p w14:paraId="7DB97E3A">
                  <w:pPr>
                    <w:snapToGrid w:val="0"/>
                    <w:jc w:val="center"/>
                    <w:rPr>
                      <w:color w:val="auto"/>
                    </w:rPr>
                  </w:pPr>
                  <w:r>
                    <w:rPr>
                      <w:rFonts w:hint="eastAsia"/>
                      <w:color w:val="auto"/>
                    </w:rPr>
                    <w:t>符合</w:t>
                  </w:r>
                </w:p>
              </w:tc>
            </w:tr>
            <w:tr w14:paraId="7E742E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5F1A6CC8">
                  <w:pPr>
                    <w:snapToGrid w:val="0"/>
                    <w:jc w:val="center"/>
                    <w:rPr>
                      <w:color w:val="auto"/>
                    </w:rPr>
                  </w:pPr>
                  <w:r>
                    <w:rPr>
                      <w:color w:val="auto"/>
                    </w:rPr>
                    <w:t>13</w:t>
                  </w:r>
                </w:p>
              </w:tc>
              <w:tc>
                <w:tcPr>
                  <w:tcW w:w="4924" w:type="dxa"/>
                  <w:tcBorders>
                    <w:tl2br w:val="nil"/>
                    <w:tr2bl w:val="nil"/>
                  </w:tcBorders>
                  <w:noWrap w:val="0"/>
                  <w:vAlign w:val="center"/>
                </w:tcPr>
                <w:p w14:paraId="14B38636">
                  <w:pPr>
                    <w:snapToGrid w:val="0"/>
                    <w:jc w:val="center"/>
                    <w:rPr>
                      <w:color w:val="auto"/>
                    </w:rPr>
                  </w:pPr>
                  <w:r>
                    <w:rPr>
                      <w:color w:val="auto"/>
                    </w:rPr>
                    <w:t>禁止在</w:t>
                  </w:r>
                  <w:r>
                    <w:rPr>
                      <w:rFonts w:hint="eastAsia"/>
                      <w:color w:val="auto"/>
                    </w:rPr>
                    <w:t>长江</w:t>
                  </w:r>
                  <w:r>
                    <w:rPr>
                      <w:color w:val="auto"/>
                    </w:rPr>
                    <w:t>、大渡河、</w:t>
                  </w:r>
                  <w:r>
                    <w:rPr>
                      <w:rFonts w:hint="eastAsia"/>
                      <w:color w:val="auto"/>
                    </w:rPr>
                    <w:t>岷江</w:t>
                  </w:r>
                  <w:r>
                    <w:rPr>
                      <w:color w:val="auto"/>
                    </w:rPr>
                    <w:t>、赤水河、</w:t>
                  </w:r>
                  <w:r>
                    <w:rPr>
                      <w:rFonts w:hint="eastAsia"/>
                      <w:color w:val="auto"/>
                    </w:rPr>
                    <w:t>沱江</w:t>
                  </w:r>
                  <w:r>
                    <w:rPr>
                      <w:color w:val="auto"/>
                    </w:rPr>
                    <w:t>、嘉陵江、乌江、汉江和51个</w:t>
                  </w:r>
                  <w:r>
                    <w:rPr>
                      <w:rFonts w:hint="eastAsia"/>
                      <w:color w:val="auto"/>
                    </w:rPr>
                    <w:t>（</w:t>
                  </w:r>
                  <w:r>
                    <w:rPr>
                      <w:color w:val="auto"/>
                    </w:rPr>
                    <w:t>四川省45个、重庆市6个）水生生物保护区开展生产性捕捞</w:t>
                  </w:r>
                  <w:r>
                    <w:rPr>
                      <w:rFonts w:hint="eastAsia"/>
                      <w:color w:val="auto"/>
                    </w:rPr>
                    <w:t>。</w:t>
                  </w:r>
                </w:p>
              </w:tc>
              <w:tc>
                <w:tcPr>
                  <w:tcW w:w="1740" w:type="dxa"/>
                  <w:tcBorders>
                    <w:tl2br w:val="nil"/>
                    <w:tr2bl w:val="nil"/>
                  </w:tcBorders>
                  <w:noWrap w:val="0"/>
                  <w:vAlign w:val="center"/>
                </w:tcPr>
                <w:p w14:paraId="567D3039">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项目不属于生产性捕捞项目。</w:t>
                  </w:r>
                </w:p>
              </w:tc>
              <w:tc>
                <w:tcPr>
                  <w:tcW w:w="939" w:type="dxa"/>
                  <w:tcBorders>
                    <w:tl2br w:val="nil"/>
                    <w:tr2bl w:val="nil"/>
                  </w:tcBorders>
                  <w:noWrap w:val="0"/>
                  <w:vAlign w:val="center"/>
                </w:tcPr>
                <w:p w14:paraId="1843E413">
                  <w:pPr>
                    <w:snapToGrid w:val="0"/>
                    <w:jc w:val="center"/>
                    <w:rPr>
                      <w:color w:val="auto"/>
                    </w:rPr>
                  </w:pPr>
                  <w:r>
                    <w:rPr>
                      <w:rFonts w:hint="eastAsia"/>
                      <w:color w:val="auto"/>
                    </w:rPr>
                    <w:t>符合</w:t>
                  </w:r>
                </w:p>
              </w:tc>
            </w:tr>
            <w:tr w14:paraId="6EFEB1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68D0C8C0">
                  <w:pPr>
                    <w:snapToGrid w:val="0"/>
                    <w:jc w:val="center"/>
                    <w:rPr>
                      <w:color w:val="auto"/>
                    </w:rPr>
                  </w:pPr>
                  <w:r>
                    <w:rPr>
                      <w:color w:val="auto"/>
                    </w:rPr>
                    <w:t>14</w:t>
                  </w:r>
                </w:p>
              </w:tc>
              <w:tc>
                <w:tcPr>
                  <w:tcW w:w="4924" w:type="dxa"/>
                  <w:tcBorders>
                    <w:tl2br w:val="nil"/>
                    <w:tr2bl w:val="nil"/>
                  </w:tcBorders>
                  <w:noWrap w:val="0"/>
                  <w:vAlign w:val="center"/>
                </w:tcPr>
                <w:p w14:paraId="189A7827">
                  <w:pPr>
                    <w:snapToGrid w:val="0"/>
                    <w:jc w:val="center"/>
                    <w:rPr>
                      <w:color w:val="auto"/>
                    </w:rPr>
                  </w:pPr>
                  <w:r>
                    <w:rPr>
                      <w:color w:val="auto"/>
                    </w:rPr>
                    <w:t>禁止在长江干支流、重要湖泊岸线一公里范围内新建、扩建化工园区和化工项目</w:t>
                  </w:r>
                  <w:r>
                    <w:rPr>
                      <w:rFonts w:hint="eastAsia"/>
                      <w:color w:val="auto"/>
                    </w:rPr>
                    <w:t>。</w:t>
                  </w:r>
                </w:p>
              </w:tc>
              <w:tc>
                <w:tcPr>
                  <w:tcW w:w="1740" w:type="dxa"/>
                  <w:tcBorders>
                    <w:tl2br w:val="nil"/>
                    <w:tr2bl w:val="nil"/>
                  </w:tcBorders>
                  <w:noWrap w:val="0"/>
                  <w:vAlign w:val="center"/>
                </w:tcPr>
                <w:p w14:paraId="38E7D488">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w:t>
                  </w:r>
                  <w:r>
                    <w:rPr>
                      <w:rFonts w:hint="eastAsia" w:cs="Times New Roman"/>
                      <w:color w:val="auto"/>
                      <w:highlight w:val="none"/>
                      <w:lang w:val="en-US" w:eastAsia="zh-CN"/>
                    </w:rPr>
                    <w:t>不</w:t>
                  </w:r>
                  <w:r>
                    <w:rPr>
                      <w:rFonts w:hint="default" w:ascii="Times New Roman" w:hAnsi="Times New Roman" w:eastAsia="宋体" w:cs="Times New Roman"/>
                      <w:color w:val="auto"/>
                      <w:highlight w:val="none"/>
                    </w:rPr>
                    <w:t>属于化工项目。</w:t>
                  </w:r>
                </w:p>
              </w:tc>
              <w:tc>
                <w:tcPr>
                  <w:tcW w:w="939" w:type="dxa"/>
                  <w:tcBorders>
                    <w:tl2br w:val="nil"/>
                    <w:tr2bl w:val="nil"/>
                  </w:tcBorders>
                  <w:noWrap w:val="0"/>
                  <w:vAlign w:val="center"/>
                </w:tcPr>
                <w:p w14:paraId="332833C4">
                  <w:pPr>
                    <w:snapToGrid w:val="0"/>
                    <w:jc w:val="center"/>
                    <w:rPr>
                      <w:color w:val="auto"/>
                    </w:rPr>
                  </w:pPr>
                  <w:r>
                    <w:rPr>
                      <w:rFonts w:hint="eastAsia"/>
                      <w:color w:val="auto"/>
                    </w:rPr>
                    <w:t>符合</w:t>
                  </w:r>
                </w:p>
              </w:tc>
            </w:tr>
            <w:tr w14:paraId="194C58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0F63CBC5">
                  <w:pPr>
                    <w:snapToGrid w:val="0"/>
                    <w:jc w:val="center"/>
                    <w:rPr>
                      <w:color w:val="auto"/>
                    </w:rPr>
                  </w:pPr>
                  <w:r>
                    <w:rPr>
                      <w:color w:val="auto"/>
                    </w:rPr>
                    <w:t>15</w:t>
                  </w:r>
                </w:p>
              </w:tc>
              <w:tc>
                <w:tcPr>
                  <w:tcW w:w="4924" w:type="dxa"/>
                  <w:tcBorders>
                    <w:tl2br w:val="nil"/>
                    <w:tr2bl w:val="nil"/>
                  </w:tcBorders>
                  <w:noWrap w:val="0"/>
                  <w:vAlign w:val="center"/>
                </w:tcPr>
                <w:p w14:paraId="3D8AF695">
                  <w:pPr>
                    <w:snapToGrid w:val="0"/>
                    <w:jc w:val="center"/>
                    <w:rPr>
                      <w:color w:val="auto"/>
                    </w:rPr>
                  </w:pPr>
                  <w:r>
                    <w:rPr>
                      <w:color w:val="auto"/>
                    </w:rPr>
                    <w:t>禁止在</w:t>
                  </w:r>
                  <w:r>
                    <w:rPr>
                      <w:rFonts w:hint="eastAsia"/>
                      <w:color w:val="auto"/>
                    </w:rPr>
                    <w:t>长江干流</w:t>
                  </w:r>
                  <w:r>
                    <w:rPr>
                      <w:color w:val="auto"/>
                    </w:rPr>
                    <w:t>岸线三公里范围内和重要支流岸线一公里范围内新建、改建、扩建尾矿库、冶炼渣库、磷石膏库</w:t>
                  </w:r>
                  <w:r>
                    <w:rPr>
                      <w:rFonts w:hint="eastAsia"/>
                      <w:color w:val="auto"/>
                    </w:rPr>
                    <w:t>，</w:t>
                  </w:r>
                  <w:r>
                    <w:rPr>
                      <w:color w:val="auto"/>
                    </w:rPr>
                    <w:t>以提升安全、生态环境保护水平为目的的改建除外</w:t>
                  </w:r>
                  <w:r>
                    <w:rPr>
                      <w:rFonts w:hint="eastAsia"/>
                      <w:color w:val="auto"/>
                    </w:rPr>
                    <w:t>。</w:t>
                  </w:r>
                </w:p>
              </w:tc>
              <w:tc>
                <w:tcPr>
                  <w:tcW w:w="1740" w:type="dxa"/>
                  <w:tcBorders>
                    <w:tl2br w:val="nil"/>
                    <w:tr2bl w:val="nil"/>
                  </w:tcBorders>
                  <w:noWrap w:val="0"/>
                  <w:vAlign w:val="center"/>
                </w:tcPr>
                <w:p w14:paraId="16A79E52">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项目不属于尾矿库、冶炼渣库、磷石膏库项目。</w:t>
                  </w:r>
                </w:p>
              </w:tc>
              <w:tc>
                <w:tcPr>
                  <w:tcW w:w="939" w:type="dxa"/>
                  <w:tcBorders>
                    <w:tl2br w:val="nil"/>
                    <w:tr2bl w:val="nil"/>
                  </w:tcBorders>
                  <w:noWrap w:val="0"/>
                  <w:vAlign w:val="center"/>
                </w:tcPr>
                <w:p w14:paraId="2035FCD9">
                  <w:pPr>
                    <w:snapToGrid w:val="0"/>
                    <w:jc w:val="center"/>
                    <w:rPr>
                      <w:color w:val="auto"/>
                    </w:rPr>
                  </w:pPr>
                  <w:r>
                    <w:rPr>
                      <w:rFonts w:hint="eastAsia"/>
                      <w:color w:val="auto"/>
                    </w:rPr>
                    <w:t>符合</w:t>
                  </w:r>
                </w:p>
              </w:tc>
            </w:tr>
            <w:tr w14:paraId="43A259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28D37407">
                  <w:pPr>
                    <w:snapToGrid w:val="0"/>
                    <w:jc w:val="center"/>
                    <w:rPr>
                      <w:color w:val="auto"/>
                    </w:rPr>
                  </w:pPr>
                  <w:r>
                    <w:rPr>
                      <w:color w:val="auto"/>
                    </w:rPr>
                    <w:t>16</w:t>
                  </w:r>
                </w:p>
              </w:tc>
              <w:tc>
                <w:tcPr>
                  <w:tcW w:w="4924" w:type="dxa"/>
                  <w:tcBorders>
                    <w:tl2br w:val="nil"/>
                    <w:tr2bl w:val="nil"/>
                  </w:tcBorders>
                  <w:noWrap w:val="0"/>
                  <w:vAlign w:val="center"/>
                </w:tcPr>
                <w:p w14:paraId="5A5894D8">
                  <w:pPr>
                    <w:snapToGrid w:val="0"/>
                    <w:jc w:val="center"/>
                    <w:rPr>
                      <w:color w:val="auto"/>
                    </w:rPr>
                  </w:pPr>
                  <w:r>
                    <w:rPr>
                      <w:color w:val="auto"/>
                    </w:rPr>
                    <w:t>禁止在生态保护红线区域、永久基本农田集中区域和其他需要特别保护的区域内选址建设尾矿库、冶炼渣库、磷石膏库</w:t>
                  </w:r>
                  <w:r>
                    <w:rPr>
                      <w:rFonts w:hint="eastAsia"/>
                      <w:color w:val="auto"/>
                    </w:rPr>
                    <w:t>。</w:t>
                  </w:r>
                </w:p>
              </w:tc>
              <w:tc>
                <w:tcPr>
                  <w:tcW w:w="1740" w:type="dxa"/>
                  <w:tcBorders>
                    <w:tl2br w:val="nil"/>
                    <w:tr2bl w:val="nil"/>
                  </w:tcBorders>
                  <w:noWrap w:val="0"/>
                  <w:vAlign w:val="center"/>
                </w:tcPr>
                <w:p w14:paraId="0E2AA57E">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项目不属于尾矿库、冶炼渣库、磷石膏库项目。</w:t>
                  </w:r>
                </w:p>
              </w:tc>
              <w:tc>
                <w:tcPr>
                  <w:tcW w:w="939" w:type="dxa"/>
                  <w:tcBorders>
                    <w:tl2br w:val="nil"/>
                    <w:tr2bl w:val="nil"/>
                  </w:tcBorders>
                  <w:noWrap w:val="0"/>
                  <w:vAlign w:val="center"/>
                </w:tcPr>
                <w:p w14:paraId="4048D12C">
                  <w:pPr>
                    <w:snapToGrid w:val="0"/>
                    <w:jc w:val="center"/>
                    <w:rPr>
                      <w:color w:val="auto"/>
                    </w:rPr>
                  </w:pPr>
                  <w:r>
                    <w:rPr>
                      <w:rFonts w:hint="eastAsia"/>
                      <w:color w:val="auto"/>
                    </w:rPr>
                    <w:t>符合</w:t>
                  </w:r>
                </w:p>
              </w:tc>
            </w:tr>
            <w:tr w14:paraId="0633F6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284AD81B">
                  <w:pPr>
                    <w:snapToGrid w:val="0"/>
                    <w:jc w:val="center"/>
                    <w:rPr>
                      <w:color w:val="auto"/>
                    </w:rPr>
                  </w:pPr>
                  <w:r>
                    <w:rPr>
                      <w:color w:val="auto"/>
                    </w:rPr>
                    <w:t>17</w:t>
                  </w:r>
                </w:p>
              </w:tc>
              <w:tc>
                <w:tcPr>
                  <w:tcW w:w="4924" w:type="dxa"/>
                  <w:tcBorders>
                    <w:tl2br w:val="nil"/>
                    <w:tr2bl w:val="nil"/>
                  </w:tcBorders>
                  <w:noWrap w:val="0"/>
                  <w:vAlign w:val="center"/>
                </w:tcPr>
                <w:p w14:paraId="16852269">
                  <w:pPr>
                    <w:snapToGrid w:val="0"/>
                    <w:jc w:val="center"/>
                    <w:rPr>
                      <w:color w:val="auto"/>
                    </w:rPr>
                  </w:pPr>
                  <w:r>
                    <w:rPr>
                      <w:color w:val="auto"/>
                    </w:rPr>
                    <w:t>禁止在合规园区外新建、扩建钢铁、石化、化工、焦化、建材、有色、制浆造纸等高污染项目</w:t>
                  </w:r>
                  <w:r>
                    <w:rPr>
                      <w:rFonts w:hint="eastAsia"/>
                      <w:color w:val="auto"/>
                    </w:rPr>
                    <w:t>。</w:t>
                  </w:r>
                </w:p>
              </w:tc>
              <w:tc>
                <w:tcPr>
                  <w:tcW w:w="1740" w:type="dxa"/>
                  <w:tcBorders>
                    <w:tl2br w:val="nil"/>
                    <w:tr2bl w:val="nil"/>
                  </w:tcBorders>
                  <w:noWrap w:val="0"/>
                  <w:vAlign w:val="center"/>
                </w:tcPr>
                <w:p w14:paraId="6D9A0E76">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项目不属于钢铁、石化、化工、焦化、建材、有色、制浆造纸等高污染项目。</w:t>
                  </w:r>
                </w:p>
              </w:tc>
              <w:tc>
                <w:tcPr>
                  <w:tcW w:w="939" w:type="dxa"/>
                  <w:tcBorders>
                    <w:tl2br w:val="nil"/>
                    <w:tr2bl w:val="nil"/>
                  </w:tcBorders>
                  <w:noWrap w:val="0"/>
                  <w:vAlign w:val="center"/>
                </w:tcPr>
                <w:p w14:paraId="21982AB2">
                  <w:pPr>
                    <w:snapToGrid w:val="0"/>
                    <w:jc w:val="center"/>
                    <w:rPr>
                      <w:color w:val="auto"/>
                    </w:rPr>
                  </w:pPr>
                  <w:r>
                    <w:rPr>
                      <w:rFonts w:hint="eastAsia"/>
                      <w:color w:val="auto"/>
                    </w:rPr>
                    <w:t>符合</w:t>
                  </w:r>
                </w:p>
              </w:tc>
            </w:tr>
            <w:tr w14:paraId="5B7AEE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2E6BD0BF">
                  <w:pPr>
                    <w:snapToGrid w:val="0"/>
                    <w:jc w:val="center"/>
                    <w:rPr>
                      <w:color w:val="auto"/>
                    </w:rPr>
                  </w:pPr>
                  <w:r>
                    <w:rPr>
                      <w:color w:val="auto"/>
                    </w:rPr>
                    <w:t>18</w:t>
                  </w:r>
                </w:p>
              </w:tc>
              <w:tc>
                <w:tcPr>
                  <w:tcW w:w="4924" w:type="dxa"/>
                  <w:tcBorders>
                    <w:tl2br w:val="nil"/>
                    <w:tr2bl w:val="nil"/>
                  </w:tcBorders>
                  <w:noWrap w:val="0"/>
                  <w:vAlign w:val="center"/>
                </w:tcPr>
                <w:p w14:paraId="6C42DB48">
                  <w:pPr>
                    <w:snapToGrid w:val="0"/>
                    <w:jc w:val="center"/>
                    <w:rPr>
                      <w:color w:val="auto"/>
                    </w:rPr>
                  </w:pPr>
                  <w:r>
                    <w:rPr>
                      <w:color w:val="auto"/>
                    </w:rPr>
                    <w:t>禁止新建、扩建不符合国家石化、现代煤化工等产业布局规划的项目</w:t>
                  </w:r>
                  <w:r>
                    <w:rPr>
                      <w:rFonts w:hint="eastAsia"/>
                      <w:color w:val="auto"/>
                    </w:rPr>
                    <w:t>。</w:t>
                  </w:r>
                </w:p>
              </w:tc>
              <w:tc>
                <w:tcPr>
                  <w:tcW w:w="1740" w:type="dxa"/>
                  <w:tcBorders>
                    <w:tl2br w:val="nil"/>
                    <w:tr2bl w:val="nil"/>
                  </w:tcBorders>
                  <w:noWrap w:val="0"/>
                  <w:vAlign w:val="center"/>
                </w:tcPr>
                <w:p w14:paraId="2FC1A259">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项目不属于石油、现代煤化工等项目。</w:t>
                  </w:r>
                </w:p>
              </w:tc>
              <w:tc>
                <w:tcPr>
                  <w:tcW w:w="939" w:type="dxa"/>
                  <w:tcBorders>
                    <w:tl2br w:val="nil"/>
                    <w:tr2bl w:val="nil"/>
                  </w:tcBorders>
                  <w:noWrap w:val="0"/>
                  <w:vAlign w:val="center"/>
                </w:tcPr>
                <w:p w14:paraId="5944A6E4">
                  <w:pPr>
                    <w:snapToGrid w:val="0"/>
                    <w:jc w:val="center"/>
                    <w:rPr>
                      <w:color w:val="auto"/>
                    </w:rPr>
                  </w:pPr>
                  <w:r>
                    <w:rPr>
                      <w:rFonts w:hint="eastAsia"/>
                      <w:color w:val="auto"/>
                    </w:rPr>
                    <w:t>符合</w:t>
                  </w:r>
                </w:p>
              </w:tc>
            </w:tr>
            <w:tr w14:paraId="426495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99" w:hRule="atLeast"/>
              </w:trPr>
              <w:tc>
                <w:tcPr>
                  <w:tcW w:w="703" w:type="dxa"/>
                  <w:tcBorders>
                    <w:tl2br w:val="nil"/>
                    <w:tr2bl w:val="nil"/>
                  </w:tcBorders>
                  <w:noWrap w:val="0"/>
                  <w:vAlign w:val="center"/>
                </w:tcPr>
                <w:p w14:paraId="011ABC16">
                  <w:pPr>
                    <w:snapToGrid w:val="0"/>
                    <w:jc w:val="center"/>
                    <w:rPr>
                      <w:color w:val="auto"/>
                    </w:rPr>
                  </w:pPr>
                  <w:r>
                    <w:rPr>
                      <w:color w:val="auto"/>
                    </w:rPr>
                    <w:t>19</w:t>
                  </w:r>
                </w:p>
              </w:tc>
              <w:tc>
                <w:tcPr>
                  <w:tcW w:w="4924" w:type="dxa"/>
                  <w:tcBorders>
                    <w:tl2br w:val="nil"/>
                    <w:tr2bl w:val="nil"/>
                  </w:tcBorders>
                  <w:noWrap w:val="0"/>
                  <w:vAlign w:val="center"/>
                </w:tcPr>
                <w:p w14:paraId="7CB8A12A">
                  <w:pPr>
                    <w:snapToGrid w:val="0"/>
                    <w:jc w:val="center"/>
                    <w:rPr>
                      <w:color w:val="auto"/>
                    </w:rPr>
                  </w:pPr>
                  <w:r>
                    <w:rPr>
                      <w:color w:val="auto"/>
                    </w:rPr>
                    <w:t>禁止新建、扩建法律法规和相关政策明令禁止的落后产能项目。对《产业结构调整指导目录》中淘汰类项目</w:t>
                  </w:r>
                  <w:r>
                    <w:rPr>
                      <w:rFonts w:hint="eastAsia"/>
                      <w:color w:val="auto"/>
                    </w:rPr>
                    <w:t>，</w:t>
                  </w:r>
                  <w:r>
                    <w:rPr>
                      <w:color w:val="auto"/>
                    </w:rPr>
                    <w:t>禁止投资；限制类的新建项目</w:t>
                  </w:r>
                  <w:r>
                    <w:rPr>
                      <w:rFonts w:hint="eastAsia"/>
                      <w:color w:val="auto"/>
                    </w:rPr>
                    <w:t>，</w:t>
                  </w:r>
                  <w:r>
                    <w:rPr>
                      <w:color w:val="auto"/>
                    </w:rPr>
                    <w:t>禁止投资</w:t>
                  </w:r>
                  <w:r>
                    <w:rPr>
                      <w:rFonts w:hint="eastAsia"/>
                      <w:color w:val="auto"/>
                    </w:rPr>
                    <w:t>，</w:t>
                  </w:r>
                  <w:r>
                    <w:rPr>
                      <w:color w:val="auto"/>
                    </w:rPr>
                    <w:t>对属于限制类的现有生产能力</w:t>
                  </w:r>
                  <w:r>
                    <w:rPr>
                      <w:rFonts w:hint="eastAsia"/>
                      <w:color w:val="auto"/>
                    </w:rPr>
                    <w:t>，</w:t>
                  </w:r>
                  <w:r>
                    <w:rPr>
                      <w:color w:val="auto"/>
                    </w:rPr>
                    <w:t>允许企业在一定期限内采取措施改造升级</w:t>
                  </w:r>
                  <w:r>
                    <w:rPr>
                      <w:rFonts w:hint="eastAsia"/>
                      <w:color w:val="auto"/>
                    </w:rPr>
                    <w:t>。</w:t>
                  </w:r>
                </w:p>
              </w:tc>
              <w:tc>
                <w:tcPr>
                  <w:tcW w:w="1740" w:type="dxa"/>
                  <w:tcBorders>
                    <w:tl2br w:val="nil"/>
                    <w:tr2bl w:val="nil"/>
                  </w:tcBorders>
                  <w:noWrap w:val="0"/>
                  <w:vAlign w:val="center"/>
                </w:tcPr>
                <w:p w14:paraId="2CE95AFE">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项目不属于落后产能项目。</w:t>
                  </w:r>
                </w:p>
              </w:tc>
              <w:tc>
                <w:tcPr>
                  <w:tcW w:w="939" w:type="dxa"/>
                  <w:tcBorders>
                    <w:tl2br w:val="nil"/>
                    <w:tr2bl w:val="nil"/>
                  </w:tcBorders>
                  <w:noWrap w:val="0"/>
                  <w:vAlign w:val="center"/>
                </w:tcPr>
                <w:p w14:paraId="433F328D">
                  <w:pPr>
                    <w:snapToGrid w:val="0"/>
                    <w:jc w:val="center"/>
                    <w:rPr>
                      <w:color w:val="auto"/>
                    </w:rPr>
                  </w:pPr>
                  <w:r>
                    <w:rPr>
                      <w:rFonts w:hint="eastAsia"/>
                      <w:color w:val="auto"/>
                    </w:rPr>
                    <w:t>符合</w:t>
                  </w:r>
                </w:p>
              </w:tc>
            </w:tr>
            <w:tr w14:paraId="0DE125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6B334570">
                  <w:pPr>
                    <w:snapToGrid w:val="0"/>
                    <w:jc w:val="center"/>
                    <w:rPr>
                      <w:color w:val="auto"/>
                    </w:rPr>
                  </w:pPr>
                  <w:r>
                    <w:rPr>
                      <w:color w:val="auto"/>
                    </w:rPr>
                    <w:t>20</w:t>
                  </w:r>
                </w:p>
              </w:tc>
              <w:tc>
                <w:tcPr>
                  <w:tcW w:w="4924" w:type="dxa"/>
                  <w:tcBorders>
                    <w:tl2br w:val="nil"/>
                    <w:tr2bl w:val="nil"/>
                  </w:tcBorders>
                  <w:noWrap w:val="0"/>
                  <w:vAlign w:val="center"/>
                </w:tcPr>
                <w:p w14:paraId="73376CA5">
                  <w:pPr>
                    <w:snapToGrid w:val="0"/>
                    <w:jc w:val="center"/>
                    <w:rPr>
                      <w:color w:val="auto"/>
                    </w:rPr>
                  </w:pPr>
                  <w:r>
                    <w:rPr>
                      <w:color w:val="auto"/>
                    </w:rPr>
                    <w:t>禁止新建、扩建不符合国家产能置换要求的严重过剩产能行业的项目。对于不符合国家产能置换要求的严重过剩产能行业</w:t>
                  </w:r>
                  <w:r>
                    <w:rPr>
                      <w:rFonts w:hint="eastAsia"/>
                      <w:color w:val="auto"/>
                    </w:rPr>
                    <w:t>，</w:t>
                  </w:r>
                  <w:r>
                    <w:rPr>
                      <w:color w:val="auto"/>
                    </w:rPr>
                    <w:t>不得以其他任何名义、任何方式备案新增产能项目</w:t>
                  </w:r>
                  <w:r>
                    <w:rPr>
                      <w:rFonts w:hint="eastAsia"/>
                      <w:color w:val="auto"/>
                    </w:rPr>
                    <w:t>。</w:t>
                  </w:r>
                </w:p>
              </w:tc>
              <w:tc>
                <w:tcPr>
                  <w:tcW w:w="1740" w:type="dxa"/>
                  <w:tcBorders>
                    <w:tl2br w:val="nil"/>
                    <w:tr2bl w:val="nil"/>
                  </w:tcBorders>
                  <w:noWrap w:val="0"/>
                  <w:vAlign w:val="center"/>
                </w:tcPr>
                <w:p w14:paraId="26E4F9FB">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项目不属于严重过剩产能行业。</w:t>
                  </w:r>
                </w:p>
              </w:tc>
              <w:tc>
                <w:tcPr>
                  <w:tcW w:w="939" w:type="dxa"/>
                  <w:tcBorders>
                    <w:tl2br w:val="nil"/>
                    <w:tr2bl w:val="nil"/>
                  </w:tcBorders>
                  <w:noWrap w:val="0"/>
                  <w:vAlign w:val="center"/>
                </w:tcPr>
                <w:p w14:paraId="389E5642">
                  <w:pPr>
                    <w:snapToGrid w:val="0"/>
                    <w:jc w:val="center"/>
                    <w:rPr>
                      <w:color w:val="auto"/>
                    </w:rPr>
                  </w:pPr>
                  <w:r>
                    <w:rPr>
                      <w:rFonts w:hint="eastAsia"/>
                      <w:color w:val="auto"/>
                    </w:rPr>
                    <w:t>符合</w:t>
                  </w:r>
                </w:p>
              </w:tc>
            </w:tr>
            <w:tr w14:paraId="185E8E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020710FA">
                  <w:pPr>
                    <w:snapToGrid w:val="0"/>
                    <w:jc w:val="center"/>
                    <w:rPr>
                      <w:color w:val="auto"/>
                    </w:rPr>
                  </w:pPr>
                  <w:r>
                    <w:rPr>
                      <w:color w:val="auto"/>
                    </w:rPr>
                    <w:t>21</w:t>
                  </w:r>
                </w:p>
              </w:tc>
              <w:tc>
                <w:tcPr>
                  <w:tcW w:w="4924" w:type="dxa"/>
                  <w:tcBorders>
                    <w:tl2br w:val="nil"/>
                    <w:tr2bl w:val="nil"/>
                  </w:tcBorders>
                  <w:noWrap w:val="0"/>
                  <w:vAlign w:val="center"/>
                </w:tcPr>
                <w:p w14:paraId="6487DEA9">
                  <w:pPr>
                    <w:snapToGrid w:val="0"/>
                    <w:jc w:val="center"/>
                    <w:rPr>
                      <w:color w:val="auto"/>
                    </w:rPr>
                  </w:pPr>
                  <w:r>
                    <w:rPr>
                      <w:color w:val="auto"/>
                    </w:rPr>
                    <w:t>禁止建设以下燃油汽车投资项目</w:t>
                  </w:r>
                  <w:r>
                    <w:rPr>
                      <w:rFonts w:hint="eastAsia"/>
                      <w:color w:val="auto"/>
                    </w:rPr>
                    <w:t>（</w:t>
                  </w:r>
                  <w:r>
                    <w:rPr>
                      <w:color w:val="auto"/>
                    </w:rPr>
                    <w:t>不在中国境内销售产品的投资项目除外）：</w:t>
                  </w:r>
                </w:p>
                <w:p w14:paraId="0B3F8E3F">
                  <w:pPr>
                    <w:snapToGrid w:val="0"/>
                    <w:jc w:val="center"/>
                    <w:rPr>
                      <w:color w:val="auto"/>
                    </w:rPr>
                  </w:pPr>
                  <w:r>
                    <w:rPr>
                      <w:rFonts w:hint="eastAsia"/>
                      <w:color w:val="auto"/>
                    </w:rPr>
                    <w:t>（</w:t>
                  </w:r>
                  <w:r>
                    <w:rPr>
                      <w:color w:val="auto"/>
                    </w:rPr>
                    <w:t>一）新建独立燃油汽车企业；</w:t>
                  </w:r>
                </w:p>
                <w:p w14:paraId="7AFA40A2">
                  <w:pPr>
                    <w:snapToGrid w:val="0"/>
                    <w:jc w:val="center"/>
                    <w:rPr>
                      <w:color w:val="auto"/>
                    </w:rPr>
                  </w:pPr>
                  <w:r>
                    <w:rPr>
                      <w:rFonts w:hint="eastAsia"/>
                      <w:color w:val="auto"/>
                    </w:rPr>
                    <w:t>（</w:t>
                  </w:r>
                  <w:r>
                    <w:rPr>
                      <w:color w:val="auto"/>
                    </w:rPr>
                    <w:t>二）现有汽车企业跨乘用车、商用车类别建设燃油汽车生产能力；</w:t>
                  </w:r>
                </w:p>
                <w:p w14:paraId="3193937E">
                  <w:pPr>
                    <w:snapToGrid w:val="0"/>
                    <w:jc w:val="center"/>
                    <w:rPr>
                      <w:color w:val="auto"/>
                    </w:rPr>
                  </w:pPr>
                  <w:r>
                    <w:rPr>
                      <w:rFonts w:hint="eastAsia"/>
                      <w:color w:val="auto"/>
                    </w:rPr>
                    <w:t>（</w:t>
                  </w:r>
                  <w:r>
                    <w:rPr>
                      <w:color w:val="auto"/>
                    </w:rPr>
                    <w:t>三）外省现有燃油汽车企业整体搬迁至本省</w:t>
                  </w:r>
                  <w:r>
                    <w:rPr>
                      <w:rFonts w:hint="eastAsia"/>
                      <w:color w:val="auto"/>
                    </w:rPr>
                    <w:t>（</w:t>
                  </w:r>
                  <w:r>
                    <w:rPr>
                      <w:color w:val="auto"/>
                    </w:rPr>
                    <w:t>列入国家级区域发展规划或不改变企业股权结构的项目除外）；</w:t>
                  </w:r>
                </w:p>
                <w:p w14:paraId="6C8D84D9">
                  <w:pPr>
                    <w:snapToGrid w:val="0"/>
                    <w:jc w:val="center"/>
                    <w:rPr>
                      <w:color w:val="auto"/>
                    </w:rPr>
                  </w:pPr>
                  <w:r>
                    <w:rPr>
                      <w:rFonts w:hint="eastAsia"/>
                      <w:color w:val="auto"/>
                    </w:rPr>
                    <w:t>（</w:t>
                  </w:r>
                  <w:r>
                    <w:rPr>
                      <w:color w:val="auto"/>
                    </w:rPr>
                    <w:t>四）对行业管理部门特别公示的燃油汽车企业进行投资</w:t>
                  </w:r>
                  <w:r>
                    <w:rPr>
                      <w:rFonts w:hint="eastAsia"/>
                      <w:color w:val="auto"/>
                    </w:rPr>
                    <w:t>（</w:t>
                  </w:r>
                  <w:r>
                    <w:rPr>
                      <w:color w:val="auto"/>
                    </w:rPr>
                    <w:t>企业原有股东投资或将该企业转为非独立法人的投资项目除外）</w:t>
                  </w:r>
                  <w:r>
                    <w:rPr>
                      <w:rFonts w:hint="eastAsia"/>
                      <w:color w:val="auto"/>
                    </w:rPr>
                    <w:t>。</w:t>
                  </w:r>
                </w:p>
              </w:tc>
              <w:tc>
                <w:tcPr>
                  <w:tcW w:w="1740" w:type="dxa"/>
                  <w:tcBorders>
                    <w:tl2br w:val="nil"/>
                    <w:tr2bl w:val="nil"/>
                  </w:tcBorders>
                  <w:noWrap w:val="0"/>
                  <w:vAlign w:val="center"/>
                </w:tcPr>
                <w:p w14:paraId="099843B0">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项目不属于燃油汽车投资项目。</w:t>
                  </w:r>
                </w:p>
              </w:tc>
              <w:tc>
                <w:tcPr>
                  <w:tcW w:w="939" w:type="dxa"/>
                  <w:tcBorders>
                    <w:tl2br w:val="nil"/>
                    <w:tr2bl w:val="nil"/>
                  </w:tcBorders>
                  <w:noWrap w:val="0"/>
                  <w:vAlign w:val="center"/>
                </w:tcPr>
                <w:p w14:paraId="2FA3C6CD">
                  <w:pPr>
                    <w:snapToGrid w:val="0"/>
                    <w:jc w:val="center"/>
                    <w:rPr>
                      <w:color w:val="auto"/>
                    </w:rPr>
                  </w:pPr>
                  <w:r>
                    <w:rPr>
                      <w:rFonts w:hint="eastAsia"/>
                      <w:color w:val="auto"/>
                    </w:rPr>
                    <w:t>符合</w:t>
                  </w:r>
                </w:p>
              </w:tc>
            </w:tr>
            <w:tr w14:paraId="634410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03" w:type="dxa"/>
                  <w:tcBorders>
                    <w:tl2br w:val="nil"/>
                    <w:tr2bl w:val="nil"/>
                  </w:tcBorders>
                  <w:noWrap w:val="0"/>
                  <w:vAlign w:val="center"/>
                </w:tcPr>
                <w:p w14:paraId="22D70935">
                  <w:pPr>
                    <w:snapToGrid w:val="0"/>
                    <w:jc w:val="center"/>
                    <w:rPr>
                      <w:color w:val="auto"/>
                    </w:rPr>
                  </w:pPr>
                  <w:r>
                    <w:rPr>
                      <w:color w:val="auto"/>
                    </w:rPr>
                    <w:t>22</w:t>
                  </w:r>
                </w:p>
              </w:tc>
              <w:tc>
                <w:tcPr>
                  <w:tcW w:w="4924" w:type="dxa"/>
                  <w:tcBorders>
                    <w:tl2br w:val="nil"/>
                    <w:tr2bl w:val="nil"/>
                  </w:tcBorders>
                  <w:noWrap w:val="0"/>
                  <w:vAlign w:val="center"/>
                </w:tcPr>
                <w:p w14:paraId="4725784A">
                  <w:pPr>
                    <w:snapToGrid w:val="0"/>
                    <w:jc w:val="center"/>
                    <w:rPr>
                      <w:color w:val="auto"/>
                    </w:rPr>
                  </w:pPr>
                  <w:r>
                    <w:rPr>
                      <w:color w:val="auto"/>
                    </w:rPr>
                    <w:t>禁止新建、扩建不符合要求的高耗能、高排放、低水平项目</w:t>
                  </w:r>
                  <w:r>
                    <w:rPr>
                      <w:rFonts w:hint="eastAsia"/>
                      <w:color w:val="auto"/>
                    </w:rPr>
                    <w:t>。</w:t>
                  </w:r>
                </w:p>
              </w:tc>
              <w:tc>
                <w:tcPr>
                  <w:tcW w:w="1740" w:type="dxa"/>
                  <w:tcBorders>
                    <w:tl2br w:val="nil"/>
                    <w:tr2bl w:val="nil"/>
                  </w:tcBorders>
                  <w:noWrap w:val="0"/>
                  <w:vAlign w:val="center"/>
                </w:tcPr>
                <w:p w14:paraId="47B0443E">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项目不属于高耗能、高排放、低水平项目。</w:t>
                  </w:r>
                </w:p>
              </w:tc>
              <w:tc>
                <w:tcPr>
                  <w:tcW w:w="939" w:type="dxa"/>
                  <w:tcBorders>
                    <w:tl2br w:val="nil"/>
                    <w:tr2bl w:val="nil"/>
                  </w:tcBorders>
                  <w:noWrap w:val="0"/>
                  <w:vAlign w:val="center"/>
                </w:tcPr>
                <w:p w14:paraId="56BD4C2D">
                  <w:pPr>
                    <w:snapToGrid w:val="0"/>
                    <w:jc w:val="center"/>
                    <w:rPr>
                      <w:color w:val="auto"/>
                    </w:rPr>
                  </w:pPr>
                  <w:r>
                    <w:rPr>
                      <w:rFonts w:hint="eastAsia"/>
                      <w:color w:val="auto"/>
                    </w:rPr>
                    <w:t>符合</w:t>
                  </w:r>
                </w:p>
              </w:tc>
            </w:tr>
          </w:tbl>
          <w:p w14:paraId="19923BEA">
            <w:pPr>
              <w:autoSpaceDE w:val="0"/>
              <w:autoSpaceDN w:val="0"/>
              <w:adjustRightInd w:val="0"/>
              <w:snapToGrid w:val="0"/>
              <w:spacing w:before="120" w:beforeLines="50" w:line="360" w:lineRule="auto"/>
              <w:rPr>
                <w:rFonts w:hint="eastAsia"/>
                <w:b/>
                <w:bCs/>
                <w:color w:val="auto"/>
                <w:sz w:val="24"/>
                <w:szCs w:val="32"/>
              </w:rPr>
            </w:pPr>
            <w:r>
              <w:rPr>
                <w:rFonts w:hint="eastAsia"/>
                <w:b/>
                <w:bCs/>
                <w:color w:val="auto"/>
                <w:sz w:val="24"/>
                <w:szCs w:val="32"/>
              </w:rPr>
              <w:t>1.</w:t>
            </w:r>
            <w:r>
              <w:rPr>
                <w:rFonts w:hint="eastAsia"/>
                <w:b/>
                <w:bCs/>
                <w:color w:val="auto"/>
                <w:sz w:val="24"/>
                <w:szCs w:val="32"/>
                <w:lang w:val="en-US" w:eastAsia="zh-CN"/>
              </w:rPr>
              <w:t>5</w:t>
            </w:r>
            <w:r>
              <w:rPr>
                <w:rFonts w:hint="eastAsia"/>
                <w:b/>
                <w:bCs/>
                <w:color w:val="auto"/>
                <w:sz w:val="24"/>
                <w:szCs w:val="32"/>
              </w:rPr>
              <w:t>与《动物诊疗机构管理办法》（中华人民共和国农业农村部令2022年第5号）的符合性分析</w:t>
            </w:r>
          </w:p>
          <w:p w14:paraId="38A19ACA">
            <w:pPr>
              <w:autoSpaceDE w:val="0"/>
              <w:autoSpaceDN w:val="0"/>
              <w:adjustRightInd w:val="0"/>
              <w:snapToGrid w:val="0"/>
              <w:spacing w:line="360" w:lineRule="auto"/>
              <w:jc w:val="center"/>
              <w:rPr>
                <w:rFonts w:hint="eastAsia"/>
                <w:color w:val="auto"/>
                <w:sz w:val="21"/>
                <w:szCs w:val="24"/>
              </w:rPr>
            </w:pPr>
            <w:r>
              <w:rPr>
                <w:rFonts w:hint="eastAsia"/>
                <w:color w:val="auto"/>
                <w:sz w:val="21"/>
                <w:szCs w:val="24"/>
              </w:rPr>
              <w:t>表1.</w:t>
            </w:r>
            <w:r>
              <w:rPr>
                <w:rFonts w:hint="eastAsia"/>
                <w:color w:val="auto"/>
                <w:sz w:val="21"/>
                <w:szCs w:val="24"/>
                <w:lang w:val="en-US" w:eastAsia="zh-CN"/>
              </w:rPr>
              <w:t>5</w:t>
            </w:r>
            <w:r>
              <w:rPr>
                <w:rFonts w:hint="eastAsia"/>
                <w:color w:val="auto"/>
                <w:sz w:val="21"/>
                <w:szCs w:val="24"/>
              </w:rPr>
              <w:t>-1 与《动物诊疗机构管理办法》符合性分析对照表</w:t>
            </w:r>
          </w:p>
          <w:tbl>
            <w:tblPr>
              <w:tblStyle w:val="21"/>
              <w:tblW w:w="8309"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77"/>
              <w:gridCol w:w="3356"/>
              <w:gridCol w:w="3215"/>
              <w:gridCol w:w="961"/>
            </w:tblGrid>
            <w:tr w14:paraId="5F6ED9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77" w:type="dxa"/>
                  <w:tcBorders>
                    <w:tl2br w:val="nil"/>
                    <w:tr2bl w:val="nil"/>
                  </w:tcBorders>
                  <w:noWrap w:val="0"/>
                  <w:vAlign w:val="center"/>
                </w:tcPr>
                <w:p w14:paraId="529F70E7">
                  <w:pPr>
                    <w:pStyle w:val="6"/>
                    <w:ind w:firstLine="0"/>
                    <w:jc w:val="center"/>
                    <w:rPr>
                      <w:rFonts w:hint="eastAsia"/>
                      <w:bCs/>
                      <w:color w:val="auto"/>
                      <w:kern w:val="0"/>
                      <w:sz w:val="21"/>
                    </w:rPr>
                  </w:pPr>
                  <w:r>
                    <w:rPr>
                      <w:rFonts w:hint="eastAsia"/>
                      <w:bCs/>
                      <w:color w:val="auto"/>
                      <w:kern w:val="0"/>
                      <w:sz w:val="21"/>
                    </w:rPr>
                    <w:t>序号</w:t>
                  </w:r>
                </w:p>
              </w:tc>
              <w:tc>
                <w:tcPr>
                  <w:tcW w:w="3356" w:type="dxa"/>
                  <w:tcBorders>
                    <w:tl2br w:val="nil"/>
                    <w:tr2bl w:val="nil"/>
                  </w:tcBorders>
                  <w:noWrap w:val="0"/>
                  <w:vAlign w:val="center"/>
                </w:tcPr>
                <w:p w14:paraId="233C2B28">
                  <w:pPr>
                    <w:pStyle w:val="6"/>
                    <w:ind w:firstLine="0"/>
                    <w:jc w:val="center"/>
                    <w:rPr>
                      <w:rFonts w:hint="eastAsia"/>
                      <w:bCs/>
                      <w:color w:val="auto"/>
                      <w:kern w:val="0"/>
                      <w:sz w:val="21"/>
                    </w:rPr>
                  </w:pPr>
                  <w:r>
                    <w:rPr>
                      <w:rFonts w:hint="eastAsia"/>
                      <w:bCs/>
                      <w:color w:val="auto"/>
                      <w:kern w:val="0"/>
                      <w:sz w:val="21"/>
                    </w:rPr>
                    <w:t>相关要求</w:t>
                  </w:r>
                </w:p>
              </w:tc>
              <w:tc>
                <w:tcPr>
                  <w:tcW w:w="3215" w:type="dxa"/>
                  <w:tcBorders>
                    <w:tl2br w:val="nil"/>
                    <w:tr2bl w:val="nil"/>
                  </w:tcBorders>
                  <w:noWrap w:val="0"/>
                  <w:vAlign w:val="center"/>
                </w:tcPr>
                <w:p w14:paraId="377729E8">
                  <w:pPr>
                    <w:pStyle w:val="6"/>
                    <w:ind w:firstLine="0"/>
                    <w:jc w:val="center"/>
                    <w:rPr>
                      <w:rFonts w:hint="eastAsia"/>
                      <w:bCs/>
                      <w:color w:val="auto"/>
                      <w:kern w:val="0"/>
                      <w:sz w:val="21"/>
                    </w:rPr>
                  </w:pPr>
                  <w:r>
                    <w:rPr>
                      <w:rFonts w:hint="eastAsia"/>
                      <w:bCs/>
                      <w:color w:val="auto"/>
                      <w:kern w:val="0"/>
                      <w:sz w:val="21"/>
                      <w:lang w:val="en-US" w:eastAsia="zh-CN"/>
                    </w:rPr>
                    <w:t>建设</w:t>
                  </w:r>
                  <w:r>
                    <w:rPr>
                      <w:rFonts w:hint="eastAsia"/>
                      <w:bCs/>
                      <w:color w:val="auto"/>
                      <w:kern w:val="0"/>
                      <w:sz w:val="21"/>
                      <w:lang w:eastAsia="zh-CN"/>
                    </w:rPr>
                    <w:t>项目</w:t>
                  </w:r>
                  <w:r>
                    <w:rPr>
                      <w:rFonts w:hint="eastAsia"/>
                      <w:bCs/>
                      <w:color w:val="auto"/>
                      <w:kern w:val="0"/>
                      <w:sz w:val="21"/>
                    </w:rPr>
                    <w:t>概况</w:t>
                  </w:r>
                </w:p>
              </w:tc>
              <w:tc>
                <w:tcPr>
                  <w:tcW w:w="961" w:type="dxa"/>
                  <w:tcBorders>
                    <w:tl2br w:val="nil"/>
                    <w:tr2bl w:val="nil"/>
                  </w:tcBorders>
                  <w:noWrap w:val="0"/>
                  <w:vAlign w:val="center"/>
                </w:tcPr>
                <w:p w14:paraId="71DC51F3">
                  <w:pPr>
                    <w:pStyle w:val="6"/>
                    <w:ind w:firstLine="0"/>
                    <w:jc w:val="center"/>
                    <w:rPr>
                      <w:rFonts w:hint="eastAsia"/>
                      <w:bCs/>
                      <w:color w:val="auto"/>
                      <w:kern w:val="0"/>
                      <w:sz w:val="21"/>
                    </w:rPr>
                  </w:pPr>
                  <w:r>
                    <w:rPr>
                      <w:rFonts w:hint="eastAsia"/>
                      <w:bCs/>
                      <w:color w:val="auto"/>
                      <w:kern w:val="0"/>
                      <w:sz w:val="21"/>
                    </w:rPr>
                    <w:t>符合性</w:t>
                  </w:r>
                </w:p>
              </w:tc>
            </w:tr>
            <w:tr w14:paraId="3BA627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5" w:hRule="atLeast"/>
              </w:trPr>
              <w:tc>
                <w:tcPr>
                  <w:tcW w:w="777" w:type="dxa"/>
                  <w:tcBorders>
                    <w:tl2br w:val="nil"/>
                    <w:tr2bl w:val="nil"/>
                  </w:tcBorders>
                  <w:noWrap w:val="0"/>
                  <w:vAlign w:val="center"/>
                </w:tcPr>
                <w:p w14:paraId="0C1EB3E0">
                  <w:pPr>
                    <w:pStyle w:val="6"/>
                    <w:ind w:firstLine="0"/>
                    <w:jc w:val="center"/>
                    <w:rPr>
                      <w:rFonts w:hint="eastAsia"/>
                      <w:bCs/>
                      <w:color w:val="auto"/>
                      <w:kern w:val="0"/>
                      <w:sz w:val="21"/>
                    </w:rPr>
                  </w:pPr>
                  <w:r>
                    <w:rPr>
                      <w:rFonts w:hint="eastAsia"/>
                      <w:bCs/>
                      <w:color w:val="auto"/>
                      <w:kern w:val="0"/>
                      <w:sz w:val="21"/>
                    </w:rPr>
                    <w:t>1</w:t>
                  </w:r>
                </w:p>
              </w:tc>
              <w:tc>
                <w:tcPr>
                  <w:tcW w:w="3356" w:type="dxa"/>
                  <w:tcBorders>
                    <w:tl2br w:val="nil"/>
                    <w:tr2bl w:val="nil"/>
                  </w:tcBorders>
                  <w:noWrap w:val="0"/>
                  <w:vAlign w:val="center"/>
                </w:tcPr>
                <w:p w14:paraId="1AF34389">
                  <w:pPr>
                    <w:widowControl/>
                    <w:jc w:val="center"/>
                    <w:rPr>
                      <w:bCs/>
                      <w:color w:val="auto"/>
                      <w:kern w:val="0"/>
                    </w:rPr>
                  </w:pPr>
                  <w:r>
                    <w:rPr>
                      <w:rFonts w:hint="eastAsia"/>
                      <w:bCs/>
                      <w:color w:val="auto"/>
                      <w:kern w:val="0"/>
                    </w:rPr>
                    <w:t>有固定的动物诊疗场所，且动物诊疗场所使用面积符合省、自治区、直辖市人民政府兽医主管部门的规定。</w:t>
                  </w:r>
                </w:p>
              </w:tc>
              <w:tc>
                <w:tcPr>
                  <w:tcW w:w="3215" w:type="dxa"/>
                  <w:tcBorders>
                    <w:tl2br w:val="nil"/>
                    <w:tr2bl w:val="nil"/>
                  </w:tcBorders>
                  <w:noWrap w:val="0"/>
                  <w:vAlign w:val="center"/>
                </w:tcPr>
                <w:p w14:paraId="163A2246">
                  <w:pPr>
                    <w:pStyle w:val="6"/>
                    <w:ind w:firstLine="0"/>
                    <w:jc w:val="center"/>
                    <w:rPr>
                      <w:bCs/>
                      <w:color w:val="auto"/>
                      <w:kern w:val="0"/>
                      <w:sz w:val="21"/>
                    </w:rPr>
                  </w:pPr>
                  <w:r>
                    <w:rPr>
                      <w:rFonts w:hint="eastAsia"/>
                      <w:bCs/>
                      <w:color w:val="auto"/>
                      <w:kern w:val="0"/>
                      <w:sz w:val="21"/>
                      <w:lang w:eastAsia="zh-CN"/>
                    </w:rPr>
                    <w:t>项目</w:t>
                  </w:r>
                  <w:r>
                    <w:rPr>
                      <w:rFonts w:hint="eastAsia"/>
                      <w:bCs/>
                      <w:color w:val="auto"/>
                      <w:kern w:val="0"/>
                      <w:sz w:val="21"/>
                    </w:rPr>
                    <w:t>租用</w:t>
                  </w:r>
                  <w:r>
                    <w:rPr>
                      <w:rFonts w:hint="eastAsia"/>
                      <w:bCs/>
                      <w:color w:val="auto"/>
                      <w:kern w:val="0"/>
                      <w:sz w:val="21"/>
                      <w:lang w:val="en-US" w:eastAsia="zh-CN"/>
                    </w:rPr>
                    <w:t>金科阳光小镇6期</w:t>
                  </w:r>
                  <w:r>
                    <w:rPr>
                      <w:rFonts w:hint="eastAsia"/>
                      <w:bCs/>
                      <w:color w:val="auto"/>
                      <w:kern w:val="0"/>
                      <w:sz w:val="21"/>
                    </w:rPr>
                    <w:t>商业门面，为固定诊疗场所，且场所面积符合相关规定。</w:t>
                  </w:r>
                </w:p>
              </w:tc>
              <w:tc>
                <w:tcPr>
                  <w:tcW w:w="961" w:type="dxa"/>
                  <w:tcBorders>
                    <w:tl2br w:val="nil"/>
                    <w:tr2bl w:val="nil"/>
                  </w:tcBorders>
                  <w:noWrap w:val="0"/>
                  <w:vAlign w:val="center"/>
                </w:tcPr>
                <w:p w14:paraId="00245291">
                  <w:pPr>
                    <w:pStyle w:val="6"/>
                    <w:ind w:firstLine="0"/>
                    <w:jc w:val="center"/>
                    <w:rPr>
                      <w:rFonts w:hint="eastAsia"/>
                      <w:bCs/>
                      <w:color w:val="auto"/>
                      <w:kern w:val="0"/>
                      <w:sz w:val="21"/>
                    </w:rPr>
                  </w:pPr>
                  <w:r>
                    <w:rPr>
                      <w:rFonts w:hint="eastAsia"/>
                      <w:bCs/>
                      <w:color w:val="auto"/>
                      <w:kern w:val="0"/>
                      <w:sz w:val="21"/>
                    </w:rPr>
                    <w:t>符合</w:t>
                  </w:r>
                </w:p>
              </w:tc>
            </w:tr>
            <w:tr w14:paraId="6ECC53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77" w:type="dxa"/>
                  <w:tcBorders>
                    <w:tl2br w:val="nil"/>
                    <w:tr2bl w:val="nil"/>
                  </w:tcBorders>
                  <w:noWrap w:val="0"/>
                  <w:vAlign w:val="center"/>
                </w:tcPr>
                <w:p w14:paraId="62783AAA">
                  <w:pPr>
                    <w:pStyle w:val="6"/>
                    <w:ind w:firstLine="0"/>
                    <w:jc w:val="center"/>
                    <w:rPr>
                      <w:rFonts w:hint="eastAsia"/>
                      <w:bCs/>
                      <w:color w:val="auto"/>
                      <w:kern w:val="0"/>
                      <w:sz w:val="21"/>
                    </w:rPr>
                  </w:pPr>
                  <w:r>
                    <w:rPr>
                      <w:rFonts w:hint="eastAsia"/>
                      <w:bCs/>
                      <w:color w:val="auto"/>
                      <w:kern w:val="0"/>
                      <w:sz w:val="21"/>
                    </w:rPr>
                    <w:t>2</w:t>
                  </w:r>
                </w:p>
              </w:tc>
              <w:tc>
                <w:tcPr>
                  <w:tcW w:w="3356" w:type="dxa"/>
                  <w:tcBorders>
                    <w:tl2br w:val="nil"/>
                    <w:tr2bl w:val="nil"/>
                  </w:tcBorders>
                  <w:noWrap w:val="0"/>
                  <w:vAlign w:val="center"/>
                </w:tcPr>
                <w:p w14:paraId="798D679B">
                  <w:pPr>
                    <w:pStyle w:val="6"/>
                    <w:ind w:firstLine="0"/>
                    <w:jc w:val="center"/>
                    <w:rPr>
                      <w:bCs/>
                      <w:color w:val="auto"/>
                      <w:kern w:val="0"/>
                      <w:sz w:val="21"/>
                    </w:rPr>
                  </w:pPr>
                  <w:r>
                    <w:rPr>
                      <w:rFonts w:hint="eastAsia"/>
                      <w:bCs/>
                      <w:color w:val="auto"/>
                      <w:kern w:val="0"/>
                      <w:sz w:val="21"/>
                    </w:rPr>
                    <w:t>动物诊疗场所选址距离畜禽养殖场、屠宰加工厂、动物交易场所不少于200米。</w:t>
                  </w:r>
                </w:p>
              </w:tc>
              <w:tc>
                <w:tcPr>
                  <w:tcW w:w="3215" w:type="dxa"/>
                  <w:tcBorders>
                    <w:tl2br w:val="nil"/>
                    <w:tr2bl w:val="nil"/>
                  </w:tcBorders>
                  <w:noWrap w:val="0"/>
                  <w:vAlign w:val="center"/>
                </w:tcPr>
                <w:p w14:paraId="1396FB0E">
                  <w:pPr>
                    <w:pStyle w:val="6"/>
                    <w:ind w:firstLine="0"/>
                    <w:jc w:val="center"/>
                    <w:rPr>
                      <w:bCs/>
                      <w:color w:val="auto"/>
                      <w:kern w:val="0"/>
                      <w:sz w:val="21"/>
                    </w:rPr>
                  </w:pPr>
                  <w:r>
                    <w:rPr>
                      <w:rFonts w:hint="eastAsia"/>
                      <w:bCs/>
                      <w:color w:val="auto"/>
                      <w:kern w:val="0"/>
                      <w:sz w:val="21"/>
                      <w:lang w:eastAsia="zh-CN"/>
                    </w:rPr>
                    <w:t>项目</w:t>
                  </w:r>
                  <w:r>
                    <w:rPr>
                      <w:rFonts w:hint="eastAsia"/>
                      <w:bCs/>
                      <w:color w:val="auto"/>
                      <w:kern w:val="0"/>
                      <w:sz w:val="21"/>
                    </w:rPr>
                    <w:t>周边200m范围内无大型畜禽养殖场、动物交易场所等。</w:t>
                  </w:r>
                </w:p>
              </w:tc>
              <w:tc>
                <w:tcPr>
                  <w:tcW w:w="961" w:type="dxa"/>
                  <w:tcBorders>
                    <w:tl2br w:val="nil"/>
                    <w:tr2bl w:val="nil"/>
                  </w:tcBorders>
                  <w:noWrap w:val="0"/>
                  <w:vAlign w:val="center"/>
                </w:tcPr>
                <w:p w14:paraId="67C50B4C">
                  <w:pPr>
                    <w:pStyle w:val="6"/>
                    <w:ind w:firstLine="0"/>
                    <w:jc w:val="center"/>
                    <w:rPr>
                      <w:bCs/>
                      <w:color w:val="auto"/>
                      <w:kern w:val="0"/>
                      <w:sz w:val="21"/>
                    </w:rPr>
                  </w:pPr>
                  <w:r>
                    <w:rPr>
                      <w:rFonts w:hint="eastAsia"/>
                      <w:bCs/>
                      <w:color w:val="auto"/>
                      <w:kern w:val="0"/>
                      <w:sz w:val="21"/>
                    </w:rPr>
                    <w:t>符合</w:t>
                  </w:r>
                </w:p>
              </w:tc>
            </w:tr>
            <w:tr w14:paraId="247714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77" w:type="dxa"/>
                  <w:tcBorders>
                    <w:tl2br w:val="nil"/>
                    <w:tr2bl w:val="nil"/>
                  </w:tcBorders>
                  <w:noWrap w:val="0"/>
                  <w:vAlign w:val="center"/>
                </w:tcPr>
                <w:p w14:paraId="35DDAA82">
                  <w:pPr>
                    <w:pStyle w:val="6"/>
                    <w:ind w:firstLine="0"/>
                    <w:jc w:val="center"/>
                    <w:rPr>
                      <w:rFonts w:hint="eastAsia"/>
                      <w:bCs/>
                      <w:color w:val="auto"/>
                      <w:kern w:val="0"/>
                      <w:sz w:val="21"/>
                    </w:rPr>
                  </w:pPr>
                  <w:r>
                    <w:rPr>
                      <w:rFonts w:hint="eastAsia"/>
                      <w:bCs/>
                      <w:color w:val="auto"/>
                      <w:kern w:val="0"/>
                      <w:sz w:val="21"/>
                    </w:rPr>
                    <w:t>3</w:t>
                  </w:r>
                </w:p>
              </w:tc>
              <w:tc>
                <w:tcPr>
                  <w:tcW w:w="3356" w:type="dxa"/>
                  <w:tcBorders>
                    <w:tl2br w:val="nil"/>
                    <w:tr2bl w:val="nil"/>
                  </w:tcBorders>
                  <w:noWrap w:val="0"/>
                  <w:vAlign w:val="center"/>
                </w:tcPr>
                <w:p w14:paraId="30DFF21A">
                  <w:pPr>
                    <w:pStyle w:val="6"/>
                    <w:ind w:firstLine="0"/>
                    <w:jc w:val="center"/>
                    <w:rPr>
                      <w:bCs/>
                      <w:color w:val="auto"/>
                      <w:kern w:val="0"/>
                      <w:sz w:val="21"/>
                    </w:rPr>
                  </w:pPr>
                  <w:r>
                    <w:rPr>
                      <w:rFonts w:hint="eastAsia"/>
                      <w:bCs/>
                      <w:color w:val="auto"/>
                      <w:kern w:val="0"/>
                      <w:sz w:val="21"/>
                    </w:rPr>
                    <w:t>动物诊疗场所设有独立的出入口，出入口不得设在居民住宅楼内或院内，不得与同一建筑物的其他用户共用通道。</w:t>
                  </w:r>
                </w:p>
              </w:tc>
              <w:tc>
                <w:tcPr>
                  <w:tcW w:w="3215" w:type="dxa"/>
                  <w:tcBorders>
                    <w:tl2br w:val="nil"/>
                    <w:tr2bl w:val="nil"/>
                  </w:tcBorders>
                  <w:noWrap w:val="0"/>
                  <w:vAlign w:val="center"/>
                </w:tcPr>
                <w:p w14:paraId="39560921">
                  <w:pPr>
                    <w:pStyle w:val="6"/>
                    <w:ind w:firstLine="0"/>
                    <w:jc w:val="center"/>
                    <w:rPr>
                      <w:bCs/>
                      <w:color w:val="auto"/>
                      <w:kern w:val="0"/>
                      <w:sz w:val="21"/>
                    </w:rPr>
                  </w:pPr>
                  <w:r>
                    <w:rPr>
                      <w:rFonts w:hint="eastAsia"/>
                      <w:bCs/>
                      <w:color w:val="auto"/>
                      <w:kern w:val="0"/>
                      <w:sz w:val="21"/>
                      <w:lang w:eastAsia="zh-CN"/>
                    </w:rPr>
                    <w:t>项目</w:t>
                  </w:r>
                  <w:r>
                    <w:rPr>
                      <w:rFonts w:hint="eastAsia"/>
                      <w:bCs/>
                      <w:color w:val="auto"/>
                      <w:kern w:val="0"/>
                      <w:sz w:val="21"/>
                    </w:rPr>
                    <w:t>设置了独立的出入口，未与其他用户共用通道。</w:t>
                  </w:r>
                </w:p>
              </w:tc>
              <w:tc>
                <w:tcPr>
                  <w:tcW w:w="961" w:type="dxa"/>
                  <w:tcBorders>
                    <w:tl2br w:val="nil"/>
                    <w:tr2bl w:val="nil"/>
                  </w:tcBorders>
                  <w:noWrap w:val="0"/>
                  <w:vAlign w:val="center"/>
                </w:tcPr>
                <w:p w14:paraId="13F54755">
                  <w:pPr>
                    <w:pStyle w:val="6"/>
                    <w:ind w:firstLine="0"/>
                    <w:jc w:val="center"/>
                    <w:rPr>
                      <w:bCs/>
                      <w:color w:val="auto"/>
                      <w:kern w:val="0"/>
                      <w:sz w:val="21"/>
                    </w:rPr>
                  </w:pPr>
                  <w:r>
                    <w:rPr>
                      <w:rFonts w:hint="eastAsia"/>
                      <w:bCs/>
                      <w:color w:val="auto"/>
                      <w:kern w:val="0"/>
                      <w:sz w:val="21"/>
                    </w:rPr>
                    <w:t>符合</w:t>
                  </w:r>
                </w:p>
              </w:tc>
            </w:tr>
            <w:tr w14:paraId="33598A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77" w:type="dxa"/>
                  <w:tcBorders>
                    <w:tl2br w:val="nil"/>
                    <w:tr2bl w:val="nil"/>
                  </w:tcBorders>
                  <w:noWrap w:val="0"/>
                  <w:vAlign w:val="center"/>
                </w:tcPr>
                <w:p w14:paraId="2595F99F">
                  <w:pPr>
                    <w:pStyle w:val="6"/>
                    <w:ind w:firstLine="0"/>
                    <w:jc w:val="center"/>
                    <w:rPr>
                      <w:rFonts w:hint="eastAsia"/>
                      <w:bCs/>
                      <w:color w:val="auto"/>
                      <w:kern w:val="0"/>
                      <w:sz w:val="21"/>
                    </w:rPr>
                  </w:pPr>
                  <w:r>
                    <w:rPr>
                      <w:rFonts w:hint="eastAsia"/>
                      <w:bCs/>
                      <w:color w:val="auto"/>
                      <w:kern w:val="0"/>
                      <w:sz w:val="21"/>
                    </w:rPr>
                    <w:t>4</w:t>
                  </w:r>
                </w:p>
              </w:tc>
              <w:tc>
                <w:tcPr>
                  <w:tcW w:w="3356" w:type="dxa"/>
                  <w:tcBorders>
                    <w:tl2br w:val="nil"/>
                    <w:tr2bl w:val="nil"/>
                  </w:tcBorders>
                  <w:noWrap w:val="0"/>
                  <w:vAlign w:val="center"/>
                </w:tcPr>
                <w:p w14:paraId="009EABF9">
                  <w:pPr>
                    <w:pStyle w:val="6"/>
                    <w:ind w:firstLine="0"/>
                    <w:jc w:val="center"/>
                    <w:rPr>
                      <w:rFonts w:hint="eastAsia" w:eastAsia="宋体"/>
                      <w:bCs/>
                      <w:color w:val="auto"/>
                      <w:kern w:val="0"/>
                      <w:sz w:val="21"/>
                      <w:lang w:eastAsia="zh-CN"/>
                    </w:rPr>
                  </w:pPr>
                  <w:r>
                    <w:rPr>
                      <w:rFonts w:hint="eastAsia"/>
                      <w:bCs/>
                      <w:color w:val="auto"/>
                      <w:kern w:val="0"/>
                      <w:sz w:val="21"/>
                    </w:rPr>
                    <w:t>具有布局合理的诊疗室、隔离室、药房等设施</w:t>
                  </w:r>
                  <w:r>
                    <w:rPr>
                      <w:rFonts w:hint="eastAsia"/>
                      <w:bCs/>
                      <w:color w:val="auto"/>
                      <w:kern w:val="0"/>
                      <w:sz w:val="21"/>
                      <w:lang w:eastAsia="zh-CN"/>
                    </w:rPr>
                    <w:t>。</w:t>
                  </w:r>
                </w:p>
              </w:tc>
              <w:tc>
                <w:tcPr>
                  <w:tcW w:w="3215" w:type="dxa"/>
                  <w:tcBorders>
                    <w:tl2br w:val="nil"/>
                    <w:tr2bl w:val="nil"/>
                  </w:tcBorders>
                  <w:noWrap w:val="0"/>
                  <w:vAlign w:val="center"/>
                </w:tcPr>
                <w:p w14:paraId="3BC95055">
                  <w:pPr>
                    <w:pStyle w:val="6"/>
                    <w:ind w:firstLine="0"/>
                    <w:jc w:val="center"/>
                    <w:rPr>
                      <w:bCs/>
                      <w:color w:val="auto"/>
                      <w:kern w:val="0"/>
                      <w:sz w:val="21"/>
                    </w:rPr>
                  </w:pPr>
                  <w:r>
                    <w:rPr>
                      <w:rFonts w:hint="eastAsia"/>
                      <w:bCs/>
                      <w:color w:val="auto"/>
                      <w:kern w:val="0"/>
                      <w:sz w:val="21"/>
                      <w:lang w:eastAsia="zh-CN"/>
                    </w:rPr>
                    <w:t>项目</w:t>
                  </w:r>
                  <w:r>
                    <w:rPr>
                      <w:rFonts w:hint="eastAsia"/>
                      <w:bCs/>
                      <w:color w:val="auto"/>
                      <w:kern w:val="0"/>
                      <w:sz w:val="21"/>
                    </w:rPr>
                    <w:t>设置有诊疗室、隔离室、药房等设施</w:t>
                  </w:r>
                  <w:r>
                    <w:rPr>
                      <w:rFonts w:hint="eastAsia"/>
                      <w:bCs/>
                      <w:color w:val="auto"/>
                      <w:kern w:val="0"/>
                      <w:sz w:val="21"/>
                      <w:lang w:eastAsia="zh-CN"/>
                    </w:rPr>
                    <w:t>，</w:t>
                  </w:r>
                  <w:r>
                    <w:rPr>
                      <w:rFonts w:hint="eastAsia"/>
                      <w:bCs/>
                      <w:color w:val="auto"/>
                      <w:kern w:val="0"/>
                      <w:sz w:val="21"/>
                      <w:lang w:val="en-US" w:eastAsia="zh-CN"/>
                    </w:rPr>
                    <w:t>布局合理</w:t>
                  </w:r>
                  <w:r>
                    <w:rPr>
                      <w:rFonts w:hint="eastAsia"/>
                      <w:bCs/>
                      <w:color w:val="auto"/>
                      <w:kern w:val="0"/>
                      <w:sz w:val="21"/>
                    </w:rPr>
                    <w:t>。</w:t>
                  </w:r>
                </w:p>
              </w:tc>
              <w:tc>
                <w:tcPr>
                  <w:tcW w:w="961" w:type="dxa"/>
                  <w:tcBorders>
                    <w:tl2br w:val="nil"/>
                    <w:tr2bl w:val="nil"/>
                  </w:tcBorders>
                  <w:noWrap w:val="0"/>
                  <w:vAlign w:val="center"/>
                </w:tcPr>
                <w:p w14:paraId="3D005390">
                  <w:pPr>
                    <w:widowControl/>
                    <w:jc w:val="center"/>
                    <w:rPr>
                      <w:bCs/>
                      <w:color w:val="auto"/>
                      <w:kern w:val="0"/>
                    </w:rPr>
                  </w:pPr>
                  <w:r>
                    <w:rPr>
                      <w:rFonts w:hint="eastAsia" w:cs="宋体"/>
                      <w:color w:val="auto"/>
                      <w:kern w:val="0"/>
                      <w:szCs w:val="21"/>
                      <w:lang w:bidi="ar"/>
                    </w:rPr>
                    <w:t>符合</w:t>
                  </w:r>
                </w:p>
              </w:tc>
            </w:tr>
            <w:tr w14:paraId="2C6C71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77" w:type="dxa"/>
                  <w:tcBorders>
                    <w:tl2br w:val="nil"/>
                    <w:tr2bl w:val="nil"/>
                  </w:tcBorders>
                  <w:noWrap w:val="0"/>
                  <w:vAlign w:val="center"/>
                </w:tcPr>
                <w:p w14:paraId="1F5D9A7E">
                  <w:pPr>
                    <w:pStyle w:val="6"/>
                    <w:ind w:firstLine="0"/>
                    <w:jc w:val="center"/>
                    <w:rPr>
                      <w:rFonts w:hint="eastAsia"/>
                      <w:bCs/>
                      <w:color w:val="auto"/>
                      <w:kern w:val="0"/>
                      <w:sz w:val="21"/>
                    </w:rPr>
                  </w:pPr>
                  <w:r>
                    <w:rPr>
                      <w:rFonts w:hint="eastAsia"/>
                      <w:bCs/>
                      <w:color w:val="auto"/>
                      <w:kern w:val="0"/>
                      <w:sz w:val="21"/>
                    </w:rPr>
                    <w:t>5</w:t>
                  </w:r>
                </w:p>
              </w:tc>
              <w:tc>
                <w:tcPr>
                  <w:tcW w:w="3356" w:type="dxa"/>
                  <w:tcBorders>
                    <w:tl2br w:val="nil"/>
                    <w:tr2bl w:val="nil"/>
                  </w:tcBorders>
                  <w:noWrap w:val="0"/>
                  <w:vAlign w:val="center"/>
                </w:tcPr>
                <w:p w14:paraId="4A9AFD7A">
                  <w:pPr>
                    <w:pStyle w:val="6"/>
                    <w:ind w:firstLine="0"/>
                    <w:jc w:val="center"/>
                    <w:rPr>
                      <w:bCs/>
                      <w:color w:val="auto"/>
                      <w:kern w:val="0"/>
                      <w:sz w:val="21"/>
                    </w:rPr>
                  </w:pPr>
                  <w:r>
                    <w:rPr>
                      <w:rFonts w:hint="eastAsia"/>
                      <w:bCs/>
                      <w:color w:val="auto"/>
                      <w:kern w:val="0"/>
                      <w:sz w:val="21"/>
                    </w:rPr>
                    <w:t>具有诊断、手术、消毒、冷藏、常规化验、污水处理等器械设备。</w:t>
                  </w:r>
                </w:p>
              </w:tc>
              <w:tc>
                <w:tcPr>
                  <w:tcW w:w="3215" w:type="dxa"/>
                  <w:tcBorders>
                    <w:tl2br w:val="nil"/>
                    <w:tr2bl w:val="nil"/>
                  </w:tcBorders>
                  <w:noWrap w:val="0"/>
                  <w:vAlign w:val="center"/>
                </w:tcPr>
                <w:p w14:paraId="4BF6D465">
                  <w:pPr>
                    <w:pStyle w:val="6"/>
                    <w:ind w:firstLine="0"/>
                    <w:jc w:val="center"/>
                    <w:rPr>
                      <w:bCs/>
                      <w:color w:val="auto"/>
                      <w:kern w:val="0"/>
                      <w:sz w:val="21"/>
                    </w:rPr>
                  </w:pPr>
                  <w:r>
                    <w:rPr>
                      <w:rFonts w:hint="eastAsia"/>
                      <w:bCs/>
                      <w:color w:val="auto"/>
                      <w:kern w:val="0"/>
                      <w:sz w:val="21"/>
                      <w:lang w:eastAsia="zh-CN"/>
                    </w:rPr>
                    <w:t>项目具有诊断、消毒、冷藏、常规化验、污水处理设施等器械设备</w:t>
                  </w:r>
                  <w:r>
                    <w:rPr>
                      <w:rFonts w:hint="eastAsia"/>
                      <w:bCs/>
                      <w:color w:val="auto"/>
                      <w:kern w:val="0"/>
                      <w:sz w:val="21"/>
                    </w:rPr>
                    <w:t>。</w:t>
                  </w:r>
                </w:p>
              </w:tc>
              <w:tc>
                <w:tcPr>
                  <w:tcW w:w="961" w:type="dxa"/>
                  <w:tcBorders>
                    <w:tl2br w:val="nil"/>
                    <w:tr2bl w:val="nil"/>
                  </w:tcBorders>
                  <w:noWrap w:val="0"/>
                  <w:vAlign w:val="center"/>
                </w:tcPr>
                <w:p w14:paraId="5F41AFD1">
                  <w:pPr>
                    <w:widowControl/>
                    <w:jc w:val="center"/>
                    <w:rPr>
                      <w:bCs/>
                      <w:color w:val="auto"/>
                      <w:kern w:val="0"/>
                    </w:rPr>
                  </w:pPr>
                  <w:r>
                    <w:rPr>
                      <w:rFonts w:hint="eastAsia" w:cs="宋体"/>
                      <w:color w:val="auto"/>
                      <w:kern w:val="0"/>
                      <w:szCs w:val="21"/>
                      <w:lang w:bidi="ar"/>
                    </w:rPr>
                    <w:t>符合</w:t>
                  </w:r>
                </w:p>
              </w:tc>
            </w:tr>
            <w:tr w14:paraId="558CC3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77" w:type="dxa"/>
                  <w:tcBorders>
                    <w:tl2br w:val="nil"/>
                    <w:tr2bl w:val="nil"/>
                  </w:tcBorders>
                  <w:noWrap w:val="0"/>
                  <w:vAlign w:val="center"/>
                </w:tcPr>
                <w:p w14:paraId="056578F5">
                  <w:pPr>
                    <w:pStyle w:val="6"/>
                    <w:ind w:firstLine="0"/>
                    <w:jc w:val="center"/>
                    <w:rPr>
                      <w:rFonts w:hint="eastAsia"/>
                      <w:bCs/>
                      <w:color w:val="auto"/>
                      <w:kern w:val="0"/>
                      <w:sz w:val="21"/>
                    </w:rPr>
                  </w:pPr>
                  <w:r>
                    <w:rPr>
                      <w:rFonts w:hint="eastAsia"/>
                      <w:bCs/>
                      <w:color w:val="auto"/>
                      <w:kern w:val="0"/>
                      <w:sz w:val="21"/>
                    </w:rPr>
                    <w:t>6</w:t>
                  </w:r>
                </w:p>
              </w:tc>
              <w:tc>
                <w:tcPr>
                  <w:tcW w:w="3356" w:type="dxa"/>
                  <w:tcBorders>
                    <w:tl2br w:val="nil"/>
                    <w:tr2bl w:val="nil"/>
                  </w:tcBorders>
                  <w:noWrap w:val="0"/>
                  <w:vAlign w:val="center"/>
                </w:tcPr>
                <w:p w14:paraId="29C18A78">
                  <w:pPr>
                    <w:pStyle w:val="6"/>
                    <w:ind w:firstLine="0"/>
                    <w:jc w:val="center"/>
                    <w:rPr>
                      <w:rFonts w:hint="eastAsia" w:eastAsia="宋体"/>
                      <w:bCs/>
                      <w:color w:val="auto"/>
                      <w:kern w:val="0"/>
                      <w:sz w:val="21"/>
                      <w:lang w:eastAsia="zh-CN"/>
                    </w:rPr>
                  </w:pPr>
                  <w:r>
                    <w:rPr>
                      <w:rFonts w:hint="eastAsia"/>
                      <w:bCs/>
                      <w:color w:val="auto"/>
                      <w:kern w:val="0"/>
                      <w:sz w:val="21"/>
                    </w:rPr>
                    <w:t>具有诊疗废弃物暂存处理设施，并委托专业处理机构处理</w:t>
                  </w:r>
                  <w:r>
                    <w:rPr>
                      <w:rFonts w:hint="eastAsia"/>
                      <w:bCs/>
                      <w:color w:val="auto"/>
                      <w:kern w:val="0"/>
                      <w:sz w:val="21"/>
                      <w:lang w:eastAsia="zh-CN"/>
                    </w:rPr>
                    <w:t>。</w:t>
                  </w:r>
                </w:p>
              </w:tc>
              <w:tc>
                <w:tcPr>
                  <w:tcW w:w="3215" w:type="dxa"/>
                  <w:tcBorders>
                    <w:tl2br w:val="nil"/>
                    <w:tr2bl w:val="nil"/>
                  </w:tcBorders>
                  <w:noWrap w:val="0"/>
                  <w:vAlign w:val="center"/>
                </w:tcPr>
                <w:p w14:paraId="321E2091">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eastAsia="zh-CN"/>
                    </w:rPr>
                    <w:t>项目设有医疗废物贮存点，</w:t>
                  </w:r>
                  <w:r>
                    <w:rPr>
                      <w:rFonts w:hint="default" w:ascii="Times New Roman" w:hAnsi="Times New Roman" w:eastAsia="宋体" w:cs="Times New Roman"/>
                      <w:b w:val="0"/>
                      <w:bCs w:val="0"/>
                      <w:color w:val="auto"/>
                      <w:kern w:val="0"/>
                      <w:sz w:val="21"/>
                      <w:szCs w:val="21"/>
                      <w:highlight w:val="none"/>
                      <w:vertAlign w:val="baseline"/>
                      <w:lang w:val="en-US" w:eastAsia="zh-CN"/>
                    </w:rPr>
                    <w:t>并委托</w:t>
                  </w:r>
                  <w:r>
                    <w:rPr>
                      <w:rFonts w:hint="default" w:ascii="Times New Roman" w:hAnsi="Times New Roman" w:cs="Times New Roman"/>
                      <w:b w:val="0"/>
                      <w:bCs w:val="0"/>
                      <w:color w:val="auto"/>
                      <w:sz w:val="21"/>
                      <w:szCs w:val="21"/>
                      <w:highlight w:val="none"/>
                      <w:vertAlign w:val="baseline"/>
                      <w:lang w:eastAsia="zh-CN"/>
                    </w:rPr>
                    <w:t>重庆可厚德环保技术有限公司</w:t>
                  </w:r>
                  <w:r>
                    <w:rPr>
                      <w:rFonts w:hint="default" w:ascii="Times New Roman" w:hAnsi="Times New Roman" w:eastAsia="宋体" w:cs="Times New Roman"/>
                      <w:b w:val="0"/>
                      <w:bCs w:val="0"/>
                      <w:color w:val="auto"/>
                      <w:kern w:val="0"/>
                      <w:sz w:val="21"/>
                      <w:szCs w:val="21"/>
                      <w:highlight w:val="none"/>
                      <w:vertAlign w:val="baseline"/>
                      <w:lang w:val="en-US" w:eastAsia="zh-CN"/>
                    </w:rPr>
                    <w:t>进行处理</w:t>
                  </w:r>
                  <w:r>
                    <w:rPr>
                      <w:rFonts w:hint="eastAsia" w:ascii="Times New Roman" w:hAnsi="Times New Roman" w:eastAsia="宋体" w:cs="Times New Roman"/>
                      <w:color w:val="auto"/>
                      <w:highlight w:val="none"/>
                      <w:lang w:eastAsia="zh-CN"/>
                    </w:rPr>
                    <w:t>。</w:t>
                  </w:r>
                </w:p>
              </w:tc>
              <w:tc>
                <w:tcPr>
                  <w:tcW w:w="961" w:type="dxa"/>
                  <w:tcBorders>
                    <w:tl2br w:val="nil"/>
                    <w:tr2bl w:val="nil"/>
                  </w:tcBorders>
                  <w:noWrap w:val="0"/>
                  <w:vAlign w:val="center"/>
                </w:tcPr>
                <w:p w14:paraId="4682D19E">
                  <w:pPr>
                    <w:widowControl/>
                    <w:jc w:val="center"/>
                    <w:rPr>
                      <w:bCs/>
                      <w:color w:val="auto"/>
                      <w:kern w:val="0"/>
                    </w:rPr>
                  </w:pPr>
                  <w:r>
                    <w:rPr>
                      <w:rFonts w:hint="eastAsia" w:cs="宋体"/>
                      <w:color w:val="auto"/>
                      <w:kern w:val="0"/>
                      <w:szCs w:val="21"/>
                      <w:lang w:bidi="ar"/>
                    </w:rPr>
                    <w:t>符合</w:t>
                  </w:r>
                </w:p>
              </w:tc>
            </w:tr>
            <w:tr w14:paraId="7FF523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6" w:hRule="atLeast"/>
              </w:trPr>
              <w:tc>
                <w:tcPr>
                  <w:tcW w:w="777" w:type="dxa"/>
                  <w:tcBorders>
                    <w:tl2br w:val="nil"/>
                    <w:tr2bl w:val="nil"/>
                  </w:tcBorders>
                  <w:noWrap w:val="0"/>
                  <w:vAlign w:val="center"/>
                </w:tcPr>
                <w:p w14:paraId="6FC97F75">
                  <w:pPr>
                    <w:pStyle w:val="6"/>
                    <w:ind w:firstLine="0"/>
                    <w:jc w:val="center"/>
                    <w:rPr>
                      <w:rFonts w:hint="eastAsia"/>
                      <w:bCs/>
                      <w:color w:val="auto"/>
                      <w:kern w:val="0"/>
                      <w:sz w:val="21"/>
                    </w:rPr>
                  </w:pPr>
                  <w:r>
                    <w:rPr>
                      <w:rFonts w:hint="eastAsia"/>
                      <w:bCs/>
                      <w:color w:val="auto"/>
                      <w:kern w:val="0"/>
                      <w:sz w:val="21"/>
                    </w:rPr>
                    <w:t>7</w:t>
                  </w:r>
                </w:p>
              </w:tc>
              <w:tc>
                <w:tcPr>
                  <w:tcW w:w="3356" w:type="dxa"/>
                  <w:tcBorders>
                    <w:tl2br w:val="nil"/>
                    <w:tr2bl w:val="nil"/>
                  </w:tcBorders>
                  <w:noWrap w:val="0"/>
                  <w:vAlign w:val="center"/>
                </w:tcPr>
                <w:p w14:paraId="296CC330">
                  <w:pPr>
                    <w:pStyle w:val="6"/>
                    <w:ind w:firstLine="0"/>
                    <w:jc w:val="center"/>
                    <w:rPr>
                      <w:rFonts w:hint="eastAsia" w:eastAsia="宋体"/>
                      <w:bCs/>
                      <w:color w:val="auto"/>
                      <w:kern w:val="0"/>
                      <w:sz w:val="21"/>
                      <w:lang w:eastAsia="zh-CN"/>
                    </w:rPr>
                  </w:pPr>
                  <w:r>
                    <w:rPr>
                      <w:rFonts w:hint="eastAsia"/>
                      <w:bCs/>
                      <w:color w:val="auto"/>
                      <w:kern w:val="0"/>
                      <w:sz w:val="21"/>
                    </w:rPr>
                    <w:t>具有染疫或者疑似染疫动物的隔离控制措施及设施设备</w:t>
                  </w:r>
                  <w:r>
                    <w:rPr>
                      <w:rFonts w:hint="eastAsia"/>
                      <w:bCs/>
                      <w:color w:val="auto"/>
                      <w:kern w:val="0"/>
                      <w:sz w:val="21"/>
                      <w:lang w:eastAsia="zh-CN"/>
                    </w:rPr>
                    <w:t>。</w:t>
                  </w:r>
                </w:p>
              </w:tc>
              <w:tc>
                <w:tcPr>
                  <w:tcW w:w="3215" w:type="dxa"/>
                  <w:tcBorders>
                    <w:tl2br w:val="nil"/>
                    <w:tr2bl w:val="nil"/>
                  </w:tcBorders>
                  <w:noWrap w:val="0"/>
                  <w:vAlign w:val="center"/>
                </w:tcPr>
                <w:p w14:paraId="329D37F4">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eastAsia="zh-CN"/>
                    </w:rPr>
                    <w:t>项目设置有隔离</w:t>
                  </w:r>
                  <w:r>
                    <w:rPr>
                      <w:rFonts w:hint="eastAsia" w:cs="Times New Roman"/>
                      <w:color w:val="auto"/>
                      <w:highlight w:val="none"/>
                      <w:lang w:val="en-US" w:eastAsia="zh-CN"/>
                    </w:rPr>
                    <w:t>室</w:t>
                  </w:r>
                  <w:r>
                    <w:rPr>
                      <w:rFonts w:hint="eastAsia" w:ascii="Times New Roman" w:hAnsi="Times New Roman" w:eastAsia="宋体" w:cs="Times New Roman"/>
                      <w:color w:val="auto"/>
                      <w:highlight w:val="none"/>
                      <w:lang w:eastAsia="zh-CN"/>
                    </w:rPr>
                    <w:t>。</w:t>
                  </w:r>
                </w:p>
              </w:tc>
              <w:tc>
                <w:tcPr>
                  <w:tcW w:w="961" w:type="dxa"/>
                  <w:tcBorders>
                    <w:tl2br w:val="nil"/>
                    <w:tr2bl w:val="nil"/>
                  </w:tcBorders>
                  <w:noWrap w:val="0"/>
                  <w:vAlign w:val="center"/>
                </w:tcPr>
                <w:p w14:paraId="201FA714">
                  <w:pPr>
                    <w:widowControl/>
                    <w:jc w:val="center"/>
                    <w:rPr>
                      <w:bCs/>
                      <w:color w:val="auto"/>
                      <w:kern w:val="0"/>
                    </w:rPr>
                  </w:pPr>
                  <w:r>
                    <w:rPr>
                      <w:rFonts w:hint="eastAsia" w:cs="宋体"/>
                      <w:color w:val="auto"/>
                      <w:kern w:val="0"/>
                      <w:szCs w:val="21"/>
                      <w:lang w:bidi="ar"/>
                    </w:rPr>
                    <w:t>符合</w:t>
                  </w:r>
                </w:p>
              </w:tc>
            </w:tr>
            <w:tr w14:paraId="1FE74C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77" w:type="dxa"/>
                  <w:tcBorders>
                    <w:tl2br w:val="nil"/>
                    <w:tr2bl w:val="nil"/>
                  </w:tcBorders>
                  <w:noWrap w:val="0"/>
                  <w:vAlign w:val="center"/>
                </w:tcPr>
                <w:p w14:paraId="19738682">
                  <w:pPr>
                    <w:pStyle w:val="6"/>
                    <w:ind w:firstLine="0"/>
                    <w:jc w:val="center"/>
                    <w:rPr>
                      <w:rFonts w:hint="eastAsia"/>
                      <w:bCs/>
                      <w:color w:val="auto"/>
                      <w:kern w:val="0"/>
                      <w:sz w:val="21"/>
                    </w:rPr>
                  </w:pPr>
                  <w:r>
                    <w:rPr>
                      <w:rFonts w:hint="eastAsia"/>
                      <w:bCs/>
                      <w:color w:val="auto"/>
                      <w:kern w:val="0"/>
                      <w:sz w:val="21"/>
                    </w:rPr>
                    <w:t>8</w:t>
                  </w:r>
                </w:p>
              </w:tc>
              <w:tc>
                <w:tcPr>
                  <w:tcW w:w="3356" w:type="dxa"/>
                  <w:tcBorders>
                    <w:tl2br w:val="nil"/>
                    <w:tr2bl w:val="nil"/>
                  </w:tcBorders>
                  <w:noWrap w:val="0"/>
                  <w:vAlign w:val="center"/>
                </w:tcPr>
                <w:p w14:paraId="7D4C9F5C">
                  <w:pPr>
                    <w:pStyle w:val="6"/>
                    <w:ind w:firstLine="0"/>
                    <w:jc w:val="center"/>
                    <w:rPr>
                      <w:rFonts w:hint="eastAsia" w:eastAsia="宋体"/>
                      <w:bCs/>
                      <w:color w:val="auto"/>
                      <w:kern w:val="0"/>
                      <w:sz w:val="21"/>
                      <w:lang w:eastAsia="zh-CN"/>
                    </w:rPr>
                  </w:pPr>
                  <w:r>
                    <w:rPr>
                      <w:rFonts w:hint="eastAsia"/>
                      <w:bCs/>
                      <w:color w:val="auto"/>
                      <w:kern w:val="0"/>
                      <w:sz w:val="21"/>
                    </w:rPr>
                    <w:t>具有与动物诊疗活动相适应的执业兽医</w:t>
                  </w:r>
                  <w:r>
                    <w:rPr>
                      <w:rFonts w:hint="eastAsia"/>
                      <w:bCs/>
                      <w:color w:val="auto"/>
                      <w:kern w:val="0"/>
                      <w:sz w:val="21"/>
                      <w:lang w:eastAsia="zh-CN"/>
                    </w:rPr>
                    <w:t>。</w:t>
                  </w:r>
                </w:p>
              </w:tc>
              <w:tc>
                <w:tcPr>
                  <w:tcW w:w="3215" w:type="dxa"/>
                  <w:tcBorders>
                    <w:tl2br w:val="nil"/>
                    <w:tr2bl w:val="nil"/>
                  </w:tcBorders>
                  <w:noWrap w:val="0"/>
                  <w:vAlign w:val="center"/>
                </w:tcPr>
                <w:p w14:paraId="7B0B729A">
                  <w:pPr>
                    <w:pStyle w:val="51"/>
                    <w:bidi w:val="0"/>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项目拥有已取得执业兽医师资格证书的人员。</w:t>
                  </w:r>
                </w:p>
              </w:tc>
              <w:tc>
                <w:tcPr>
                  <w:tcW w:w="961" w:type="dxa"/>
                  <w:tcBorders>
                    <w:tl2br w:val="nil"/>
                    <w:tr2bl w:val="nil"/>
                  </w:tcBorders>
                  <w:noWrap w:val="0"/>
                  <w:vAlign w:val="center"/>
                </w:tcPr>
                <w:p w14:paraId="19E6246D">
                  <w:pPr>
                    <w:widowControl/>
                    <w:jc w:val="center"/>
                    <w:rPr>
                      <w:bCs/>
                      <w:color w:val="auto"/>
                      <w:kern w:val="0"/>
                    </w:rPr>
                  </w:pPr>
                  <w:r>
                    <w:rPr>
                      <w:rFonts w:hint="eastAsia" w:cs="宋体"/>
                      <w:color w:val="auto"/>
                      <w:kern w:val="0"/>
                      <w:szCs w:val="21"/>
                      <w:lang w:bidi="ar"/>
                    </w:rPr>
                    <w:t>符合</w:t>
                  </w:r>
                </w:p>
              </w:tc>
            </w:tr>
            <w:tr w14:paraId="15FCDA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77" w:type="dxa"/>
                  <w:tcBorders>
                    <w:tl2br w:val="nil"/>
                    <w:tr2bl w:val="nil"/>
                  </w:tcBorders>
                  <w:noWrap w:val="0"/>
                  <w:vAlign w:val="center"/>
                </w:tcPr>
                <w:p w14:paraId="2F73455F">
                  <w:pPr>
                    <w:pStyle w:val="6"/>
                    <w:ind w:firstLine="0"/>
                    <w:jc w:val="center"/>
                    <w:rPr>
                      <w:rFonts w:hint="eastAsia" w:eastAsia="宋体"/>
                      <w:bCs/>
                      <w:color w:val="auto"/>
                      <w:kern w:val="0"/>
                      <w:sz w:val="21"/>
                      <w:lang w:val="en-US" w:eastAsia="zh-CN"/>
                    </w:rPr>
                  </w:pPr>
                  <w:r>
                    <w:rPr>
                      <w:rFonts w:hint="eastAsia"/>
                      <w:bCs/>
                      <w:color w:val="auto"/>
                      <w:kern w:val="0"/>
                      <w:sz w:val="21"/>
                      <w:lang w:val="en-US" w:eastAsia="zh-CN"/>
                    </w:rPr>
                    <w:t>9</w:t>
                  </w:r>
                </w:p>
              </w:tc>
              <w:tc>
                <w:tcPr>
                  <w:tcW w:w="3356" w:type="dxa"/>
                  <w:tcBorders>
                    <w:tl2br w:val="nil"/>
                    <w:tr2bl w:val="nil"/>
                  </w:tcBorders>
                  <w:noWrap w:val="0"/>
                  <w:vAlign w:val="center"/>
                </w:tcPr>
                <w:p w14:paraId="703384AD">
                  <w:pPr>
                    <w:pStyle w:val="6"/>
                    <w:ind w:firstLine="0"/>
                    <w:jc w:val="center"/>
                    <w:rPr>
                      <w:rFonts w:hint="eastAsia"/>
                      <w:bCs/>
                      <w:color w:val="auto"/>
                      <w:kern w:val="0"/>
                      <w:sz w:val="21"/>
                    </w:rPr>
                  </w:pPr>
                  <w:r>
                    <w:rPr>
                      <w:rFonts w:hint="eastAsia"/>
                      <w:bCs/>
                      <w:color w:val="auto"/>
                      <w:kern w:val="0"/>
                      <w:sz w:val="21"/>
                    </w:rPr>
                    <w:t>具有完善的诊疗服务、疫情报告、卫生安全防护、消毒、隔离、诊疗废弃物暂存、兽医器械、兽药处方、药物和无害化处理等管理制度。</w:t>
                  </w:r>
                </w:p>
              </w:tc>
              <w:tc>
                <w:tcPr>
                  <w:tcW w:w="3215" w:type="dxa"/>
                  <w:tcBorders>
                    <w:tl2br w:val="nil"/>
                    <w:tr2bl w:val="nil"/>
                  </w:tcBorders>
                  <w:noWrap w:val="0"/>
                  <w:vAlign w:val="center"/>
                </w:tcPr>
                <w:p w14:paraId="1F659B22">
                  <w:pPr>
                    <w:pStyle w:val="51"/>
                    <w:bidi w:val="0"/>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项目拥有完善的诊疗服务、疫情报告、卫生安全防护、消毒、隔离、诊疗废弃物暂存、兽医器械、兽药处方、药物和无害化处理等管理制度。</w:t>
                  </w:r>
                </w:p>
              </w:tc>
              <w:tc>
                <w:tcPr>
                  <w:tcW w:w="961" w:type="dxa"/>
                  <w:tcBorders>
                    <w:tl2br w:val="nil"/>
                    <w:tr2bl w:val="nil"/>
                  </w:tcBorders>
                  <w:noWrap w:val="0"/>
                  <w:vAlign w:val="center"/>
                </w:tcPr>
                <w:p w14:paraId="7AD80DFA">
                  <w:pPr>
                    <w:widowControl/>
                    <w:jc w:val="center"/>
                    <w:rPr>
                      <w:rFonts w:hint="eastAsia" w:eastAsia="宋体" w:cs="宋体"/>
                      <w:color w:val="auto"/>
                      <w:kern w:val="0"/>
                      <w:szCs w:val="21"/>
                      <w:lang w:val="en-US" w:eastAsia="zh-CN" w:bidi="ar"/>
                    </w:rPr>
                  </w:pPr>
                  <w:r>
                    <w:rPr>
                      <w:rFonts w:hint="eastAsia" w:cs="宋体"/>
                      <w:color w:val="auto"/>
                      <w:kern w:val="0"/>
                      <w:szCs w:val="21"/>
                      <w:lang w:val="en-US" w:eastAsia="zh-CN" w:bidi="ar"/>
                    </w:rPr>
                    <w:t>符合</w:t>
                  </w:r>
                </w:p>
              </w:tc>
            </w:tr>
          </w:tbl>
          <w:p w14:paraId="7CC1F87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0" w:firstLineChars="0"/>
              <w:jc w:val="left"/>
              <w:textAlignment w:val="auto"/>
              <w:outlineLvl w:val="0"/>
              <w:rPr>
                <w:rFonts w:hint="default" w:ascii="Times New Roman" w:hAnsi="Times New Roman" w:eastAsia="宋体" w:cs="Times New Roman"/>
                <w:b/>
                <w:bCs/>
                <w:color w:val="auto"/>
                <w:sz w:val="24"/>
                <w:szCs w:val="24"/>
                <w:highlight w:val="none"/>
                <w:vertAlign w:val="baseline"/>
              </w:rPr>
            </w:pPr>
            <w:r>
              <w:rPr>
                <w:rFonts w:hint="eastAsia" w:ascii="Times New Roman" w:hAnsi="Times New Roman" w:eastAsia="宋体" w:cs="Times New Roman"/>
                <w:b/>
                <w:bCs/>
                <w:color w:val="auto"/>
                <w:sz w:val="24"/>
                <w:szCs w:val="24"/>
                <w:highlight w:val="none"/>
                <w:vertAlign w:val="baseline"/>
                <w:lang w:val="en-US" w:eastAsia="zh-CN"/>
              </w:rPr>
              <w:t>1.</w:t>
            </w:r>
            <w:r>
              <w:rPr>
                <w:rFonts w:hint="eastAsia" w:cs="Times New Roman"/>
                <w:b/>
                <w:bCs/>
                <w:color w:val="auto"/>
                <w:sz w:val="24"/>
                <w:szCs w:val="24"/>
                <w:highlight w:val="none"/>
                <w:vertAlign w:val="baseline"/>
                <w:lang w:val="en-US" w:eastAsia="zh-CN"/>
              </w:rPr>
              <w:t>6</w:t>
            </w:r>
            <w:r>
              <w:rPr>
                <w:rFonts w:hint="default" w:ascii="Times New Roman" w:hAnsi="Times New Roman" w:eastAsia="宋体" w:cs="Times New Roman"/>
                <w:b/>
                <w:bCs/>
                <w:color w:val="auto"/>
                <w:sz w:val="24"/>
                <w:szCs w:val="24"/>
                <w:highlight w:val="none"/>
                <w:vertAlign w:val="baseline"/>
              </w:rPr>
              <w:t>与《中华人民共和国动物防疫法》</w:t>
            </w:r>
            <w:r>
              <w:rPr>
                <w:rFonts w:hint="default" w:ascii="Times New Roman" w:hAnsi="Times New Roman" w:eastAsia="宋体" w:cs="Times New Roman"/>
                <w:b/>
                <w:bCs/>
                <w:color w:val="auto"/>
                <w:sz w:val="24"/>
                <w:szCs w:val="24"/>
                <w:highlight w:val="none"/>
                <w:vertAlign w:val="baseline"/>
                <w:lang w:eastAsia="zh-CN"/>
              </w:rPr>
              <w:t>（</w:t>
            </w:r>
            <w:r>
              <w:rPr>
                <w:rFonts w:hint="default" w:ascii="Times New Roman" w:hAnsi="Times New Roman" w:eastAsia="宋体" w:cs="Times New Roman"/>
                <w:b/>
                <w:bCs/>
                <w:color w:val="auto"/>
                <w:sz w:val="24"/>
                <w:szCs w:val="24"/>
                <w:highlight w:val="none"/>
                <w:vertAlign w:val="baseline"/>
              </w:rPr>
              <w:t>2021版</w:t>
            </w:r>
            <w:r>
              <w:rPr>
                <w:rFonts w:hint="default" w:ascii="Times New Roman" w:hAnsi="Times New Roman" w:eastAsia="宋体" w:cs="Times New Roman"/>
                <w:b/>
                <w:bCs/>
                <w:color w:val="auto"/>
                <w:sz w:val="24"/>
                <w:szCs w:val="24"/>
                <w:highlight w:val="none"/>
                <w:vertAlign w:val="baseline"/>
                <w:lang w:eastAsia="zh-CN"/>
              </w:rPr>
              <w:t>）</w:t>
            </w:r>
            <w:r>
              <w:rPr>
                <w:rFonts w:hint="default" w:ascii="Times New Roman" w:hAnsi="Times New Roman" w:eastAsia="宋体" w:cs="Times New Roman"/>
                <w:b/>
                <w:bCs/>
                <w:color w:val="auto"/>
                <w:sz w:val="24"/>
                <w:szCs w:val="24"/>
                <w:highlight w:val="none"/>
                <w:vertAlign w:val="baseline"/>
              </w:rPr>
              <w:t>符合性分析</w:t>
            </w:r>
          </w:p>
          <w:p w14:paraId="77DADBFB">
            <w:pPr>
              <w:autoSpaceDE w:val="0"/>
              <w:autoSpaceDN w:val="0"/>
              <w:adjustRightInd w:val="0"/>
              <w:snapToGrid w:val="0"/>
              <w:spacing w:line="360" w:lineRule="auto"/>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表</w:t>
            </w:r>
            <w:r>
              <w:rPr>
                <w:rFonts w:hint="eastAsia" w:ascii="Times New Roman" w:hAnsi="Times New Roman" w:eastAsia="宋体" w:cs="Times New Roman"/>
                <w:color w:val="auto"/>
                <w:sz w:val="21"/>
                <w:szCs w:val="24"/>
                <w:lang w:val="en-US" w:eastAsia="zh-CN"/>
              </w:rPr>
              <w:t>1.</w:t>
            </w:r>
            <w:r>
              <w:rPr>
                <w:rFonts w:hint="eastAsia" w:cs="Times New Roman"/>
                <w:color w:val="auto"/>
                <w:sz w:val="21"/>
                <w:szCs w:val="24"/>
                <w:lang w:val="en-US" w:eastAsia="zh-CN"/>
              </w:rPr>
              <w:t>6</w:t>
            </w:r>
            <w:r>
              <w:rPr>
                <w:rFonts w:hint="eastAsia" w:ascii="Times New Roman" w:hAnsi="Times New Roman" w:eastAsia="宋体" w:cs="Times New Roman"/>
                <w:color w:val="auto"/>
                <w:sz w:val="21"/>
                <w:szCs w:val="24"/>
                <w:lang w:val="en-US" w:eastAsia="zh-CN"/>
              </w:rPr>
              <w:t>-1</w:t>
            </w:r>
            <w:r>
              <w:rPr>
                <w:rFonts w:hint="default" w:ascii="Times New Roman" w:hAnsi="Times New Roman" w:eastAsia="宋体" w:cs="Times New Roman"/>
                <w:color w:val="auto"/>
                <w:sz w:val="21"/>
                <w:szCs w:val="24"/>
              </w:rPr>
              <w:t xml:space="preserve"> 项目与《中华人民共和国动物防疫法》符合性分析</w:t>
            </w:r>
          </w:p>
          <w:tbl>
            <w:tblPr>
              <w:tblStyle w:val="22"/>
              <w:tblW w:w="8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985"/>
              <w:gridCol w:w="3470"/>
              <w:gridCol w:w="1061"/>
            </w:tblGrid>
            <w:tr w14:paraId="1B799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dxa"/>
                  <w:tcBorders>
                    <w:tl2br w:val="nil"/>
                    <w:tr2bl w:val="nil"/>
                  </w:tcBorders>
                  <w:noWrap w:val="0"/>
                  <w:vAlign w:val="center"/>
                </w:tcPr>
                <w:p w14:paraId="34D5EF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序号</w:t>
                  </w:r>
                </w:p>
              </w:tc>
              <w:tc>
                <w:tcPr>
                  <w:tcW w:w="2985" w:type="dxa"/>
                  <w:tcBorders>
                    <w:tl2br w:val="nil"/>
                    <w:tr2bl w:val="nil"/>
                  </w:tcBorders>
                  <w:noWrap w:val="0"/>
                  <w:vAlign w:val="center"/>
                </w:tcPr>
                <w:p w14:paraId="5F52B3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相关要求</w:t>
                  </w:r>
                </w:p>
              </w:tc>
              <w:tc>
                <w:tcPr>
                  <w:tcW w:w="3470" w:type="dxa"/>
                  <w:tcBorders>
                    <w:tl2br w:val="nil"/>
                    <w:tr2bl w:val="nil"/>
                  </w:tcBorders>
                  <w:noWrap w:val="0"/>
                  <w:vAlign w:val="center"/>
                </w:tcPr>
                <w:p w14:paraId="66F1DA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建设</w:t>
                  </w:r>
                  <w:r>
                    <w:rPr>
                      <w:rFonts w:hint="default" w:ascii="Times New Roman" w:hAnsi="Times New Roman" w:eastAsia="宋体" w:cs="Times New Roman"/>
                      <w:b w:val="0"/>
                      <w:bCs w:val="0"/>
                      <w:color w:val="auto"/>
                      <w:kern w:val="0"/>
                      <w:sz w:val="21"/>
                      <w:szCs w:val="21"/>
                      <w:highlight w:val="none"/>
                      <w:vertAlign w:val="baseline"/>
                      <w:lang w:val="en-US" w:eastAsia="zh-CN"/>
                    </w:rPr>
                    <w:t>项目情况</w:t>
                  </w:r>
                </w:p>
              </w:tc>
              <w:tc>
                <w:tcPr>
                  <w:tcW w:w="1061" w:type="dxa"/>
                  <w:tcBorders>
                    <w:tl2br w:val="nil"/>
                    <w:tr2bl w:val="nil"/>
                  </w:tcBorders>
                  <w:noWrap w:val="0"/>
                  <w:vAlign w:val="center"/>
                </w:tcPr>
                <w:p w14:paraId="63092B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符合性</w:t>
                  </w:r>
                </w:p>
              </w:tc>
            </w:tr>
            <w:tr w14:paraId="615EF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dxa"/>
                  <w:tcBorders>
                    <w:tl2br w:val="nil"/>
                    <w:tr2bl w:val="nil"/>
                  </w:tcBorders>
                  <w:noWrap w:val="0"/>
                  <w:vAlign w:val="center"/>
                </w:tcPr>
                <w:p w14:paraId="5BB6C545">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2985" w:type="dxa"/>
                  <w:tcBorders>
                    <w:tl2br w:val="nil"/>
                    <w:tr2bl w:val="nil"/>
                  </w:tcBorders>
                  <w:noWrap w:val="0"/>
                  <w:vAlign w:val="center"/>
                </w:tcPr>
                <w:p w14:paraId="43861BDD">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有与动物诊疗活动相适应并符合动物防疫条件的场所</w:t>
                  </w:r>
                  <w:r>
                    <w:rPr>
                      <w:rFonts w:hint="eastAsia" w:ascii="Times New Roman" w:hAnsi="Times New Roman" w:eastAsia="宋体" w:cs="Times New Roman"/>
                      <w:color w:val="auto"/>
                      <w:highlight w:val="none"/>
                      <w:lang w:eastAsia="zh-CN"/>
                    </w:rPr>
                    <w:t>。</w:t>
                  </w:r>
                </w:p>
              </w:tc>
              <w:tc>
                <w:tcPr>
                  <w:tcW w:w="3470" w:type="dxa"/>
                  <w:tcBorders>
                    <w:tl2br w:val="nil"/>
                    <w:tr2bl w:val="nil"/>
                  </w:tcBorders>
                  <w:noWrap w:val="0"/>
                  <w:vAlign w:val="center"/>
                </w:tcPr>
                <w:p w14:paraId="65FBC418">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项目具有固定诊疗场所，设施及配套较为完善，符合相应防疫条件</w:t>
                  </w:r>
                  <w:r>
                    <w:rPr>
                      <w:rFonts w:hint="eastAsia" w:ascii="Times New Roman" w:hAnsi="Times New Roman" w:eastAsia="宋体" w:cs="Times New Roman"/>
                      <w:color w:val="auto"/>
                      <w:highlight w:val="none"/>
                      <w:lang w:eastAsia="zh-CN"/>
                    </w:rPr>
                    <w:t>。</w:t>
                  </w:r>
                </w:p>
              </w:tc>
              <w:tc>
                <w:tcPr>
                  <w:tcW w:w="1061" w:type="dxa"/>
                  <w:tcBorders>
                    <w:tl2br w:val="nil"/>
                    <w:tr2bl w:val="nil"/>
                  </w:tcBorders>
                  <w:noWrap w:val="0"/>
                  <w:vAlign w:val="center"/>
                </w:tcPr>
                <w:p w14:paraId="17B7D8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r w14:paraId="4A1F9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dxa"/>
                  <w:tcBorders>
                    <w:tl2br w:val="nil"/>
                    <w:tr2bl w:val="nil"/>
                  </w:tcBorders>
                  <w:noWrap w:val="0"/>
                  <w:vAlign w:val="center"/>
                </w:tcPr>
                <w:p w14:paraId="79EAC5E3">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2985" w:type="dxa"/>
                  <w:tcBorders>
                    <w:tl2br w:val="nil"/>
                    <w:tr2bl w:val="nil"/>
                  </w:tcBorders>
                  <w:noWrap w:val="0"/>
                  <w:vAlign w:val="center"/>
                </w:tcPr>
                <w:p w14:paraId="48BCE933">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有与动物诊疗活动相适应的执业兽医</w:t>
                  </w:r>
                  <w:r>
                    <w:rPr>
                      <w:rFonts w:hint="eastAsia" w:ascii="Times New Roman" w:hAnsi="Times New Roman" w:eastAsia="宋体" w:cs="Times New Roman"/>
                      <w:color w:val="auto"/>
                      <w:highlight w:val="none"/>
                      <w:lang w:eastAsia="zh-CN"/>
                    </w:rPr>
                    <w:t>。</w:t>
                  </w:r>
                </w:p>
              </w:tc>
              <w:tc>
                <w:tcPr>
                  <w:tcW w:w="3470" w:type="dxa"/>
                  <w:tcBorders>
                    <w:tl2br w:val="nil"/>
                    <w:tr2bl w:val="nil"/>
                  </w:tcBorders>
                  <w:noWrap w:val="0"/>
                  <w:vAlign w:val="center"/>
                </w:tcPr>
                <w:p w14:paraId="2552CBA2">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项目拥有已取得执业兽医师资格证书的人员。</w:t>
                  </w:r>
                </w:p>
              </w:tc>
              <w:tc>
                <w:tcPr>
                  <w:tcW w:w="1061" w:type="dxa"/>
                  <w:tcBorders>
                    <w:tl2br w:val="nil"/>
                    <w:tr2bl w:val="nil"/>
                  </w:tcBorders>
                  <w:noWrap w:val="0"/>
                  <w:vAlign w:val="center"/>
                </w:tcPr>
                <w:p w14:paraId="734288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r w14:paraId="0A2D0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dxa"/>
                  <w:tcBorders>
                    <w:tl2br w:val="nil"/>
                    <w:tr2bl w:val="nil"/>
                  </w:tcBorders>
                  <w:noWrap w:val="0"/>
                  <w:vAlign w:val="center"/>
                </w:tcPr>
                <w:p w14:paraId="5EE8CDDF">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2985" w:type="dxa"/>
                  <w:tcBorders>
                    <w:tl2br w:val="nil"/>
                    <w:tr2bl w:val="nil"/>
                  </w:tcBorders>
                  <w:noWrap w:val="0"/>
                  <w:vAlign w:val="center"/>
                </w:tcPr>
                <w:p w14:paraId="272CBC59">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有与动物诊疗活动相适应的兽医器械和设备</w:t>
                  </w:r>
                  <w:r>
                    <w:rPr>
                      <w:rFonts w:hint="eastAsia" w:ascii="Times New Roman" w:hAnsi="Times New Roman" w:eastAsia="宋体" w:cs="Times New Roman"/>
                      <w:color w:val="auto"/>
                      <w:highlight w:val="none"/>
                      <w:lang w:eastAsia="zh-CN"/>
                    </w:rPr>
                    <w:t>。</w:t>
                  </w:r>
                </w:p>
              </w:tc>
              <w:tc>
                <w:tcPr>
                  <w:tcW w:w="3470" w:type="dxa"/>
                  <w:tcBorders>
                    <w:tl2br w:val="nil"/>
                    <w:tr2bl w:val="nil"/>
                  </w:tcBorders>
                  <w:noWrap w:val="0"/>
                  <w:vAlign w:val="center"/>
                </w:tcPr>
                <w:p w14:paraId="5C1BE701">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项目设置有诊断、手术、消毒、冷藏、常规化验和消毒设施等设备</w:t>
                  </w:r>
                  <w:r>
                    <w:rPr>
                      <w:rFonts w:hint="eastAsia" w:ascii="Times New Roman" w:hAnsi="Times New Roman" w:eastAsia="宋体" w:cs="Times New Roman"/>
                      <w:color w:val="auto"/>
                      <w:highlight w:val="none"/>
                      <w:lang w:eastAsia="zh-CN"/>
                    </w:rPr>
                    <w:t>。</w:t>
                  </w:r>
                </w:p>
              </w:tc>
              <w:tc>
                <w:tcPr>
                  <w:tcW w:w="1061" w:type="dxa"/>
                  <w:tcBorders>
                    <w:tl2br w:val="nil"/>
                    <w:tr2bl w:val="nil"/>
                  </w:tcBorders>
                  <w:noWrap w:val="0"/>
                  <w:vAlign w:val="center"/>
                </w:tcPr>
                <w:p w14:paraId="3C41C7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r w14:paraId="7AA2C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dxa"/>
                  <w:tcBorders>
                    <w:tl2br w:val="nil"/>
                    <w:tr2bl w:val="nil"/>
                  </w:tcBorders>
                  <w:noWrap w:val="0"/>
                  <w:vAlign w:val="center"/>
                </w:tcPr>
                <w:p w14:paraId="3CB04949">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2985" w:type="dxa"/>
                  <w:tcBorders>
                    <w:tl2br w:val="nil"/>
                    <w:tr2bl w:val="nil"/>
                  </w:tcBorders>
                  <w:noWrap w:val="0"/>
                  <w:vAlign w:val="center"/>
                </w:tcPr>
                <w:p w14:paraId="6D2F0153">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有完善的管理制度</w:t>
                  </w:r>
                  <w:r>
                    <w:rPr>
                      <w:rFonts w:hint="eastAsia" w:ascii="Times New Roman" w:hAnsi="Times New Roman" w:eastAsia="宋体" w:cs="Times New Roman"/>
                      <w:color w:val="auto"/>
                      <w:highlight w:val="none"/>
                      <w:lang w:eastAsia="zh-CN"/>
                    </w:rPr>
                    <w:t>。</w:t>
                  </w:r>
                </w:p>
              </w:tc>
              <w:tc>
                <w:tcPr>
                  <w:tcW w:w="3470" w:type="dxa"/>
                  <w:tcBorders>
                    <w:tl2br w:val="nil"/>
                    <w:tr2bl w:val="nil"/>
                  </w:tcBorders>
                  <w:noWrap w:val="0"/>
                  <w:vAlign w:val="center"/>
                </w:tcPr>
                <w:p w14:paraId="1AC2195E">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项目制定有完善的管理制度</w:t>
                  </w:r>
                  <w:r>
                    <w:rPr>
                      <w:rFonts w:hint="eastAsia" w:ascii="Times New Roman" w:hAnsi="Times New Roman" w:eastAsia="宋体" w:cs="Times New Roman"/>
                      <w:color w:val="auto"/>
                      <w:highlight w:val="none"/>
                      <w:lang w:eastAsia="zh-CN"/>
                    </w:rPr>
                    <w:t>。</w:t>
                  </w:r>
                </w:p>
              </w:tc>
              <w:tc>
                <w:tcPr>
                  <w:tcW w:w="1061" w:type="dxa"/>
                  <w:tcBorders>
                    <w:tl2br w:val="nil"/>
                    <w:tr2bl w:val="nil"/>
                  </w:tcBorders>
                  <w:noWrap w:val="0"/>
                  <w:vAlign w:val="center"/>
                </w:tcPr>
                <w:p w14:paraId="598BF5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r w14:paraId="4C7B1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dxa"/>
                  <w:tcBorders>
                    <w:tl2br w:val="nil"/>
                    <w:tr2bl w:val="nil"/>
                  </w:tcBorders>
                  <w:noWrap w:val="0"/>
                  <w:vAlign w:val="center"/>
                </w:tcPr>
                <w:p w14:paraId="637A625C">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2985" w:type="dxa"/>
                  <w:tcBorders>
                    <w:tl2br w:val="nil"/>
                    <w:tr2bl w:val="nil"/>
                  </w:tcBorders>
                  <w:noWrap w:val="0"/>
                  <w:vAlign w:val="center"/>
                </w:tcPr>
                <w:p w14:paraId="4C7F5BFD">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动物诊疗机构应当按照国务院农业农村主管部门的规定，做好诊疗活动中的卫生安全防护、消毒隔离和诊疗废弃物处置等工作</w:t>
                  </w:r>
                  <w:r>
                    <w:rPr>
                      <w:rFonts w:hint="eastAsia" w:ascii="Times New Roman" w:hAnsi="Times New Roman" w:eastAsia="宋体" w:cs="Times New Roman"/>
                      <w:color w:val="auto"/>
                      <w:highlight w:val="none"/>
                      <w:lang w:eastAsia="zh-CN"/>
                    </w:rPr>
                    <w:t>。</w:t>
                  </w:r>
                </w:p>
              </w:tc>
              <w:tc>
                <w:tcPr>
                  <w:tcW w:w="3470" w:type="dxa"/>
                  <w:tcBorders>
                    <w:tl2br w:val="nil"/>
                    <w:tr2bl w:val="nil"/>
                  </w:tcBorders>
                  <w:noWrap w:val="0"/>
                  <w:vAlign w:val="center"/>
                </w:tcPr>
                <w:p w14:paraId="36B77B54">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项目诊疗过程中设置了相应的安全防护措施、日常进行医院消毒、设置了</w:t>
                  </w:r>
                  <w:r>
                    <w:rPr>
                      <w:rFonts w:hint="eastAsia" w:cs="Times New Roman"/>
                      <w:color w:val="auto"/>
                      <w:highlight w:val="none"/>
                      <w:lang w:eastAsia="zh-CN"/>
                    </w:rPr>
                    <w:t>隔离室</w:t>
                  </w: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医疗废物交</w:t>
                  </w:r>
                  <w:r>
                    <w:rPr>
                      <w:rFonts w:hint="default" w:ascii="Times New Roman" w:hAnsi="Times New Roman" w:cs="Times New Roman"/>
                      <w:b w:val="0"/>
                      <w:bCs w:val="0"/>
                      <w:color w:val="auto"/>
                      <w:sz w:val="21"/>
                      <w:szCs w:val="21"/>
                      <w:highlight w:val="none"/>
                      <w:vertAlign w:val="baseline"/>
                      <w:lang w:eastAsia="zh-CN"/>
                    </w:rPr>
                    <w:t>重庆可厚德环保技术有限公司</w:t>
                  </w:r>
                  <w:r>
                    <w:rPr>
                      <w:rFonts w:hint="eastAsia" w:cs="Times New Roman"/>
                      <w:color w:val="auto"/>
                      <w:highlight w:val="none"/>
                      <w:lang w:val="en-US" w:eastAsia="zh-CN"/>
                    </w:rPr>
                    <w:t>收运处置。</w:t>
                  </w:r>
                </w:p>
              </w:tc>
              <w:tc>
                <w:tcPr>
                  <w:tcW w:w="1061" w:type="dxa"/>
                  <w:tcBorders>
                    <w:tl2br w:val="nil"/>
                    <w:tr2bl w:val="nil"/>
                  </w:tcBorders>
                  <w:noWrap w:val="0"/>
                  <w:vAlign w:val="center"/>
                </w:tcPr>
                <w:p w14:paraId="59562A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r w14:paraId="7BBE9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dxa"/>
                  <w:tcBorders>
                    <w:tl2br w:val="nil"/>
                    <w:tr2bl w:val="nil"/>
                  </w:tcBorders>
                  <w:noWrap w:val="0"/>
                  <w:vAlign w:val="center"/>
                </w:tcPr>
                <w:p w14:paraId="31EE176F">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p>
              </w:tc>
              <w:tc>
                <w:tcPr>
                  <w:tcW w:w="2985" w:type="dxa"/>
                  <w:tcBorders>
                    <w:tl2br w:val="nil"/>
                    <w:tr2bl w:val="nil"/>
                  </w:tcBorders>
                  <w:noWrap w:val="0"/>
                  <w:vAlign w:val="center"/>
                </w:tcPr>
                <w:p w14:paraId="23771715">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从事动物诊疗活动，应当遵守有关动物诊疗的操作技术规范，使用符合规定的兽药和兽医器械</w:t>
                  </w:r>
                  <w:r>
                    <w:rPr>
                      <w:rFonts w:hint="eastAsia" w:ascii="Times New Roman" w:hAnsi="Times New Roman" w:eastAsia="宋体" w:cs="Times New Roman"/>
                      <w:color w:val="auto"/>
                      <w:highlight w:val="none"/>
                      <w:lang w:eastAsia="zh-CN"/>
                    </w:rPr>
                    <w:t>。</w:t>
                  </w:r>
                </w:p>
              </w:tc>
              <w:tc>
                <w:tcPr>
                  <w:tcW w:w="3470" w:type="dxa"/>
                  <w:tcBorders>
                    <w:tl2br w:val="nil"/>
                    <w:tr2bl w:val="nil"/>
                  </w:tcBorders>
                  <w:noWrap w:val="0"/>
                  <w:vAlign w:val="center"/>
                </w:tcPr>
                <w:p w14:paraId="26928FE3">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项目使用符合相关规定的手术台、兽医器械及药品</w:t>
                  </w:r>
                  <w:r>
                    <w:rPr>
                      <w:rFonts w:hint="eastAsia" w:ascii="Times New Roman" w:hAnsi="Times New Roman" w:eastAsia="宋体" w:cs="Times New Roman"/>
                      <w:color w:val="auto"/>
                      <w:highlight w:val="none"/>
                      <w:lang w:eastAsia="zh-CN"/>
                    </w:rPr>
                    <w:t>。</w:t>
                  </w:r>
                </w:p>
              </w:tc>
              <w:tc>
                <w:tcPr>
                  <w:tcW w:w="1061" w:type="dxa"/>
                  <w:tcBorders>
                    <w:tl2br w:val="nil"/>
                    <w:tr2bl w:val="nil"/>
                  </w:tcBorders>
                  <w:noWrap w:val="0"/>
                  <w:vAlign w:val="center"/>
                </w:tcPr>
                <w:p w14:paraId="2B5AE3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bl>
          <w:p w14:paraId="6092E54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0" w:firstLineChars="0"/>
              <w:jc w:val="left"/>
              <w:textAlignment w:val="auto"/>
              <w:outlineLvl w:val="0"/>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bCs/>
                <w:color w:val="auto"/>
                <w:sz w:val="24"/>
                <w:szCs w:val="24"/>
                <w:highlight w:val="none"/>
                <w:vertAlign w:val="baseline"/>
                <w:lang w:val="en-US" w:eastAsia="zh-CN"/>
              </w:rPr>
              <w:t>1.</w:t>
            </w:r>
            <w:r>
              <w:rPr>
                <w:rFonts w:hint="eastAsia" w:cs="Times New Roman"/>
                <w:b/>
                <w:bCs/>
                <w:color w:val="auto"/>
                <w:sz w:val="24"/>
                <w:szCs w:val="24"/>
                <w:highlight w:val="none"/>
                <w:vertAlign w:val="baseline"/>
                <w:lang w:val="en-US" w:eastAsia="zh-CN"/>
              </w:rPr>
              <w:t>7</w:t>
            </w:r>
            <w:r>
              <w:rPr>
                <w:rFonts w:hint="default" w:ascii="Times New Roman" w:hAnsi="Times New Roman" w:eastAsia="宋体" w:cs="Times New Roman"/>
                <w:b/>
                <w:bCs/>
                <w:color w:val="auto"/>
                <w:sz w:val="24"/>
                <w:szCs w:val="24"/>
                <w:highlight w:val="none"/>
                <w:vertAlign w:val="baseline"/>
                <w:lang w:val="en-US" w:eastAsia="zh-CN"/>
              </w:rPr>
              <w:t>与《重庆市生态环境局重庆市农业农村委员会关于规范动物诊疗机构医疗废物集中无害化处置的通知》（渝环〔2019〕185号）的符合性分析</w:t>
            </w:r>
          </w:p>
          <w:p w14:paraId="719D61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表</w:t>
            </w:r>
            <w:r>
              <w:rPr>
                <w:rFonts w:hint="eastAsia" w:cs="Times New Roman"/>
                <w:b w:val="0"/>
                <w:bCs w:val="0"/>
                <w:color w:val="auto"/>
                <w:kern w:val="0"/>
                <w:sz w:val="21"/>
                <w:szCs w:val="21"/>
                <w:highlight w:val="none"/>
                <w:lang w:val="en-US" w:eastAsia="zh-CN"/>
              </w:rPr>
              <w:t xml:space="preserve">1.7-1 </w:t>
            </w:r>
            <w:r>
              <w:rPr>
                <w:rFonts w:hint="default" w:ascii="Times New Roman" w:hAnsi="Times New Roman" w:eastAsia="宋体" w:cs="Times New Roman"/>
                <w:b w:val="0"/>
                <w:bCs w:val="0"/>
                <w:color w:val="auto"/>
                <w:kern w:val="0"/>
                <w:sz w:val="21"/>
                <w:szCs w:val="21"/>
                <w:highlight w:val="none"/>
                <w:lang w:val="en-US" w:eastAsia="zh-CN"/>
              </w:rPr>
              <w:t>项目与《重庆市生态环境局重庆市农业农村委员会关于规范动物诊疗机构医疗废物集中无害化处置的通知》符合性分析</w:t>
            </w:r>
          </w:p>
          <w:tbl>
            <w:tblPr>
              <w:tblStyle w:val="22"/>
              <w:tblW w:w="830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743"/>
              <w:gridCol w:w="2067"/>
              <w:gridCol w:w="848"/>
            </w:tblGrid>
            <w:tr w14:paraId="77E29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tcBorders>
                    <w:tl2br w:val="nil"/>
                    <w:tr2bl w:val="nil"/>
                  </w:tcBorders>
                  <w:noWrap w:val="0"/>
                  <w:vAlign w:val="center"/>
                </w:tcPr>
                <w:p w14:paraId="2E4AC3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序号</w:t>
                  </w:r>
                </w:p>
              </w:tc>
              <w:tc>
                <w:tcPr>
                  <w:tcW w:w="4743" w:type="dxa"/>
                  <w:tcBorders>
                    <w:tl2br w:val="nil"/>
                    <w:tr2bl w:val="nil"/>
                  </w:tcBorders>
                  <w:noWrap w:val="0"/>
                  <w:vAlign w:val="center"/>
                </w:tcPr>
                <w:p w14:paraId="2D0802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通知内容</w:t>
                  </w:r>
                </w:p>
              </w:tc>
              <w:tc>
                <w:tcPr>
                  <w:tcW w:w="2067" w:type="dxa"/>
                  <w:tcBorders>
                    <w:tl2br w:val="nil"/>
                    <w:tr2bl w:val="nil"/>
                  </w:tcBorders>
                  <w:noWrap w:val="0"/>
                  <w:vAlign w:val="center"/>
                </w:tcPr>
                <w:p w14:paraId="686564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建设</w:t>
                  </w:r>
                  <w:r>
                    <w:rPr>
                      <w:rFonts w:hint="default" w:ascii="Times New Roman" w:hAnsi="Times New Roman" w:eastAsia="宋体" w:cs="Times New Roman"/>
                      <w:b w:val="0"/>
                      <w:bCs w:val="0"/>
                      <w:color w:val="auto"/>
                      <w:kern w:val="0"/>
                      <w:sz w:val="21"/>
                      <w:szCs w:val="21"/>
                      <w:highlight w:val="none"/>
                      <w:vertAlign w:val="baseline"/>
                      <w:lang w:val="en-US" w:eastAsia="zh-CN"/>
                    </w:rPr>
                    <w:t>项目情况</w:t>
                  </w:r>
                </w:p>
              </w:tc>
              <w:tc>
                <w:tcPr>
                  <w:tcW w:w="848" w:type="dxa"/>
                  <w:tcBorders>
                    <w:tl2br w:val="nil"/>
                    <w:tr2bl w:val="nil"/>
                  </w:tcBorders>
                  <w:noWrap w:val="0"/>
                  <w:vAlign w:val="center"/>
                </w:tcPr>
                <w:p w14:paraId="6DC0C3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符合性</w:t>
                  </w:r>
                </w:p>
              </w:tc>
            </w:tr>
            <w:tr w14:paraId="70B29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tcBorders>
                    <w:tl2br w:val="nil"/>
                    <w:tr2bl w:val="nil"/>
                  </w:tcBorders>
                  <w:noWrap w:val="0"/>
                  <w:vAlign w:val="center"/>
                </w:tcPr>
                <w:p w14:paraId="6CAF71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4743" w:type="dxa"/>
                  <w:tcBorders>
                    <w:tl2br w:val="nil"/>
                    <w:tr2bl w:val="nil"/>
                  </w:tcBorders>
                  <w:noWrap w:val="0"/>
                  <w:vAlign w:val="center"/>
                </w:tcPr>
                <w:p w14:paraId="42EA00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一、根据《国家危险废物名录》和《动物诊疗机构管理办法》，动物诊疗机构为动物诊治产生的废物（不含病死动物和动物病理组织）属于HW01医疗废物，应当参照《医疗废物管理条例》的有关规定交具有相应资质的医疗废物处置单位进行集中处置，不得非法转移、倾倒及处置。</w:t>
                  </w:r>
                </w:p>
              </w:tc>
              <w:tc>
                <w:tcPr>
                  <w:tcW w:w="2067" w:type="dxa"/>
                  <w:tcBorders>
                    <w:tl2br w:val="nil"/>
                    <w:tr2bl w:val="nil"/>
                  </w:tcBorders>
                  <w:noWrap w:val="0"/>
                  <w:vAlign w:val="center"/>
                </w:tcPr>
                <w:p w14:paraId="197C3C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项目产生的医疗废物经</w:t>
                  </w:r>
                  <w:r>
                    <w:rPr>
                      <w:rFonts w:hint="eastAsia" w:ascii="Times New Roman" w:hAnsi="Times New Roman" w:eastAsia="宋体" w:cs="Times New Roman"/>
                      <w:b w:val="0"/>
                      <w:bCs w:val="0"/>
                      <w:color w:val="auto"/>
                      <w:kern w:val="0"/>
                      <w:sz w:val="21"/>
                      <w:szCs w:val="21"/>
                      <w:highlight w:val="none"/>
                      <w:vertAlign w:val="baseline"/>
                      <w:lang w:val="en-US" w:eastAsia="zh-CN"/>
                    </w:rPr>
                    <w:t>医疗废物贮存点</w:t>
                  </w:r>
                  <w:r>
                    <w:rPr>
                      <w:rFonts w:hint="default" w:ascii="Times New Roman" w:hAnsi="Times New Roman" w:eastAsia="宋体" w:cs="Times New Roman"/>
                      <w:b w:val="0"/>
                      <w:bCs w:val="0"/>
                      <w:color w:val="auto"/>
                      <w:kern w:val="0"/>
                      <w:sz w:val="21"/>
                      <w:szCs w:val="21"/>
                      <w:highlight w:val="none"/>
                      <w:vertAlign w:val="baseline"/>
                      <w:lang w:val="en-US" w:eastAsia="zh-CN"/>
                    </w:rPr>
                    <w:t>暂存后，定期交</w:t>
                  </w:r>
                  <w:r>
                    <w:rPr>
                      <w:rFonts w:hint="default" w:ascii="Times New Roman" w:hAnsi="Times New Roman" w:cs="Times New Roman"/>
                      <w:b w:val="0"/>
                      <w:bCs w:val="0"/>
                      <w:color w:val="auto"/>
                      <w:sz w:val="21"/>
                      <w:szCs w:val="21"/>
                      <w:highlight w:val="none"/>
                      <w:vertAlign w:val="baseline"/>
                      <w:lang w:eastAsia="zh-CN"/>
                    </w:rPr>
                    <w:t>重庆可厚德环保技术有限公司</w:t>
                  </w:r>
                  <w:r>
                    <w:rPr>
                      <w:rFonts w:hint="default" w:ascii="Times New Roman" w:hAnsi="Times New Roman" w:eastAsia="宋体" w:cs="Times New Roman"/>
                      <w:b w:val="0"/>
                      <w:bCs w:val="0"/>
                      <w:color w:val="auto"/>
                      <w:kern w:val="0"/>
                      <w:sz w:val="21"/>
                      <w:szCs w:val="21"/>
                      <w:highlight w:val="none"/>
                      <w:vertAlign w:val="baseline"/>
                      <w:lang w:val="en-US" w:eastAsia="zh-CN"/>
                    </w:rPr>
                    <w:t>进行处置。</w:t>
                  </w:r>
                </w:p>
              </w:tc>
              <w:tc>
                <w:tcPr>
                  <w:tcW w:w="848" w:type="dxa"/>
                  <w:tcBorders>
                    <w:tl2br w:val="nil"/>
                    <w:tr2bl w:val="nil"/>
                  </w:tcBorders>
                  <w:noWrap w:val="0"/>
                  <w:vAlign w:val="center"/>
                </w:tcPr>
                <w:p w14:paraId="074F6D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r w14:paraId="4216A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tcBorders>
                    <w:tl2br w:val="nil"/>
                    <w:tr2bl w:val="nil"/>
                  </w:tcBorders>
                  <w:noWrap w:val="0"/>
                  <w:vAlign w:val="center"/>
                </w:tcPr>
                <w:p w14:paraId="1F93B5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w:t>
                  </w:r>
                </w:p>
              </w:tc>
              <w:tc>
                <w:tcPr>
                  <w:tcW w:w="4743" w:type="dxa"/>
                  <w:tcBorders>
                    <w:tl2br w:val="nil"/>
                    <w:tr2bl w:val="nil"/>
                  </w:tcBorders>
                  <w:noWrap w:val="0"/>
                  <w:vAlign w:val="center"/>
                </w:tcPr>
                <w:p w14:paraId="043CC6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医疗废物应交由医疗废物处置单位进行集中处置，并做好有关交接、登记和统计等工作，转移医疗废物应执行危险废物转移联单制度保证医疗废物的可追溯性。</w:t>
                  </w:r>
                </w:p>
              </w:tc>
              <w:tc>
                <w:tcPr>
                  <w:tcW w:w="2067" w:type="dxa"/>
                  <w:tcBorders>
                    <w:tl2br w:val="nil"/>
                    <w:tr2bl w:val="nil"/>
                  </w:tcBorders>
                  <w:noWrap w:val="0"/>
                  <w:vAlign w:val="center"/>
                </w:tcPr>
                <w:p w14:paraId="075D1C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项目已设置</w:t>
                  </w:r>
                  <w:r>
                    <w:rPr>
                      <w:rFonts w:hint="eastAsia" w:ascii="Times New Roman" w:hAnsi="Times New Roman" w:eastAsia="宋体" w:cs="Times New Roman"/>
                      <w:b w:val="0"/>
                      <w:bCs w:val="0"/>
                      <w:color w:val="auto"/>
                      <w:kern w:val="0"/>
                      <w:sz w:val="21"/>
                      <w:szCs w:val="21"/>
                      <w:highlight w:val="none"/>
                      <w:vertAlign w:val="baseline"/>
                      <w:lang w:val="en-US" w:eastAsia="zh-CN"/>
                    </w:rPr>
                    <w:t>医疗废物贮存点</w:t>
                  </w:r>
                  <w:r>
                    <w:rPr>
                      <w:rFonts w:hint="default" w:ascii="Times New Roman" w:hAnsi="Times New Roman" w:eastAsia="宋体" w:cs="Times New Roman"/>
                      <w:b w:val="0"/>
                      <w:bCs w:val="0"/>
                      <w:color w:val="auto"/>
                      <w:kern w:val="0"/>
                      <w:sz w:val="21"/>
                      <w:szCs w:val="21"/>
                      <w:highlight w:val="none"/>
                      <w:vertAlign w:val="baseline"/>
                      <w:lang w:val="en-US" w:eastAsia="zh-CN"/>
                    </w:rPr>
                    <w:t>，对产生的医疗废物进行暂存，定期交</w:t>
                  </w:r>
                  <w:r>
                    <w:rPr>
                      <w:rFonts w:hint="default" w:ascii="Times New Roman" w:hAnsi="Times New Roman" w:cs="Times New Roman"/>
                      <w:b w:val="0"/>
                      <w:bCs w:val="0"/>
                      <w:color w:val="auto"/>
                      <w:sz w:val="21"/>
                      <w:szCs w:val="21"/>
                      <w:highlight w:val="none"/>
                      <w:vertAlign w:val="baseline"/>
                      <w:lang w:eastAsia="zh-CN"/>
                    </w:rPr>
                    <w:t>重庆可厚德环保技术有限公司</w:t>
                  </w:r>
                  <w:r>
                    <w:rPr>
                      <w:rFonts w:hint="default" w:ascii="Times New Roman" w:hAnsi="Times New Roman" w:eastAsia="宋体" w:cs="Times New Roman"/>
                      <w:b w:val="0"/>
                      <w:bCs w:val="0"/>
                      <w:color w:val="auto"/>
                      <w:kern w:val="0"/>
                      <w:sz w:val="21"/>
                      <w:szCs w:val="21"/>
                      <w:highlight w:val="none"/>
                      <w:vertAlign w:val="baseline"/>
                      <w:lang w:val="en-US" w:eastAsia="zh-CN"/>
                    </w:rPr>
                    <w:t>处置。</w:t>
                  </w:r>
                </w:p>
              </w:tc>
              <w:tc>
                <w:tcPr>
                  <w:tcW w:w="848" w:type="dxa"/>
                  <w:tcBorders>
                    <w:tl2br w:val="nil"/>
                    <w:tr2bl w:val="nil"/>
                  </w:tcBorders>
                  <w:noWrap w:val="0"/>
                  <w:vAlign w:val="center"/>
                </w:tcPr>
                <w:p w14:paraId="0E328A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r w14:paraId="4A618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tcBorders>
                    <w:tl2br w:val="nil"/>
                    <w:tr2bl w:val="nil"/>
                  </w:tcBorders>
                  <w:noWrap w:val="0"/>
                  <w:vAlign w:val="center"/>
                </w:tcPr>
                <w:p w14:paraId="371BE0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w:t>
                  </w:r>
                </w:p>
              </w:tc>
              <w:tc>
                <w:tcPr>
                  <w:tcW w:w="4743" w:type="dxa"/>
                  <w:tcBorders>
                    <w:tl2br w:val="nil"/>
                    <w:tr2bl w:val="nil"/>
                  </w:tcBorders>
                  <w:noWrap w:val="0"/>
                  <w:vAlign w:val="center"/>
                </w:tcPr>
                <w:p w14:paraId="1224E6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三、各医疗废物处置单位应严格按照医疗废物处置的有关技术规范开展对动物诊疗机构医疗废物收集、运输、贮存及处置的工作，其中动物诊疗机构医疗废物和医疗卫生机构医疗废物应分类收运、贮存及处置；并定期向生态环境部门报告。处置单位要加强对动物诊疗机构医疗废物处置过程的管控，制定并严格执行操作规程，做好处置人员的培训和职业卫生防护</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建立危险废物经营情况记录簿，如实记录动物诊疗机构医疗废物的转移、贮存及处置</w:t>
                  </w:r>
                </w:p>
              </w:tc>
              <w:tc>
                <w:tcPr>
                  <w:tcW w:w="2067" w:type="dxa"/>
                  <w:tcBorders>
                    <w:tl2br w:val="nil"/>
                    <w:tr2bl w:val="nil"/>
                  </w:tcBorders>
                  <w:noWrap w:val="0"/>
                  <w:vAlign w:val="center"/>
                </w:tcPr>
                <w:p w14:paraId="212763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企业建立了管理责任制，使用后的针头、一次性输液器、输液管等医疗废物收集于医疗废物收集桶，并置于</w:t>
                  </w:r>
                  <w:r>
                    <w:rPr>
                      <w:rFonts w:hint="eastAsia" w:ascii="Times New Roman" w:hAnsi="Times New Roman" w:eastAsia="宋体" w:cs="Times New Roman"/>
                      <w:b w:val="0"/>
                      <w:bCs w:val="0"/>
                      <w:color w:val="auto"/>
                      <w:kern w:val="0"/>
                      <w:sz w:val="21"/>
                      <w:szCs w:val="21"/>
                      <w:highlight w:val="none"/>
                      <w:vertAlign w:val="baseline"/>
                      <w:lang w:val="en-US" w:eastAsia="zh-CN"/>
                    </w:rPr>
                    <w:t>医疗废物贮存点</w:t>
                  </w:r>
                  <w:r>
                    <w:rPr>
                      <w:rFonts w:hint="default" w:ascii="Times New Roman" w:hAnsi="Times New Roman" w:eastAsia="宋体" w:cs="Times New Roman"/>
                      <w:b w:val="0"/>
                      <w:bCs w:val="0"/>
                      <w:color w:val="auto"/>
                      <w:kern w:val="0"/>
                      <w:sz w:val="21"/>
                      <w:szCs w:val="21"/>
                      <w:highlight w:val="none"/>
                      <w:vertAlign w:val="baseline"/>
                      <w:lang w:val="en-US" w:eastAsia="zh-CN"/>
                    </w:rPr>
                    <w:t>；产生的医疗废物交</w:t>
                  </w:r>
                  <w:r>
                    <w:rPr>
                      <w:rFonts w:hint="default" w:ascii="Times New Roman" w:hAnsi="Times New Roman" w:cs="Times New Roman"/>
                      <w:b w:val="0"/>
                      <w:bCs w:val="0"/>
                      <w:color w:val="auto"/>
                      <w:sz w:val="21"/>
                      <w:szCs w:val="21"/>
                      <w:highlight w:val="none"/>
                      <w:vertAlign w:val="baseline"/>
                      <w:lang w:eastAsia="zh-CN"/>
                    </w:rPr>
                    <w:t>重庆可厚德环保技术有限公司</w:t>
                  </w:r>
                  <w:r>
                    <w:rPr>
                      <w:rFonts w:hint="default" w:ascii="Times New Roman" w:hAnsi="Times New Roman" w:eastAsia="宋体" w:cs="Times New Roman"/>
                      <w:b w:val="0"/>
                      <w:bCs w:val="0"/>
                      <w:color w:val="auto"/>
                      <w:kern w:val="0"/>
                      <w:sz w:val="21"/>
                      <w:szCs w:val="21"/>
                      <w:highlight w:val="none"/>
                      <w:vertAlign w:val="baseline"/>
                      <w:lang w:val="en-US" w:eastAsia="zh-CN"/>
                    </w:rPr>
                    <w:t>处置，并按照危险废物转移管理办法执行。</w:t>
                  </w:r>
                </w:p>
              </w:tc>
              <w:tc>
                <w:tcPr>
                  <w:tcW w:w="848" w:type="dxa"/>
                  <w:tcBorders>
                    <w:tl2br w:val="nil"/>
                    <w:tr2bl w:val="nil"/>
                  </w:tcBorders>
                  <w:noWrap w:val="0"/>
                  <w:vAlign w:val="center"/>
                </w:tcPr>
                <w:p w14:paraId="1B237A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符合</w:t>
                  </w:r>
                </w:p>
              </w:tc>
            </w:tr>
          </w:tbl>
          <w:p w14:paraId="7130CEF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0" w:firstLineChars="0"/>
              <w:jc w:val="left"/>
              <w:textAlignment w:val="auto"/>
              <w:outlineLvl w:val="0"/>
              <w:rPr>
                <w:rFonts w:hint="default"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1.</w:t>
            </w:r>
            <w:r>
              <w:rPr>
                <w:rFonts w:hint="eastAsia" w:cs="Times New Roman"/>
                <w:b/>
                <w:bCs/>
                <w:color w:val="auto"/>
                <w:sz w:val="24"/>
                <w:szCs w:val="24"/>
                <w:highlight w:val="none"/>
                <w:vertAlign w:val="baseline"/>
                <w:lang w:val="en-US" w:eastAsia="zh-CN"/>
              </w:rPr>
              <w:t>8</w:t>
            </w:r>
            <w:r>
              <w:rPr>
                <w:rFonts w:hint="default" w:ascii="Times New Roman" w:hAnsi="Times New Roman" w:eastAsia="宋体" w:cs="Times New Roman"/>
                <w:b/>
                <w:bCs/>
                <w:color w:val="auto"/>
                <w:sz w:val="24"/>
                <w:szCs w:val="24"/>
                <w:highlight w:val="none"/>
                <w:vertAlign w:val="baseline"/>
                <w:lang w:val="en-US" w:eastAsia="zh-CN"/>
              </w:rPr>
              <w:t>与《重庆市动物防疫条例》（2023年9月27日修订）符合性分析</w:t>
            </w:r>
          </w:p>
          <w:p w14:paraId="41ECC3AE">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表</w:t>
            </w:r>
            <w:r>
              <w:rPr>
                <w:rFonts w:hint="eastAsia" w:ascii="Times New Roman" w:hAnsi="Times New Roman" w:eastAsia="宋体" w:cs="Times New Roman"/>
                <w:b w:val="0"/>
                <w:bCs w:val="0"/>
                <w:color w:val="auto"/>
                <w:kern w:val="0"/>
                <w:sz w:val="21"/>
                <w:szCs w:val="21"/>
                <w:highlight w:val="none"/>
                <w:lang w:val="en-US" w:eastAsia="zh-CN"/>
              </w:rPr>
              <w:t>1.</w:t>
            </w:r>
            <w:r>
              <w:rPr>
                <w:rFonts w:hint="eastAsia" w:cs="Times New Roman"/>
                <w:b w:val="0"/>
                <w:bCs w:val="0"/>
                <w:color w:val="auto"/>
                <w:kern w:val="0"/>
                <w:sz w:val="21"/>
                <w:szCs w:val="21"/>
                <w:highlight w:val="none"/>
                <w:lang w:val="en-US" w:eastAsia="zh-CN"/>
              </w:rPr>
              <w:t>8</w:t>
            </w:r>
            <w:r>
              <w:rPr>
                <w:rFonts w:hint="eastAsia" w:ascii="Times New Roman" w:hAnsi="Times New Roman" w:eastAsia="宋体" w:cs="Times New Roman"/>
                <w:b w:val="0"/>
                <w:bCs w:val="0"/>
                <w:color w:val="auto"/>
                <w:kern w:val="0"/>
                <w:sz w:val="21"/>
                <w:szCs w:val="21"/>
                <w:highlight w:val="none"/>
                <w:lang w:val="en-US" w:eastAsia="zh-CN"/>
              </w:rPr>
              <w:t xml:space="preserve">-1 </w:t>
            </w:r>
            <w:r>
              <w:rPr>
                <w:rFonts w:hint="default" w:ascii="Times New Roman" w:hAnsi="Times New Roman" w:eastAsia="宋体" w:cs="Times New Roman"/>
                <w:b w:val="0"/>
                <w:bCs w:val="0"/>
                <w:color w:val="auto"/>
                <w:kern w:val="0"/>
                <w:sz w:val="21"/>
                <w:szCs w:val="21"/>
                <w:highlight w:val="none"/>
                <w:lang w:val="en-US" w:eastAsia="zh-CN"/>
              </w:rPr>
              <w:t>与《重庆市动物防疫条例》符合性分析</w:t>
            </w:r>
          </w:p>
          <w:tbl>
            <w:tblPr>
              <w:tblStyle w:val="22"/>
              <w:tblW w:w="830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4515"/>
              <w:gridCol w:w="2222"/>
              <w:gridCol w:w="866"/>
            </w:tblGrid>
            <w:tr w14:paraId="0A064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dxa"/>
                  <w:tcBorders>
                    <w:tl2br w:val="nil"/>
                    <w:tr2bl w:val="nil"/>
                  </w:tcBorders>
                  <w:noWrap w:val="0"/>
                  <w:vAlign w:val="center"/>
                </w:tcPr>
                <w:p w14:paraId="0FF815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序号</w:t>
                  </w:r>
                </w:p>
              </w:tc>
              <w:tc>
                <w:tcPr>
                  <w:tcW w:w="4515" w:type="dxa"/>
                  <w:tcBorders>
                    <w:tl2br w:val="nil"/>
                    <w:tr2bl w:val="nil"/>
                  </w:tcBorders>
                  <w:noWrap w:val="0"/>
                  <w:vAlign w:val="center"/>
                </w:tcPr>
                <w:p w14:paraId="32834E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《重庆市动物防疫条例》相关规定要求</w:t>
                  </w:r>
                </w:p>
              </w:tc>
              <w:tc>
                <w:tcPr>
                  <w:tcW w:w="2222" w:type="dxa"/>
                  <w:tcBorders>
                    <w:tl2br w:val="nil"/>
                    <w:tr2bl w:val="nil"/>
                  </w:tcBorders>
                  <w:noWrap w:val="0"/>
                  <w:vAlign w:val="center"/>
                </w:tcPr>
                <w:p w14:paraId="2E4EB6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建设</w:t>
                  </w:r>
                  <w:r>
                    <w:rPr>
                      <w:rFonts w:hint="default" w:ascii="Times New Roman" w:hAnsi="Times New Roman" w:eastAsia="宋体" w:cs="Times New Roman"/>
                      <w:b w:val="0"/>
                      <w:bCs w:val="0"/>
                      <w:color w:val="auto"/>
                      <w:sz w:val="21"/>
                      <w:szCs w:val="21"/>
                      <w:highlight w:val="none"/>
                      <w:vertAlign w:val="baseline"/>
                      <w:lang w:val="en-US" w:eastAsia="zh-CN"/>
                    </w:rPr>
                    <w:t>项目情况</w:t>
                  </w:r>
                </w:p>
              </w:tc>
              <w:tc>
                <w:tcPr>
                  <w:tcW w:w="866" w:type="dxa"/>
                  <w:tcBorders>
                    <w:tl2br w:val="nil"/>
                    <w:tr2bl w:val="nil"/>
                  </w:tcBorders>
                  <w:noWrap w:val="0"/>
                  <w:vAlign w:val="center"/>
                </w:tcPr>
                <w:p w14:paraId="2B4C8F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符合性</w:t>
                  </w:r>
                </w:p>
              </w:tc>
            </w:tr>
            <w:tr w14:paraId="544DC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dxa"/>
                  <w:tcBorders>
                    <w:tl2br w:val="nil"/>
                    <w:tr2bl w:val="nil"/>
                  </w:tcBorders>
                  <w:noWrap w:val="0"/>
                  <w:vAlign w:val="center"/>
                </w:tcPr>
                <w:p w14:paraId="16FCD0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4515" w:type="dxa"/>
                  <w:tcBorders>
                    <w:tl2br w:val="nil"/>
                    <w:tr2bl w:val="nil"/>
                  </w:tcBorders>
                  <w:noWrap w:val="0"/>
                  <w:vAlign w:val="center"/>
                </w:tcPr>
                <w:p w14:paraId="6A3AC4B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第六条 从事动物饲养、屠宰、经营、隔离、运输、诊疗以及动物产品生产、经营、加工、贮藏等活动的单位和个人，应当依法做好免疫、消毒、检测、隔离、净化、消灭、无害化处理等动物防疫工作，承担动物防疫相关责任。</w:t>
                  </w:r>
                </w:p>
              </w:tc>
              <w:tc>
                <w:tcPr>
                  <w:tcW w:w="2222" w:type="dxa"/>
                  <w:tcBorders>
                    <w:tl2br w:val="nil"/>
                    <w:tr2bl w:val="nil"/>
                  </w:tcBorders>
                  <w:noWrap w:val="0"/>
                  <w:vAlign w:val="center"/>
                </w:tcPr>
                <w:p w14:paraId="60B9CEAC">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eastAsia="zh-CN"/>
                    </w:rPr>
                    <w:t>项目为</w:t>
                  </w:r>
                  <w:r>
                    <w:rPr>
                      <w:rFonts w:hint="eastAsia" w:cs="Times New Roman"/>
                      <w:color w:val="auto"/>
                      <w:highlight w:val="none"/>
                      <w:lang w:val="en-US" w:eastAsia="zh-CN"/>
                    </w:rPr>
                    <w:t>动物</w:t>
                  </w:r>
                  <w:r>
                    <w:rPr>
                      <w:rFonts w:hint="eastAsia" w:ascii="Times New Roman" w:hAnsi="Times New Roman" w:eastAsia="宋体" w:cs="Times New Roman"/>
                      <w:color w:val="auto"/>
                      <w:highlight w:val="none"/>
                      <w:lang w:eastAsia="zh-CN"/>
                    </w:rPr>
                    <w:t>医院</w:t>
                  </w:r>
                  <w:r>
                    <w:rPr>
                      <w:rFonts w:hint="eastAsia" w:cs="Times New Roman"/>
                      <w:color w:val="auto"/>
                      <w:highlight w:val="none"/>
                      <w:lang w:val="en-US" w:eastAsia="zh-CN"/>
                    </w:rPr>
                    <w:t>扩建项目</w:t>
                  </w:r>
                  <w:r>
                    <w:rPr>
                      <w:rFonts w:hint="eastAsia" w:ascii="Times New Roman" w:hAnsi="Times New Roman" w:eastAsia="宋体" w:cs="Times New Roman"/>
                      <w:color w:val="auto"/>
                      <w:highlight w:val="none"/>
                      <w:lang w:eastAsia="zh-CN"/>
                    </w:rPr>
                    <w:t>，设置了隔离</w:t>
                  </w:r>
                  <w:r>
                    <w:rPr>
                      <w:rFonts w:hint="eastAsia" w:cs="Times New Roman"/>
                      <w:color w:val="auto"/>
                      <w:highlight w:val="none"/>
                      <w:lang w:val="en-US" w:eastAsia="zh-CN"/>
                    </w:rPr>
                    <w:t>室</w:t>
                  </w:r>
                  <w:r>
                    <w:rPr>
                      <w:rFonts w:hint="eastAsia" w:ascii="Times New Roman" w:hAnsi="Times New Roman" w:eastAsia="宋体" w:cs="Times New Roman"/>
                      <w:color w:val="auto"/>
                      <w:highlight w:val="none"/>
                      <w:lang w:eastAsia="zh-CN"/>
                    </w:rPr>
                    <w:t>，并做好免疫、消毒等动物防疫工作，</w:t>
                  </w:r>
                  <w:r>
                    <w:rPr>
                      <w:rFonts w:hint="eastAsia" w:cs="Times New Roman"/>
                      <w:color w:val="auto"/>
                      <w:highlight w:val="none"/>
                      <w:lang w:val="en-US" w:eastAsia="zh-CN"/>
                    </w:rPr>
                    <w:t>产生的</w:t>
                  </w:r>
                  <w:r>
                    <w:rPr>
                      <w:rFonts w:hint="eastAsia" w:ascii="Times New Roman" w:hAnsi="Times New Roman" w:eastAsia="宋体" w:cs="Times New Roman"/>
                      <w:color w:val="auto"/>
                      <w:highlight w:val="none"/>
                      <w:lang w:eastAsia="zh-CN"/>
                    </w:rPr>
                    <w:t>动物尸体</w:t>
                  </w:r>
                  <w:r>
                    <w:rPr>
                      <w:rFonts w:hint="eastAsia" w:ascii="Times New Roman" w:hAnsi="Times New Roman" w:eastAsia="宋体" w:cs="Times New Roman"/>
                      <w:color w:val="auto"/>
                      <w:highlight w:val="none"/>
                      <w:lang w:val="en-US" w:eastAsia="zh-CN"/>
                    </w:rPr>
                    <w:t>由动物主人交由有资质单位</w:t>
                  </w:r>
                  <w:r>
                    <w:rPr>
                      <w:rFonts w:hint="eastAsia" w:ascii="Times New Roman" w:hAnsi="Times New Roman" w:eastAsia="宋体" w:cs="Times New Roman"/>
                      <w:color w:val="auto"/>
                      <w:highlight w:val="none"/>
                      <w:lang w:eastAsia="zh-CN"/>
                    </w:rPr>
                    <w:t>进行无害化处置</w:t>
                  </w:r>
                  <w:r>
                    <w:rPr>
                      <w:rFonts w:hint="eastAsia" w:cs="Times New Roman"/>
                      <w:color w:val="auto"/>
                      <w:highlight w:val="none"/>
                      <w:lang w:eastAsia="zh-CN"/>
                    </w:rPr>
                    <w:t>。</w:t>
                  </w:r>
                </w:p>
              </w:tc>
              <w:tc>
                <w:tcPr>
                  <w:tcW w:w="866" w:type="dxa"/>
                  <w:tcBorders>
                    <w:tl2br w:val="nil"/>
                    <w:tr2bl w:val="nil"/>
                  </w:tcBorders>
                  <w:noWrap w:val="0"/>
                  <w:vAlign w:val="center"/>
                </w:tcPr>
                <w:p w14:paraId="545A99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30279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dxa"/>
                  <w:tcBorders>
                    <w:tl2br w:val="nil"/>
                    <w:tr2bl w:val="nil"/>
                  </w:tcBorders>
                  <w:noWrap w:val="0"/>
                  <w:vAlign w:val="center"/>
                </w:tcPr>
                <w:p w14:paraId="0EB428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4515" w:type="dxa"/>
                  <w:tcBorders>
                    <w:tl2br w:val="nil"/>
                    <w:tr2bl w:val="nil"/>
                  </w:tcBorders>
                  <w:noWrap w:val="0"/>
                  <w:vAlign w:val="center"/>
                </w:tcPr>
                <w:p w14:paraId="7F877F4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第十九条 从事动物饲养、屠宰、经营、隔离、运输以及动物疫病监测、检测、检验检疫、研究、诊疗等活动的单位和个人，发现动物染疫或者疑似染疫的，应当立即向所在地人民政府农业农村主管部门或者动物疫病预防控制机构报告，并迅速采取隔离等控制措施，防止动物疫情扩散。其他单位和个人发现动物染疫或者疑似染疫的，应当及时报告。</w:t>
                  </w:r>
                </w:p>
              </w:tc>
              <w:tc>
                <w:tcPr>
                  <w:tcW w:w="2222" w:type="dxa"/>
                  <w:tcBorders>
                    <w:tl2br w:val="nil"/>
                    <w:tr2bl w:val="nil"/>
                  </w:tcBorders>
                  <w:noWrap w:val="0"/>
                  <w:vAlign w:val="center"/>
                </w:tcPr>
                <w:p w14:paraId="0ECB9EEA">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lang w:val="en-US" w:eastAsia="zh-CN"/>
                    </w:rPr>
                    <w:t>在经营过程中</w:t>
                  </w:r>
                  <w:r>
                    <w:rPr>
                      <w:rFonts w:hint="eastAsia" w:ascii="Times New Roman" w:hAnsi="Times New Roman" w:eastAsia="宋体" w:cs="Times New Roman"/>
                      <w:color w:val="auto"/>
                      <w:highlight w:val="none"/>
                    </w:rPr>
                    <w:t>发现就诊动物染疫或者疑似染疫的，迅速采取隔离等控制措施，防止动物疫情扩散。</w:t>
                  </w:r>
                </w:p>
              </w:tc>
              <w:tc>
                <w:tcPr>
                  <w:tcW w:w="866" w:type="dxa"/>
                  <w:tcBorders>
                    <w:tl2br w:val="nil"/>
                    <w:tr2bl w:val="nil"/>
                  </w:tcBorders>
                  <w:noWrap w:val="0"/>
                  <w:vAlign w:val="center"/>
                </w:tcPr>
                <w:p w14:paraId="791EDE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73330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dxa"/>
                  <w:tcBorders>
                    <w:tl2br w:val="nil"/>
                    <w:tr2bl w:val="nil"/>
                  </w:tcBorders>
                  <w:noWrap w:val="0"/>
                  <w:vAlign w:val="center"/>
                </w:tcPr>
                <w:p w14:paraId="796CFF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4515" w:type="dxa"/>
                  <w:tcBorders>
                    <w:tl2br w:val="nil"/>
                    <w:tr2bl w:val="nil"/>
                  </w:tcBorders>
                  <w:noWrap w:val="0"/>
                  <w:vAlign w:val="center"/>
                </w:tcPr>
                <w:p w14:paraId="72016E06">
                  <w:pPr>
                    <w:keepNext w:val="0"/>
                    <w:keepLines w:val="0"/>
                    <w:pageBreakBefore w:val="0"/>
                    <w:widowControl w:val="0"/>
                    <w:kinsoku/>
                    <w:wordWrap/>
                    <w:overflowPunct/>
                    <w:topLinePunct w:val="0"/>
                    <w:autoSpaceDE/>
                    <w:autoSpaceDN/>
                    <w:bidi w:val="0"/>
                    <w:adjustRightInd/>
                    <w:snapToGrid w:val="0"/>
                    <w:spacing w:before="157" w:beforeLines="5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第二十二条 从事动物饲养、屠宰、经营、隔离以及动物产品生产、经营、加工、贮藏等活动的单位和个人，应当按照国家有关规定做好病死动物和病害动物产品的无害化处理，或者委托动物和动物产品集中无害化处理场所处理。</w:t>
                  </w:r>
                </w:p>
              </w:tc>
              <w:tc>
                <w:tcPr>
                  <w:tcW w:w="2222" w:type="dxa"/>
                  <w:tcBorders>
                    <w:tl2br w:val="nil"/>
                    <w:tr2bl w:val="nil"/>
                  </w:tcBorders>
                  <w:noWrap w:val="0"/>
                  <w:vAlign w:val="center"/>
                </w:tcPr>
                <w:p w14:paraId="6B28A43F">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rPr>
                    <w:t>项目</w:t>
                  </w:r>
                  <w:r>
                    <w:rPr>
                      <w:rFonts w:hint="eastAsia" w:cs="Times New Roman"/>
                      <w:color w:val="auto"/>
                      <w:highlight w:val="none"/>
                      <w:lang w:val="en-US" w:eastAsia="zh-CN"/>
                    </w:rPr>
                    <w:t>病死动物和病害动物</w:t>
                  </w:r>
                  <w:r>
                    <w:rPr>
                      <w:rFonts w:hint="eastAsia" w:ascii="Times New Roman" w:hAnsi="Times New Roman" w:eastAsia="宋体" w:cs="Times New Roman"/>
                      <w:color w:val="auto"/>
                      <w:highlight w:val="none"/>
                      <w:lang w:val="en-US" w:eastAsia="zh-CN"/>
                    </w:rPr>
                    <w:t>由动物主人交由有资质单位</w:t>
                  </w:r>
                  <w:r>
                    <w:rPr>
                      <w:rFonts w:hint="eastAsia" w:ascii="Times New Roman" w:hAnsi="Times New Roman" w:eastAsia="宋体" w:cs="Times New Roman"/>
                      <w:color w:val="auto"/>
                      <w:highlight w:val="none"/>
                      <w:lang w:eastAsia="zh-CN"/>
                    </w:rPr>
                    <w:t>进行无害化处置</w:t>
                  </w:r>
                  <w:r>
                    <w:rPr>
                      <w:rFonts w:hint="eastAsia" w:cs="Times New Roman"/>
                      <w:color w:val="auto"/>
                      <w:highlight w:val="none"/>
                      <w:lang w:eastAsia="zh-CN"/>
                    </w:rPr>
                    <w:t>。</w:t>
                  </w:r>
                </w:p>
              </w:tc>
              <w:tc>
                <w:tcPr>
                  <w:tcW w:w="866" w:type="dxa"/>
                  <w:tcBorders>
                    <w:tl2br w:val="nil"/>
                    <w:tr2bl w:val="nil"/>
                  </w:tcBorders>
                  <w:noWrap w:val="0"/>
                  <w:vAlign w:val="center"/>
                </w:tcPr>
                <w:p w14:paraId="42667C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bl>
          <w:p w14:paraId="1344B03A">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0" w:firstLineChars="0"/>
              <w:jc w:val="left"/>
              <w:textAlignment w:val="auto"/>
              <w:outlineLvl w:val="0"/>
              <w:rPr>
                <w:rFonts w:hint="eastAsia" w:ascii="Times New Roman" w:hAnsi="Times New Roman" w:eastAsia="宋体"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1.9</w:t>
            </w:r>
            <w:r>
              <w:rPr>
                <w:rFonts w:hint="eastAsia" w:ascii="Times New Roman" w:hAnsi="Times New Roman" w:eastAsia="宋体" w:cs="Times New Roman"/>
                <w:b/>
                <w:bCs/>
                <w:color w:val="auto"/>
                <w:sz w:val="24"/>
                <w:szCs w:val="24"/>
                <w:vertAlign w:val="baseline"/>
                <w:lang w:val="en-US" w:eastAsia="zh-CN"/>
              </w:rPr>
              <w:t xml:space="preserve"> 选址合理性</w:t>
            </w:r>
          </w:p>
          <w:p w14:paraId="7EFD80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本</w:t>
            </w:r>
            <w:r>
              <w:rPr>
                <w:rFonts w:hint="default" w:ascii="Times New Roman" w:hAnsi="Times New Roman" w:eastAsia="宋体" w:cs="Times New Roman"/>
                <w:b w:val="0"/>
                <w:bCs w:val="0"/>
                <w:color w:val="auto"/>
                <w:sz w:val="24"/>
                <w:szCs w:val="24"/>
                <w:highlight w:val="none"/>
                <w:vertAlign w:val="baseline"/>
                <w:lang w:val="en-US" w:eastAsia="zh-CN"/>
              </w:rPr>
              <w:t>项目位于</w:t>
            </w:r>
            <w:r>
              <w:rPr>
                <w:rFonts w:hint="eastAsia" w:cs="Times New Roman"/>
                <w:color w:val="auto"/>
                <w:sz w:val="24"/>
                <w:szCs w:val="24"/>
                <w:lang w:val="en-US" w:eastAsia="zh-CN"/>
              </w:rPr>
              <w:t>重庆市九龙坡区华岩镇华福大道北段16号14幢附2-2号、2-3号、2-4号</w:t>
            </w:r>
            <w:r>
              <w:rPr>
                <w:rFonts w:hint="default" w:ascii="Times New Roman" w:hAnsi="Times New Roman" w:eastAsia="宋体" w:cs="Times New Roman"/>
                <w:b w:val="0"/>
                <w:bCs w:val="0"/>
                <w:color w:val="auto"/>
                <w:sz w:val="24"/>
                <w:szCs w:val="24"/>
                <w:highlight w:val="none"/>
                <w:vertAlign w:val="baseline"/>
                <w:lang w:val="en-US" w:eastAsia="zh-CN"/>
              </w:rPr>
              <w:t>，为</w:t>
            </w:r>
            <w:r>
              <w:rPr>
                <w:rFonts w:hint="eastAsia" w:cs="Times New Roman"/>
                <w:b w:val="0"/>
                <w:bCs w:val="0"/>
                <w:color w:val="auto"/>
                <w:sz w:val="24"/>
                <w:szCs w:val="24"/>
                <w:highlight w:val="none"/>
                <w:vertAlign w:val="baseline"/>
                <w:lang w:val="en-US" w:eastAsia="zh-CN"/>
              </w:rPr>
              <w:t>金科阳光小镇6期</w:t>
            </w:r>
            <w:r>
              <w:rPr>
                <w:rFonts w:hint="eastAsia" w:ascii="Times New Roman" w:hAnsi="Times New Roman" w:eastAsia="宋体" w:cs="Times New Roman"/>
                <w:b w:val="0"/>
                <w:bCs w:val="0"/>
                <w:color w:val="auto"/>
                <w:sz w:val="24"/>
                <w:szCs w:val="24"/>
                <w:highlight w:val="none"/>
                <w:vertAlign w:val="baseline"/>
                <w:lang w:val="en-US" w:eastAsia="zh-CN"/>
              </w:rPr>
              <w:t>的</w:t>
            </w:r>
            <w:r>
              <w:rPr>
                <w:rFonts w:hint="eastAsia" w:cs="Times New Roman"/>
                <w:b w:val="0"/>
                <w:bCs w:val="0"/>
                <w:color w:val="auto"/>
                <w:sz w:val="24"/>
                <w:szCs w:val="24"/>
                <w:highlight w:val="none"/>
                <w:vertAlign w:val="baseline"/>
                <w:lang w:val="en-US" w:eastAsia="zh-CN"/>
              </w:rPr>
              <w:t>商业裙楼，共2层，本项目位于2F。</w:t>
            </w:r>
            <w:r>
              <w:rPr>
                <w:rFonts w:hint="default" w:ascii="Times New Roman" w:hAnsi="Times New Roman" w:eastAsia="宋体" w:cs="Times New Roman"/>
                <w:b w:val="0"/>
                <w:bCs w:val="0"/>
                <w:color w:val="auto"/>
                <w:sz w:val="24"/>
                <w:szCs w:val="24"/>
                <w:highlight w:val="none"/>
                <w:vertAlign w:val="baseline"/>
                <w:lang w:val="en-US" w:eastAsia="zh-CN"/>
              </w:rPr>
              <w:t>相邻均为</w:t>
            </w:r>
            <w:r>
              <w:rPr>
                <w:rFonts w:hint="eastAsia" w:cs="Times New Roman"/>
                <w:b w:val="0"/>
                <w:bCs w:val="0"/>
                <w:color w:val="auto"/>
                <w:sz w:val="24"/>
                <w:szCs w:val="24"/>
                <w:highlight w:val="none"/>
                <w:vertAlign w:val="baseline"/>
                <w:lang w:val="en-US" w:eastAsia="zh-CN"/>
              </w:rPr>
              <w:t>商业住宅混合区，由于年代较为久远，金科阳光小镇的环评及验收资料已遗失，但根据金科阳光小镇设计要求，本项目用房为商业用房，符合其功能定位</w:t>
            </w:r>
            <w:r>
              <w:rPr>
                <w:rFonts w:hint="default" w:ascii="Times New Roman" w:hAnsi="Times New Roman" w:eastAsia="宋体" w:cs="Times New Roman"/>
                <w:b w:val="0"/>
                <w:bCs w:val="0"/>
                <w:color w:val="auto"/>
                <w:sz w:val="24"/>
                <w:szCs w:val="24"/>
                <w:highlight w:val="none"/>
                <w:vertAlign w:val="baseline"/>
                <w:lang w:val="en-US" w:eastAsia="zh-CN"/>
              </w:rPr>
              <w:t>。医院</w:t>
            </w:r>
            <w:r>
              <w:rPr>
                <w:rFonts w:hint="default" w:ascii="Times New Roman" w:hAnsi="Times New Roman" w:eastAsia="宋体" w:cs="Times New Roman"/>
                <w:b w:val="0"/>
                <w:bCs/>
                <w:color w:val="auto"/>
                <w:sz w:val="24"/>
                <w:szCs w:val="24"/>
                <w:highlight w:val="none"/>
                <w:lang w:val="en-US" w:eastAsia="zh-CN"/>
              </w:rPr>
              <w:t>于202</w:t>
            </w: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val="en-US" w:eastAsia="zh-CN"/>
              </w:rPr>
              <w:t>年</w:t>
            </w: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val="en-US" w:eastAsia="zh-CN"/>
              </w:rPr>
              <w:t>月开始建设，202</w:t>
            </w: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val="en-US" w:eastAsia="zh-CN"/>
              </w:rPr>
              <w:t>年</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月开始营业</w:t>
            </w:r>
            <w:r>
              <w:rPr>
                <w:rFonts w:hint="default" w:ascii="Times New Roman" w:hAnsi="Times New Roman" w:eastAsia="宋体" w:cs="Times New Roman"/>
                <w:b w:val="0"/>
                <w:bCs w:val="0"/>
                <w:color w:val="auto"/>
                <w:sz w:val="24"/>
                <w:szCs w:val="24"/>
                <w:highlight w:val="none"/>
                <w:vertAlign w:val="baseline"/>
                <w:lang w:val="en-US" w:eastAsia="zh-CN"/>
              </w:rPr>
              <w:t>，营业至今约</w:t>
            </w:r>
            <w:r>
              <w:rPr>
                <w:rFonts w:hint="eastAsia" w:cs="Times New Roman"/>
                <w:b w:val="0"/>
                <w:bCs w:val="0"/>
                <w:color w:val="auto"/>
                <w:sz w:val="24"/>
                <w:szCs w:val="24"/>
                <w:highlight w:val="none"/>
                <w:vertAlign w:val="baseline"/>
                <w:lang w:val="en-US" w:eastAsia="zh-CN"/>
              </w:rPr>
              <w:t>4</w:t>
            </w:r>
            <w:r>
              <w:rPr>
                <w:rFonts w:hint="default" w:ascii="Times New Roman" w:hAnsi="Times New Roman" w:eastAsia="宋体" w:cs="Times New Roman"/>
                <w:b w:val="0"/>
                <w:bCs w:val="0"/>
                <w:color w:val="auto"/>
                <w:sz w:val="24"/>
                <w:szCs w:val="24"/>
                <w:highlight w:val="none"/>
                <w:vertAlign w:val="baseline"/>
                <w:lang w:val="en-US" w:eastAsia="zh-CN"/>
              </w:rPr>
              <w:t>年，在此期间，未发生环境污染和环保投诉问题。本次扩建是在宠物医院现有手术类别基础上增设三腔手术类型，即动物颅腔、胸腔、腹腔手术，扩建前后动物诊疗的规模不变。</w:t>
            </w:r>
          </w:p>
          <w:p w14:paraId="442B5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金科阳光小镇</w:t>
            </w:r>
            <w:r>
              <w:rPr>
                <w:rFonts w:hint="default" w:ascii="Times New Roman" w:hAnsi="Times New Roman" w:eastAsia="宋体" w:cs="Times New Roman"/>
                <w:b w:val="0"/>
                <w:bCs w:val="0"/>
                <w:color w:val="auto"/>
                <w:sz w:val="24"/>
                <w:szCs w:val="24"/>
                <w:highlight w:val="none"/>
                <w:vertAlign w:val="baseline"/>
                <w:lang w:val="en-US" w:eastAsia="zh-CN"/>
              </w:rPr>
              <w:t>已建设有生化池，主要收纳商业门面废水及住宅废水，项目所在区域敷设有完善的雨污管网，该污水管网接入</w:t>
            </w:r>
            <w:r>
              <w:rPr>
                <w:rFonts w:hint="eastAsia" w:cs="Times New Roman"/>
                <w:b w:val="0"/>
                <w:bCs w:val="0"/>
                <w:color w:val="auto"/>
                <w:sz w:val="24"/>
                <w:szCs w:val="24"/>
                <w:highlight w:val="none"/>
                <w:vertAlign w:val="baseline"/>
                <w:lang w:val="en-US" w:eastAsia="zh-CN"/>
              </w:rPr>
              <w:t>中梁山污水处理厂</w:t>
            </w:r>
            <w:r>
              <w:rPr>
                <w:rFonts w:hint="default" w:ascii="Times New Roman" w:hAnsi="Times New Roman" w:eastAsia="宋体" w:cs="Times New Roman"/>
                <w:b w:val="0"/>
                <w:bCs w:val="0"/>
                <w:color w:val="auto"/>
                <w:sz w:val="24"/>
                <w:szCs w:val="24"/>
                <w:highlight w:val="none"/>
                <w:vertAlign w:val="baseline"/>
                <w:lang w:val="en-US" w:eastAsia="zh-CN"/>
              </w:rPr>
              <w:t>，项目废水能得到有效处理。项目紧邻</w:t>
            </w:r>
            <w:r>
              <w:rPr>
                <w:rFonts w:hint="eastAsia" w:cs="Times New Roman"/>
                <w:b w:val="0"/>
                <w:bCs w:val="0"/>
                <w:color w:val="auto"/>
                <w:sz w:val="24"/>
                <w:szCs w:val="24"/>
                <w:highlight w:val="none"/>
                <w:vertAlign w:val="baseline"/>
                <w:lang w:val="en-US" w:eastAsia="zh-CN"/>
              </w:rPr>
              <w:t>华美路</w:t>
            </w:r>
            <w:r>
              <w:rPr>
                <w:rFonts w:hint="default" w:ascii="Times New Roman" w:hAnsi="Times New Roman" w:eastAsia="宋体" w:cs="Times New Roman"/>
                <w:b w:val="0"/>
                <w:bCs w:val="0"/>
                <w:color w:val="auto"/>
                <w:sz w:val="24"/>
                <w:szCs w:val="24"/>
                <w:highlight w:val="none"/>
                <w:vertAlign w:val="baseline"/>
                <w:lang w:val="en-US" w:eastAsia="zh-CN"/>
              </w:rPr>
              <w:t>，地理位置优越，交通便捷。项目所在区域城市建设成熟，供电、供水等设施完善，可以满足项目生产运营需要。因此，项目所在区域市政设施完善，有利于项目建设。</w:t>
            </w:r>
          </w:p>
          <w:p w14:paraId="6DB8C8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w:t>
            </w:r>
            <w:r>
              <w:rPr>
                <w:rFonts w:hint="default" w:ascii="Times New Roman" w:hAnsi="Times New Roman" w:eastAsia="宋体" w:cs="Times New Roman"/>
                <w:b w:val="0"/>
                <w:bCs w:val="0"/>
                <w:color w:val="auto"/>
                <w:kern w:val="0"/>
                <w:sz w:val="24"/>
                <w:szCs w:val="24"/>
              </w:rPr>
              <w:t>202</w:t>
            </w:r>
            <w:r>
              <w:rPr>
                <w:rFonts w:hint="eastAsia" w:cs="Times New Roman"/>
                <w:b w:val="0"/>
                <w:bCs w:val="0"/>
                <w:color w:val="auto"/>
                <w:kern w:val="0"/>
                <w:sz w:val="24"/>
                <w:szCs w:val="24"/>
                <w:lang w:val="en-US" w:eastAsia="zh-CN"/>
              </w:rPr>
              <w:t>4年</w:t>
            </w:r>
            <w:r>
              <w:rPr>
                <w:rFonts w:hint="default" w:ascii="Times New Roman" w:hAnsi="Times New Roman" w:eastAsia="宋体" w:cs="Times New Roman"/>
                <w:b w:val="0"/>
                <w:bCs w:val="0"/>
                <w:color w:val="auto"/>
                <w:kern w:val="0"/>
                <w:sz w:val="24"/>
                <w:szCs w:val="24"/>
              </w:rPr>
              <w:t>重庆市生态环境状况公报</w:t>
            </w:r>
            <w:r>
              <w:rPr>
                <w:rFonts w:hint="default" w:ascii="Times New Roman" w:hAnsi="Times New Roman" w:eastAsia="宋体" w:cs="Times New Roman"/>
                <w:b w:val="0"/>
                <w:bCs w:val="0"/>
                <w:color w:val="auto"/>
                <w:sz w:val="24"/>
                <w:szCs w:val="24"/>
                <w:highlight w:val="none"/>
                <w:vertAlign w:val="baseline"/>
                <w:lang w:val="en-US" w:eastAsia="zh-CN"/>
              </w:rPr>
              <w:t>》，项目所在区域</w:t>
            </w:r>
            <w:r>
              <w:rPr>
                <w:rFonts w:hint="eastAsia" w:cs="Times New Roman"/>
                <w:b w:val="0"/>
                <w:bCs w:val="0"/>
                <w:color w:val="auto"/>
                <w:sz w:val="24"/>
                <w:szCs w:val="24"/>
                <w:highlight w:val="none"/>
                <w:vertAlign w:val="baseline"/>
                <w:lang w:val="en-US" w:eastAsia="zh-CN"/>
              </w:rPr>
              <w:t>九龙坡区为环境空气达标区；项目最终受纳水体长江水质满足《地表水环境质量标准》（GB3838-2002）III 类水域标准要求；声环境现状质量N1点昼、夜均满足《声环境质量标准》（GB3096-2008）中1类标准要求，项目选址区域环境质量总体较好。</w:t>
            </w:r>
          </w:p>
          <w:p w14:paraId="61E9A9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根据《动物诊疗机构管理办法》（农业部令19号），第五条</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（二）动物诊疗场所选址距离畜禽养殖场、屠宰加工厂、动物交易场所不少于200m</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（三）动物诊疗场所设有独立的出入口，出入口不得设在居民住宅楼内或者院内，不得与同一建筑物的其他用户共用通道</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，第十八条</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动物诊疗机构兼营宠物用品、宠物食品、宠物美容等项目的，兼营区域与动物诊疗区域应当分别独立设置</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。项目选址位于</w:t>
            </w:r>
            <w:r>
              <w:rPr>
                <w:rFonts w:hint="eastAsia" w:cs="Times New Roman"/>
                <w:b w:val="0"/>
                <w:bCs w:val="0"/>
                <w:color w:val="auto"/>
                <w:sz w:val="24"/>
                <w:szCs w:val="24"/>
                <w:highlight w:val="none"/>
                <w:vertAlign w:val="baseline"/>
                <w:lang w:val="en-US" w:eastAsia="zh-CN"/>
              </w:rPr>
              <w:t>金科阳光小镇商业裙楼</w:t>
            </w:r>
            <w:r>
              <w:rPr>
                <w:rFonts w:hint="default" w:ascii="Times New Roman" w:hAnsi="Times New Roman" w:eastAsia="宋体" w:cs="Times New Roman"/>
                <w:b w:val="0"/>
                <w:bCs w:val="0"/>
                <w:color w:val="auto"/>
                <w:sz w:val="24"/>
                <w:szCs w:val="24"/>
                <w:highlight w:val="none"/>
                <w:vertAlign w:val="baseline"/>
                <w:lang w:val="en-US" w:eastAsia="zh-CN"/>
              </w:rPr>
              <w:t>，地处城市建成区，周边无畜禽养殖场、屠宰加工厂、动物交易场所，设置独立的出入口，不与其他用户共用，项目用品区与诊疗区分区独立设置，布局合理，因此，该宠物医院选址符合该管理办法。</w:t>
            </w:r>
          </w:p>
          <w:p w14:paraId="53E3AC7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highlight w:val="none"/>
                <w:lang w:val="en-US" w:eastAsia="zh-CN"/>
              </w:rPr>
              <w:t>综上所述，项目选址合理。</w:t>
            </w:r>
          </w:p>
        </w:tc>
      </w:tr>
    </w:tbl>
    <w:p w14:paraId="3121C405">
      <w:pPr>
        <w:spacing w:line="360" w:lineRule="auto"/>
        <w:outlineLvl w:val="0"/>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5FD2F3CB">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1"/>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99"/>
      </w:tblGrid>
      <w:tr w14:paraId="1371F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485" w:type="dxa"/>
            <w:noWrap w:val="0"/>
            <w:vAlign w:val="center"/>
          </w:tcPr>
          <w:p w14:paraId="11F8A52C">
            <w:pPr>
              <w:pStyle w:val="17"/>
              <w:adjustRightInd w:val="0"/>
              <w:snapToGrid w:val="0"/>
              <w:spacing w:before="0" w:beforeAutospacing="0" w:after="0" w:afterAutospacing="0"/>
              <w:jc w:val="center"/>
              <w:rPr>
                <w:rFonts w:cs="宋体"/>
                <w:color w:val="auto"/>
                <w:sz w:val="21"/>
                <w:szCs w:val="21"/>
              </w:rPr>
            </w:pPr>
            <w:r>
              <w:rPr>
                <w:rFonts w:hint="eastAsia" w:cs="宋体"/>
                <w:color w:val="auto"/>
                <w:sz w:val="24"/>
                <w:szCs w:val="24"/>
              </w:rPr>
              <w:t>建设内容</w:t>
            </w:r>
          </w:p>
        </w:tc>
        <w:tc>
          <w:tcPr>
            <w:tcW w:w="8499" w:type="dxa"/>
            <w:noWrap w:val="0"/>
            <w:vAlign w:val="top"/>
          </w:tcPr>
          <w:p w14:paraId="7B1A7E1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2.1建设内容</w:t>
            </w:r>
          </w:p>
          <w:p w14:paraId="26841D0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2.1.1项目由来</w:t>
            </w:r>
          </w:p>
          <w:p w14:paraId="17390A50">
            <w:pPr>
              <w:adjustRightInd w:val="0"/>
              <w:snapToGrid w:val="0"/>
              <w:spacing w:line="360" w:lineRule="auto"/>
              <w:ind w:firstLine="480" w:firstLineChars="200"/>
              <w:rPr>
                <w:rFonts w:hint="eastAsia"/>
                <w:color w:val="auto"/>
                <w:sz w:val="24"/>
                <w:szCs w:val="32"/>
              </w:rPr>
            </w:pPr>
            <w:r>
              <w:rPr>
                <w:rFonts w:hint="eastAsia"/>
                <w:color w:val="auto"/>
                <w:sz w:val="24"/>
                <w:szCs w:val="32"/>
              </w:rPr>
              <w:t>为了提高宠物的健康水平，</w:t>
            </w:r>
            <w:r>
              <w:rPr>
                <w:rFonts w:hint="eastAsia"/>
                <w:color w:val="auto"/>
                <w:sz w:val="24"/>
                <w:szCs w:val="32"/>
                <w:lang w:eastAsia="zh-CN"/>
              </w:rPr>
              <w:t>重庆泰宠康动物医院有限公司</w:t>
            </w:r>
            <w:r>
              <w:rPr>
                <w:rFonts w:hint="eastAsia"/>
                <w:color w:val="auto"/>
                <w:sz w:val="24"/>
                <w:szCs w:val="32"/>
              </w:rPr>
              <w:t>于20</w:t>
            </w:r>
            <w:r>
              <w:rPr>
                <w:rFonts w:hint="eastAsia"/>
                <w:color w:val="auto"/>
                <w:sz w:val="24"/>
                <w:szCs w:val="32"/>
                <w:lang w:val="en-US" w:eastAsia="zh-CN"/>
              </w:rPr>
              <w:t>21</w:t>
            </w:r>
            <w:r>
              <w:rPr>
                <w:rFonts w:hint="eastAsia"/>
                <w:color w:val="auto"/>
                <w:sz w:val="24"/>
                <w:szCs w:val="32"/>
              </w:rPr>
              <w:t>年</w:t>
            </w:r>
            <w:r>
              <w:rPr>
                <w:rFonts w:hint="eastAsia"/>
                <w:color w:val="auto"/>
                <w:sz w:val="24"/>
                <w:szCs w:val="32"/>
                <w:lang w:val="en-US" w:eastAsia="zh-CN"/>
              </w:rPr>
              <w:t>1</w:t>
            </w:r>
            <w:r>
              <w:rPr>
                <w:rFonts w:hint="eastAsia"/>
                <w:color w:val="auto"/>
                <w:sz w:val="24"/>
                <w:szCs w:val="32"/>
              </w:rPr>
              <w:t>月租用</w:t>
            </w:r>
            <w:r>
              <w:rPr>
                <w:rFonts w:hint="eastAsia"/>
                <w:color w:val="auto"/>
                <w:sz w:val="24"/>
                <w:szCs w:val="32"/>
                <w:lang w:eastAsia="zh-CN"/>
              </w:rPr>
              <w:t>重庆市九龙坡区华岩镇华福大道北段16号14幢附2-2号、2-3号、2-4号</w:t>
            </w:r>
            <w:r>
              <w:rPr>
                <w:rFonts w:hint="eastAsia"/>
                <w:color w:val="auto"/>
                <w:sz w:val="24"/>
                <w:szCs w:val="32"/>
              </w:rPr>
              <w:t>建设了宠物医院，于20</w:t>
            </w:r>
            <w:r>
              <w:rPr>
                <w:rFonts w:hint="eastAsia"/>
                <w:color w:val="auto"/>
                <w:sz w:val="24"/>
                <w:szCs w:val="32"/>
                <w:lang w:val="en-US" w:eastAsia="zh-CN"/>
              </w:rPr>
              <w:t>21</w:t>
            </w:r>
            <w:r>
              <w:rPr>
                <w:rFonts w:hint="eastAsia"/>
                <w:color w:val="auto"/>
                <w:sz w:val="24"/>
                <w:szCs w:val="32"/>
              </w:rPr>
              <w:t>年</w:t>
            </w:r>
            <w:r>
              <w:rPr>
                <w:rFonts w:hint="eastAsia"/>
                <w:color w:val="auto"/>
                <w:sz w:val="24"/>
                <w:szCs w:val="32"/>
                <w:lang w:val="en-US" w:eastAsia="zh-CN"/>
              </w:rPr>
              <w:t>3</w:t>
            </w:r>
            <w:r>
              <w:rPr>
                <w:rFonts w:hint="eastAsia"/>
                <w:color w:val="auto"/>
                <w:sz w:val="24"/>
                <w:szCs w:val="32"/>
              </w:rPr>
              <w:t>月开始营业，设置有诊室、</w:t>
            </w:r>
            <w:r>
              <w:rPr>
                <w:rFonts w:hint="eastAsia"/>
                <w:color w:val="auto"/>
                <w:sz w:val="24"/>
                <w:szCs w:val="32"/>
                <w:lang w:val="en-US" w:eastAsia="zh-CN"/>
              </w:rPr>
              <w:t>雾化区</w:t>
            </w:r>
            <w:r>
              <w:rPr>
                <w:rFonts w:hint="eastAsia"/>
                <w:color w:val="auto"/>
                <w:sz w:val="24"/>
                <w:szCs w:val="32"/>
              </w:rPr>
              <w:t>、</w:t>
            </w:r>
            <w:r>
              <w:rPr>
                <w:rFonts w:hint="eastAsia"/>
                <w:color w:val="auto"/>
                <w:sz w:val="24"/>
                <w:szCs w:val="32"/>
                <w:lang w:val="en-US" w:eastAsia="zh-CN"/>
              </w:rPr>
              <w:t>隔离室、住院室、化验室、</w:t>
            </w:r>
            <w:r>
              <w:rPr>
                <w:rFonts w:hint="eastAsia"/>
                <w:color w:val="auto"/>
                <w:sz w:val="24"/>
                <w:szCs w:val="32"/>
              </w:rPr>
              <w:t>DR室、</w:t>
            </w:r>
            <w:r>
              <w:rPr>
                <w:rFonts w:hint="eastAsia"/>
                <w:color w:val="auto"/>
                <w:sz w:val="24"/>
                <w:szCs w:val="32"/>
                <w:lang w:val="en-US" w:eastAsia="zh-CN"/>
              </w:rPr>
              <w:t>药房</w:t>
            </w:r>
            <w:r>
              <w:rPr>
                <w:rFonts w:hint="eastAsia"/>
                <w:color w:val="auto"/>
                <w:sz w:val="24"/>
                <w:szCs w:val="32"/>
              </w:rPr>
              <w:t>、</w:t>
            </w:r>
            <w:r>
              <w:rPr>
                <w:rFonts w:hint="eastAsia"/>
                <w:color w:val="auto"/>
                <w:sz w:val="24"/>
                <w:szCs w:val="32"/>
                <w:lang w:val="en-US" w:eastAsia="zh-CN"/>
              </w:rPr>
              <w:t>美容室、</w:t>
            </w:r>
            <w:r>
              <w:rPr>
                <w:rFonts w:hint="eastAsia"/>
                <w:color w:val="auto"/>
                <w:sz w:val="24"/>
                <w:szCs w:val="32"/>
              </w:rPr>
              <w:t>手术室</w:t>
            </w:r>
            <w:r>
              <w:rPr>
                <w:rFonts w:hint="default" w:ascii="Times New Roman" w:hAnsi="Times New Roman" w:cs="Times New Roman"/>
                <w:b w:val="0"/>
                <w:bCs/>
                <w:color w:val="auto"/>
                <w:sz w:val="24"/>
                <w:szCs w:val="24"/>
                <w:highlight w:val="none"/>
                <w:vertAlign w:val="baseline"/>
                <w:lang w:val="en-US" w:eastAsia="zh-CN"/>
              </w:rPr>
              <w:t>和</w:t>
            </w:r>
            <w:r>
              <w:rPr>
                <w:rFonts w:hint="eastAsia" w:ascii="Times New Roman" w:hAnsi="Times New Roman" w:cs="Times New Roman"/>
                <w:b w:val="0"/>
                <w:bCs/>
                <w:color w:val="auto"/>
                <w:sz w:val="24"/>
                <w:szCs w:val="24"/>
                <w:highlight w:val="none"/>
                <w:vertAlign w:val="baseline"/>
                <w:lang w:val="en-US" w:eastAsia="zh-CN"/>
              </w:rPr>
              <w:t>医疗废物贮存点</w:t>
            </w:r>
            <w:r>
              <w:rPr>
                <w:rFonts w:hint="eastAsia"/>
                <w:color w:val="auto"/>
                <w:sz w:val="24"/>
                <w:szCs w:val="32"/>
              </w:rPr>
              <w:t>等，现有医院手术室主要进行美容手术（只做新生动物10d内断尾和趾间腺囊肿切除）、感觉器官手术、呼吸系统手术、泌尿生殖系统手术等，不包含其中的颅腔、胸腔或腹腔手术，不</w:t>
            </w:r>
            <w:r>
              <w:rPr>
                <w:rFonts w:hint="eastAsia"/>
                <w:color w:val="auto"/>
                <w:sz w:val="24"/>
                <w:szCs w:val="32"/>
                <w:lang w:val="en-US" w:eastAsia="zh-CN"/>
              </w:rPr>
              <w:t>进行</w:t>
            </w:r>
            <w:r>
              <w:rPr>
                <w:rFonts w:hint="eastAsia"/>
                <w:color w:val="auto"/>
                <w:sz w:val="24"/>
                <w:szCs w:val="32"/>
              </w:rPr>
              <w:t>动物颅腔、胸腔或腹腔手术服务。门诊最大接待动物量为</w:t>
            </w:r>
            <w:r>
              <w:rPr>
                <w:rFonts w:hint="eastAsia"/>
                <w:color w:val="auto"/>
                <w:sz w:val="24"/>
                <w:szCs w:val="32"/>
                <w:lang w:val="en-US" w:eastAsia="zh-CN"/>
              </w:rPr>
              <w:t>30</w:t>
            </w:r>
            <w:r>
              <w:rPr>
                <w:rFonts w:hint="eastAsia"/>
                <w:color w:val="auto"/>
                <w:sz w:val="24"/>
                <w:szCs w:val="32"/>
              </w:rPr>
              <w:t>只/d，设置</w:t>
            </w:r>
            <w:r>
              <w:rPr>
                <w:rFonts w:hint="eastAsia"/>
                <w:color w:val="auto"/>
                <w:sz w:val="24"/>
                <w:szCs w:val="32"/>
                <w:lang w:val="en-US" w:eastAsia="zh-CN"/>
              </w:rPr>
              <w:t>14</w:t>
            </w:r>
            <w:r>
              <w:rPr>
                <w:rFonts w:hint="eastAsia"/>
                <w:color w:val="auto"/>
                <w:sz w:val="24"/>
                <w:szCs w:val="32"/>
              </w:rPr>
              <w:t>个宠物笼（其中</w:t>
            </w:r>
            <w:r>
              <w:rPr>
                <w:rFonts w:hint="eastAsia"/>
                <w:color w:val="auto"/>
                <w:sz w:val="24"/>
                <w:szCs w:val="32"/>
                <w:lang w:val="en-US" w:eastAsia="zh-CN"/>
              </w:rPr>
              <w:t>犬住院室设置8</w:t>
            </w:r>
            <w:r>
              <w:rPr>
                <w:rFonts w:hint="eastAsia"/>
                <w:color w:val="auto"/>
                <w:sz w:val="24"/>
                <w:szCs w:val="32"/>
              </w:rPr>
              <w:t>个宠物笼</w:t>
            </w:r>
            <w:r>
              <w:rPr>
                <w:rFonts w:hint="eastAsia"/>
                <w:color w:val="auto"/>
                <w:sz w:val="24"/>
                <w:szCs w:val="32"/>
                <w:lang w:val="en-US" w:eastAsia="zh-CN"/>
              </w:rPr>
              <w:t>、猫住院室设置6</w:t>
            </w:r>
            <w:r>
              <w:rPr>
                <w:rFonts w:hint="eastAsia"/>
                <w:color w:val="auto"/>
                <w:sz w:val="24"/>
                <w:szCs w:val="32"/>
              </w:rPr>
              <w:t>个宠物笼），诊疗范围包括动物疾病预防、诊疗、手术（不包括动物颅腔、胸腔和腹腔手术）等。</w:t>
            </w:r>
          </w:p>
          <w:p w14:paraId="139FF0A1">
            <w:pPr>
              <w:adjustRightInd w:val="0"/>
              <w:snapToGrid w:val="0"/>
              <w:spacing w:line="360" w:lineRule="auto"/>
              <w:ind w:firstLine="480" w:firstLineChars="200"/>
              <w:rPr>
                <w:color w:val="auto"/>
                <w:sz w:val="24"/>
                <w:szCs w:val="32"/>
              </w:rPr>
            </w:pPr>
            <w:r>
              <w:rPr>
                <w:rFonts w:hint="eastAsia"/>
                <w:color w:val="auto"/>
                <w:sz w:val="24"/>
                <w:szCs w:val="32"/>
              </w:rPr>
              <w:t>现因医院的发展和市场需要，</w:t>
            </w:r>
            <w:r>
              <w:rPr>
                <w:rFonts w:hint="eastAsia"/>
                <w:color w:val="auto"/>
                <w:sz w:val="24"/>
                <w:szCs w:val="32"/>
                <w:lang w:eastAsia="zh-CN"/>
              </w:rPr>
              <w:t>重庆泰宠康动物医院有限公司</w:t>
            </w:r>
            <w:r>
              <w:rPr>
                <w:rFonts w:hint="eastAsia"/>
                <w:color w:val="auto"/>
                <w:sz w:val="24"/>
                <w:szCs w:val="32"/>
              </w:rPr>
              <w:t>拟投资</w:t>
            </w:r>
            <w:r>
              <w:rPr>
                <w:rFonts w:hint="eastAsia"/>
                <w:color w:val="auto"/>
                <w:sz w:val="24"/>
                <w:szCs w:val="32"/>
                <w:lang w:val="en-US" w:eastAsia="zh-CN"/>
              </w:rPr>
              <w:t>20</w:t>
            </w:r>
            <w:r>
              <w:rPr>
                <w:rFonts w:hint="eastAsia"/>
                <w:color w:val="auto"/>
                <w:sz w:val="24"/>
                <w:szCs w:val="32"/>
              </w:rPr>
              <w:t>万元，对现有医院增加部分手术设备，增设动物颅腔、胸腔和腹腔手术服务。项目已取得</w:t>
            </w:r>
            <w:r>
              <w:rPr>
                <w:rFonts w:hint="eastAsia"/>
                <w:color w:val="auto"/>
                <w:sz w:val="24"/>
                <w:szCs w:val="32"/>
                <w:lang w:eastAsia="zh-CN"/>
              </w:rPr>
              <w:t>重庆市九龙坡区发展和改革委员会</w:t>
            </w:r>
            <w:r>
              <w:rPr>
                <w:rFonts w:hint="eastAsia"/>
                <w:color w:val="auto"/>
                <w:sz w:val="24"/>
                <w:szCs w:val="32"/>
              </w:rPr>
              <w:t>下发的备案证（备案编码“</w:t>
            </w:r>
            <w:r>
              <w:rPr>
                <w:rFonts w:hint="eastAsia"/>
                <w:color w:val="auto"/>
                <w:sz w:val="24"/>
                <w:szCs w:val="32"/>
                <w:lang w:eastAsia="zh-CN"/>
              </w:rPr>
              <w:t>2503-500107-04-05-692148</w:t>
            </w:r>
            <w:r>
              <w:rPr>
                <w:rFonts w:hint="eastAsia"/>
                <w:color w:val="auto"/>
                <w:sz w:val="24"/>
                <w:szCs w:val="32"/>
              </w:rPr>
              <w:t>”）。</w:t>
            </w:r>
          </w:p>
          <w:p w14:paraId="1BA744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根据《中华人民共和国环境保护法</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中华人民共和国环境影响评价法》《建设项目环境保护管理条例</w:t>
            </w:r>
            <w:r>
              <w:rPr>
                <w:rFonts w:hint="eastAsia" w:cs="Times New Roman"/>
                <w:b w:val="0"/>
                <w:bCs/>
                <w:color w:val="auto"/>
                <w:sz w:val="24"/>
                <w:szCs w:val="24"/>
                <w:lang w:val="en-US" w:eastAsia="zh-CN"/>
              </w:rPr>
              <w:t>》的</w:t>
            </w:r>
            <w:r>
              <w:rPr>
                <w:rFonts w:hint="default" w:ascii="Times New Roman" w:hAnsi="Times New Roman" w:cs="Times New Roman"/>
                <w:b w:val="0"/>
                <w:bCs/>
                <w:color w:val="auto"/>
                <w:sz w:val="24"/>
                <w:szCs w:val="24"/>
                <w:lang w:val="en-US" w:eastAsia="zh-CN"/>
              </w:rPr>
              <w:t>规定，本项目应开展环境影响评价</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根据《国民经济行业分类》，项目为动物医院建设项目，其国民经济行业类别为</w:t>
            </w:r>
            <w:r>
              <w:rPr>
                <w:rFonts w:hint="eastAsia" w:ascii="Times New Roman" w:hAnsi="Times New Roman" w:cs="Times New Roman"/>
                <w:b w:val="0"/>
                <w:bCs/>
                <w:color w:val="auto"/>
                <w:sz w:val="24"/>
                <w:szCs w:val="24"/>
                <w:lang w:val="en-US" w:eastAsia="zh-CN"/>
              </w:rPr>
              <w:t>“O8222 宠物医院服务”；</w:t>
            </w:r>
            <w:r>
              <w:rPr>
                <w:rFonts w:hint="default" w:ascii="Times New Roman" w:hAnsi="Times New Roman" w:cs="Times New Roman"/>
                <w:b w:val="0"/>
                <w:bCs/>
                <w:color w:val="auto"/>
                <w:sz w:val="24"/>
                <w:szCs w:val="24"/>
                <w:lang w:val="en-US" w:eastAsia="zh-CN"/>
              </w:rPr>
              <w:t>对照《建设项目环境影响评价分类管理名录》</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2021年版</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，建设项目行业类别为</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五十、社会事业与服务业 123 动物医院</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。项目应编制环境影响报告表。受</w:t>
            </w:r>
            <w:r>
              <w:rPr>
                <w:rFonts w:hint="eastAsia"/>
                <w:color w:val="auto"/>
                <w:sz w:val="24"/>
                <w:szCs w:val="32"/>
                <w:lang w:eastAsia="zh-CN"/>
              </w:rPr>
              <w:t>重庆泰宠康动物医院有限公司</w:t>
            </w:r>
            <w:r>
              <w:rPr>
                <w:rFonts w:hint="default" w:ascii="Times New Roman" w:hAnsi="Times New Roman" w:cs="Times New Roman"/>
                <w:b w:val="0"/>
                <w:bCs/>
                <w:color w:val="auto"/>
                <w:sz w:val="24"/>
                <w:szCs w:val="24"/>
                <w:lang w:val="en-US" w:eastAsia="zh-CN"/>
              </w:rPr>
              <w:t>委托，本公司承担该项目的环境影响评价工作，在接受委托之后，我公司组织专业技术人员进行现场勘查并收集相关资料，编制完成了项目的环境影响报告表。</w:t>
            </w:r>
          </w:p>
          <w:p w14:paraId="5DD951D2">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2.1.2评价构思</w:t>
            </w:r>
          </w:p>
          <w:p w14:paraId="33D5A131">
            <w:pPr>
              <w:adjustRightInd w:val="0"/>
              <w:snapToGrid w:val="0"/>
              <w:spacing w:line="360" w:lineRule="auto"/>
              <w:ind w:firstLine="480" w:firstLineChars="200"/>
              <w:rPr>
                <w:rFonts w:hint="eastAsia" w:eastAsia="宋体"/>
                <w:color w:val="auto"/>
                <w:sz w:val="24"/>
                <w:szCs w:val="32"/>
                <w:lang w:eastAsia="zh-CN"/>
              </w:rPr>
            </w:pPr>
            <w:r>
              <w:rPr>
                <w:rFonts w:hint="eastAsia"/>
                <w:color w:val="auto"/>
                <w:sz w:val="24"/>
                <w:szCs w:val="32"/>
              </w:rPr>
              <w:t>（1）本项目属于扩建项目，</w:t>
            </w:r>
            <w:r>
              <w:rPr>
                <w:rFonts w:hint="default" w:ascii="Times New Roman" w:hAnsi="Times New Roman" w:cs="Times New Roman"/>
                <w:b w:val="0"/>
                <w:bCs/>
                <w:color w:val="auto"/>
                <w:sz w:val="24"/>
                <w:szCs w:val="24"/>
                <w:highlight w:val="none"/>
                <w:lang w:val="en-US" w:eastAsia="zh-CN"/>
              </w:rPr>
              <w:t>现有医院于202</w:t>
            </w:r>
            <w:r>
              <w:rPr>
                <w:rFonts w:hint="eastAsia" w:cs="Times New Roman"/>
                <w:b w:val="0"/>
                <w:bCs/>
                <w:color w:val="auto"/>
                <w:sz w:val="24"/>
                <w:szCs w:val="24"/>
                <w:highlight w:val="none"/>
                <w:lang w:val="en-US" w:eastAsia="zh-CN"/>
              </w:rPr>
              <w:t>1</w:t>
            </w:r>
            <w:r>
              <w:rPr>
                <w:rFonts w:hint="default" w:ascii="Times New Roman" w:hAnsi="Times New Roman" w:cs="Times New Roman"/>
                <w:b w:val="0"/>
                <w:bCs/>
                <w:color w:val="auto"/>
                <w:sz w:val="24"/>
                <w:szCs w:val="24"/>
                <w:highlight w:val="none"/>
                <w:lang w:val="en-US" w:eastAsia="zh-CN"/>
              </w:rPr>
              <w:t>年</w:t>
            </w:r>
            <w:r>
              <w:rPr>
                <w:rFonts w:hint="eastAsia" w:cs="Times New Roman"/>
                <w:b w:val="0"/>
                <w:bCs/>
                <w:color w:val="auto"/>
                <w:sz w:val="24"/>
                <w:szCs w:val="24"/>
                <w:highlight w:val="none"/>
                <w:lang w:val="en-US" w:eastAsia="zh-CN"/>
              </w:rPr>
              <w:t>3</w:t>
            </w:r>
            <w:r>
              <w:rPr>
                <w:rFonts w:hint="default" w:ascii="Times New Roman" w:hAnsi="Times New Roman" w:cs="Times New Roman"/>
                <w:b w:val="0"/>
                <w:bCs/>
                <w:color w:val="auto"/>
                <w:sz w:val="24"/>
                <w:szCs w:val="24"/>
                <w:highlight w:val="none"/>
                <w:lang w:val="en-US" w:eastAsia="zh-CN"/>
              </w:rPr>
              <w:t>月开始营业，根据《建设项目环境影响评价分类管理名录》（2021年版），现有医院不</w:t>
            </w:r>
            <w:r>
              <w:rPr>
                <w:rFonts w:hint="eastAsia" w:ascii="Times New Roman" w:hAnsi="Times New Roman" w:cs="Times New Roman"/>
                <w:b w:val="0"/>
                <w:bCs/>
                <w:color w:val="auto"/>
                <w:sz w:val="24"/>
                <w:szCs w:val="24"/>
                <w:highlight w:val="none"/>
                <w:lang w:val="en-US" w:eastAsia="zh-CN"/>
              </w:rPr>
              <w:t>开展</w:t>
            </w:r>
            <w:r>
              <w:rPr>
                <w:rFonts w:hint="default" w:ascii="Times New Roman" w:hAnsi="Times New Roman" w:cs="Times New Roman"/>
                <w:b w:val="0"/>
                <w:bCs/>
                <w:color w:val="auto"/>
                <w:sz w:val="24"/>
                <w:szCs w:val="24"/>
                <w:highlight w:val="none"/>
                <w:lang w:val="en-US" w:eastAsia="zh-CN"/>
              </w:rPr>
              <w:t>动物颅腔、胸腔或腹手术等，主要进行美容手术（只做新生动物10d内断尾和趾间腺囊肿切除）、感觉器官手术、呼吸系统手术、泌尿生殖系统手术（不含</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三腔手术</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）等，</w:t>
            </w:r>
            <w:r>
              <w:rPr>
                <w:rFonts w:hint="eastAsia" w:ascii="Times New Roman" w:hAnsi="Times New Roman" w:cs="Times New Roman"/>
                <w:b w:val="0"/>
                <w:bCs/>
                <w:color w:val="auto"/>
                <w:sz w:val="24"/>
                <w:szCs w:val="24"/>
                <w:highlight w:val="none"/>
                <w:lang w:val="en-US" w:eastAsia="zh-CN"/>
              </w:rPr>
              <w:t>未</w:t>
            </w:r>
            <w:r>
              <w:rPr>
                <w:rFonts w:hint="default" w:ascii="Times New Roman" w:hAnsi="Times New Roman" w:cs="Times New Roman"/>
                <w:b w:val="0"/>
                <w:bCs/>
                <w:color w:val="auto"/>
                <w:sz w:val="24"/>
                <w:szCs w:val="24"/>
                <w:highlight w:val="none"/>
                <w:lang w:val="en-US" w:eastAsia="zh-CN"/>
              </w:rPr>
              <w:t>纳入建设项目环境影响评价管理，该医院前期无需办理环评手续及排污许可。</w:t>
            </w:r>
            <w:r>
              <w:rPr>
                <w:rFonts w:hint="eastAsia" w:ascii="Times New Roman" w:hAnsi="Times New Roman" w:cs="Times New Roman"/>
                <w:b w:val="0"/>
                <w:bCs/>
                <w:color w:val="auto"/>
                <w:sz w:val="24"/>
                <w:szCs w:val="24"/>
                <w:highlight w:val="none"/>
                <w:lang w:val="en-US" w:eastAsia="zh-CN"/>
              </w:rPr>
              <w:t>本次扩建</w:t>
            </w:r>
            <w:r>
              <w:rPr>
                <w:rFonts w:hint="eastAsia"/>
                <w:color w:val="auto"/>
                <w:sz w:val="24"/>
                <w:szCs w:val="32"/>
              </w:rPr>
              <w:t>在现有手术室内增设动物颅腔、胸腔、腹腔手术（以下简称“三腔手术”）及三腔手术所需设施，扩建前后劳动定员不变，接诊量、住院量和手术量规模不变，本次评价对现有项目进行简单回顾，同时，为便于环境管理及后续验收，本次评价针对扩建后整个项目进行评价，按照整体规模进行产排污分析、并提出相应的环保措施。不统计扩建前现有污染物排放量和扩建前后污染物排放“三本账</w:t>
            </w:r>
            <w:r>
              <w:rPr>
                <w:rFonts w:hint="eastAsia"/>
                <w:color w:val="auto"/>
                <w:sz w:val="24"/>
                <w:szCs w:val="32"/>
                <w:lang w:eastAsia="zh-CN"/>
              </w:rPr>
              <w:t>”。</w:t>
            </w:r>
          </w:p>
          <w:p w14:paraId="325FA817">
            <w:pPr>
              <w:adjustRightInd w:val="0"/>
              <w:snapToGrid w:val="0"/>
              <w:spacing w:line="360" w:lineRule="auto"/>
              <w:ind w:firstLine="480" w:firstLineChars="200"/>
              <w:rPr>
                <w:rFonts w:hint="eastAsia"/>
                <w:color w:val="auto"/>
                <w:sz w:val="24"/>
                <w:szCs w:val="32"/>
              </w:rPr>
            </w:pPr>
            <w:r>
              <w:rPr>
                <w:rFonts w:hint="eastAsia"/>
                <w:color w:val="auto"/>
                <w:sz w:val="24"/>
                <w:szCs w:val="32"/>
              </w:rPr>
              <w:t>（2）本项目诊疗和住院过程中会产生少量异味，室内通过空调系统进行通风换气，病房通过紫外线灯进行消毒杀菌，医院整体采用</w:t>
            </w:r>
            <w:r>
              <w:rPr>
                <w:rFonts w:hint="eastAsia"/>
                <w:color w:val="auto"/>
                <w:sz w:val="24"/>
                <w:szCs w:val="32"/>
                <w:lang w:eastAsia="zh-CN"/>
              </w:rPr>
              <w:t>新洁尔灭、</w:t>
            </w:r>
            <w:r>
              <w:rPr>
                <w:rFonts w:hint="eastAsia"/>
                <w:color w:val="auto"/>
                <w:sz w:val="24"/>
                <w:szCs w:val="32"/>
                <w:lang w:val="en-US" w:eastAsia="zh-CN"/>
              </w:rPr>
              <w:t>84消毒液进行</w:t>
            </w:r>
            <w:r>
              <w:rPr>
                <w:rFonts w:hint="eastAsia"/>
                <w:color w:val="auto"/>
                <w:sz w:val="24"/>
                <w:szCs w:val="32"/>
              </w:rPr>
              <w:t>喷洒消毒，</w:t>
            </w:r>
            <w:r>
              <w:rPr>
                <w:rFonts w:hint="eastAsia"/>
                <w:color w:val="auto"/>
                <w:sz w:val="24"/>
                <w:szCs w:val="32"/>
                <w:lang w:eastAsia="zh-CN"/>
              </w:rPr>
              <w:t>医疗废物贮存点</w:t>
            </w:r>
            <w:r>
              <w:rPr>
                <w:rFonts w:hint="eastAsia"/>
                <w:color w:val="auto"/>
                <w:sz w:val="24"/>
                <w:szCs w:val="32"/>
              </w:rPr>
              <w:t>医疗废物定期消毒清运，</w:t>
            </w:r>
            <w:r>
              <w:rPr>
                <w:rFonts w:hint="eastAsia"/>
                <w:color w:val="auto"/>
                <w:sz w:val="24"/>
                <w:szCs w:val="32"/>
                <w:lang w:eastAsia="zh-CN"/>
              </w:rPr>
              <w:t>动物粪污</w:t>
            </w:r>
            <w:r>
              <w:rPr>
                <w:rFonts w:hint="eastAsia"/>
                <w:color w:val="auto"/>
                <w:sz w:val="24"/>
                <w:szCs w:val="32"/>
              </w:rPr>
              <w:t>由专人进行及时清理和消毒后能有效控制院区内异味。因此，本次评价废气仅做简单分析。</w:t>
            </w:r>
          </w:p>
          <w:p w14:paraId="243393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（3）本项目影像室配备1台DR机，属于Ⅲ类射线装置，已取得辐射安全许可证，证书编号为渝环辐证[15201]，已取得建设项目环境影响登记表，备案号为202450010700000315</w:t>
            </w:r>
            <w:r>
              <w:rPr>
                <w:rFonts w:hint="default" w:ascii="Times New Roman" w:hAnsi="Times New Roman" w:cs="Times New Roman"/>
                <w:color w:val="auto"/>
                <w:sz w:val="24"/>
                <w:szCs w:val="24"/>
                <w:lang w:val="en-US" w:eastAsia="zh-CN"/>
              </w:rPr>
              <w:t>。</w:t>
            </w:r>
            <w:r>
              <w:rPr>
                <w:rFonts w:hint="eastAsia" w:cs="Times New Roman"/>
                <w:b w:val="0"/>
                <w:bCs/>
                <w:color w:val="auto"/>
                <w:sz w:val="24"/>
                <w:szCs w:val="24"/>
                <w:highlight w:val="none"/>
                <w:lang w:val="en-US" w:eastAsia="zh-CN"/>
              </w:rPr>
              <w:t>该辐射设备不在本环评评价范围内。</w:t>
            </w:r>
          </w:p>
          <w:p w14:paraId="3AA48C9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2.2项目概况</w:t>
            </w:r>
          </w:p>
          <w:p w14:paraId="16201905">
            <w:pPr>
              <w:adjustRightInd w:val="0"/>
              <w:snapToGrid w:val="0"/>
              <w:spacing w:line="360" w:lineRule="auto"/>
              <w:ind w:firstLine="241" w:firstLineChars="100"/>
              <w:jc w:val="left"/>
              <w:rPr>
                <w:b/>
                <w:color w:val="auto"/>
                <w:sz w:val="24"/>
              </w:rPr>
            </w:pPr>
            <w:r>
              <w:rPr>
                <w:b/>
                <w:color w:val="auto"/>
                <w:sz w:val="24"/>
              </w:rPr>
              <w:t>2.2.1</w:t>
            </w:r>
            <w:r>
              <w:rPr>
                <w:rFonts w:hint="eastAsia"/>
                <w:b/>
                <w:color w:val="auto"/>
                <w:sz w:val="24"/>
              </w:rPr>
              <w:t xml:space="preserve"> </w:t>
            </w:r>
            <w:r>
              <w:rPr>
                <w:b/>
                <w:color w:val="auto"/>
                <w:sz w:val="24"/>
              </w:rPr>
              <w:t>基本情况</w:t>
            </w:r>
          </w:p>
          <w:p w14:paraId="3F61B1DA">
            <w:pPr>
              <w:adjustRightInd w:val="0"/>
              <w:snapToGrid w:val="0"/>
              <w:spacing w:line="360" w:lineRule="auto"/>
              <w:ind w:firstLine="480" w:firstLineChars="200"/>
              <w:jc w:val="left"/>
              <w:rPr>
                <w:bCs/>
                <w:color w:val="auto"/>
                <w:sz w:val="24"/>
              </w:rPr>
            </w:pPr>
            <w:r>
              <w:rPr>
                <w:rFonts w:hint="eastAsia"/>
                <w:bCs/>
                <w:color w:val="auto"/>
                <w:sz w:val="24"/>
              </w:rPr>
              <w:t>1、项目基本情况</w:t>
            </w:r>
          </w:p>
          <w:p w14:paraId="60EC83FA">
            <w:pPr>
              <w:pStyle w:val="48"/>
              <w:pageBreakBefore w:val="0"/>
              <w:widowControl w:val="0"/>
              <w:kinsoku/>
              <w:wordWrap/>
              <w:overflowPunct/>
              <w:topLinePunct w:val="0"/>
              <w:autoSpaceDE/>
              <w:autoSpaceDN/>
              <w:bidi w:val="0"/>
              <w:adjustRightInd w:val="0"/>
              <w:snapToGrid w:val="0"/>
              <w:spacing w:before="0" w:after="0" w:line="360" w:lineRule="auto"/>
              <w:ind w:firstLine="480" w:firstLineChars="200"/>
              <w:jc w:val="both"/>
              <w:textAlignment w:val="auto"/>
              <w:rPr>
                <w:rFonts w:hint="eastAsia" w:ascii="Times New Roman" w:hAnsi="Times New Roman" w:cs="Times New Roman"/>
                <w:b w:val="0"/>
                <w:bCs/>
                <w:color w:val="auto"/>
                <w:sz w:val="24"/>
                <w:szCs w:val="24"/>
                <w:lang w:val="en-US" w:eastAsia="zh-CN"/>
              </w:rPr>
            </w:pPr>
            <w:r>
              <w:rPr>
                <w:rFonts w:hint="eastAsia" w:cs="Times New Roman"/>
                <w:b w:val="0"/>
                <w:bCs/>
                <w:color w:val="auto"/>
                <w:sz w:val="24"/>
                <w:szCs w:val="24"/>
                <w:lang w:val="en-US" w:eastAsia="zh-CN"/>
              </w:rPr>
              <w:t>（1）</w:t>
            </w:r>
            <w:r>
              <w:rPr>
                <w:rFonts w:hint="eastAsia" w:ascii="Times New Roman" w:hAnsi="Times New Roman" w:cs="Times New Roman"/>
                <w:b w:val="0"/>
                <w:bCs/>
                <w:color w:val="auto"/>
                <w:sz w:val="24"/>
                <w:szCs w:val="24"/>
                <w:lang w:val="en-US" w:eastAsia="zh-CN"/>
              </w:rPr>
              <w:t>项目名称：</w:t>
            </w:r>
            <w:r>
              <w:rPr>
                <w:rFonts w:hint="eastAsia" w:cs="Times New Roman"/>
                <w:color w:val="auto"/>
                <w:sz w:val="24"/>
                <w:szCs w:val="24"/>
                <w:lang w:val="en-US" w:eastAsia="zh-CN"/>
              </w:rPr>
              <w:t>重庆泰宠康动物医院建设项目</w:t>
            </w:r>
          </w:p>
          <w:p w14:paraId="6C007C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color w:val="auto"/>
                <w:sz w:val="24"/>
                <w:szCs w:val="24"/>
                <w:lang w:val="en-US" w:eastAsia="zh-CN"/>
              </w:rPr>
            </w:pPr>
            <w:r>
              <w:rPr>
                <w:rFonts w:hint="eastAsia" w:cs="Times New Roman"/>
                <w:b w:val="0"/>
                <w:bCs/>
                <w:color w:val="auto"/>
                <w:sz w:val="24"/>
                <w:szCs w:val="24"/>
                <w:lang w:val="en-US" w:eastAsia="zh-CN"/>
              </w:rPr>
              <w:t>（2）</w:t>
            </w:r>
            <w:r>
              <w:rPr>
                <w:rFonts w:hint="eastAsia" w:ascii="Times New Roman" w:hAnsi="Times New Roman" w:cs="Times New Roman"/>
                <w:b w:val="0"/>
                <w:bCs/>
                <w:color w:val="auto"/>
                <w:sz w:val="24"/>
                <w:szCs w:val="24"/>
                <w:lang w:val="en-US" w:eastAsia="zh-CN"/>
              </w:rPr>
              <w:t>建设单位：</w:t>
            </w:r>
            <w:r>
              <w:rPr>
                <w:rFonts w:hint="eastAsia" w:cs="Times New Roman"/>
                <w:b w:val="0"/>
                <w:bCs/>
                <w:color w:val="auto"/>
                <w:sz w:val="24"/>
                <w:szCs w:val="24"/>
                <w:lang w:val="en-US" w:eastAsia="zh-CN"/>
              </w:rPr>
              <w:t>重庆泰宠康动物医院有限公司</w:t>
            </w:r>
          </w:p>
          <w:p w14:paraId="2937E5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color w:val="auto"/>
                <w:sz w:val="24"/>
                <w:szCs w:val="24"/>
                <w:highlight w:val="none"/>
                <w:lang w:val="en-US" w:eastAsia="zh-CN"/>
              </w:rPr>
            </w:pPr>
            <w:r>
              <w:rPr>
                <w:rFonts w:hint="eastAsia" w:cs="Times New Roman"/>
                <w:b w:val="0"/>
                <w:bCs/>
                <w:color w:val="auto"/>
                <w:sz w:val="24"/>
                <w:szCs w:val="24"/>
                <w:lang w:val="en-US" w:eastAsia="zh-CN"/>
              </w:rPr>
              <w:t>（3）</w:t>
            </w:r>
            <w:r>
              <w:rPr>
                <w:rFonts w:hint="eastAsia" w:ascii="Times New Roman" w:hAnsi="Times New Roman" w:cs="Times New Roman"/>
                <w:b w:val="0"/>
                <w:bCs/>
                <w:color w:val="auto"/>
                <w:sz w:val="24"/>
                <w:szCs w:val="24"/>
                <w:lang w:val="en-US" w:eastAsia="zh-CN"/>
              </w:rPr>
              <w:t>项目性质：</w:t>
            </w:r>
            <w:r>
              <w:rPr>
                <w:rFonts w:hint="eastAsia" w:cs="Times New Roman"/>
                <w:b w:val="0"/>
                <w:bCs/>
                <w:color w:val="auto"/>
                <w:sz w:val="24"/>
                <w:szCs w:val="24"/>
                <w:highlight w:val="none"/>
                <w:lang w:val="en-US" w:eastAsia="zh-CN"/>
              </w:rPr>
              <w:t>扩建</w:t>
            </w:r>
          </w:p>
          <w:p w14:paraId="06683B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（4）</w:t>
            </w:r>
            <w:r>
              <w:rPr>
                <w:rFonts w:hint="eastAsia" w:ascii="Times New Roman" w:hAnsi="Times New Roman" w:cs="Times New Roman"/>
                <w:b w:val="0"/>
                <w:bCs/>
                <w:color w:val="auto"/>
                <w:sz w:val="24"/>
                <w:szCs w:val="24"/>
                <w:highlight w:val="none"/>
                <w:lang w:val="en-US" w:eastAsia="zh-CN"/>
              </w:rPr>
              <w:t>建设地点：</w:t>
            </w:r>
            <w:r>
              <w:rPr>
                <w:rFonts w:hint="eastAsia" w:cs="Times New Roman"/>
                <w:color w:val="auto"/>
                <w:sz w:val="24"/>
                <w:szCs w:val="24"/>
                <w:highlight w:val="none"/>
                <w:lang w:val="en-US" w:eastAsia="zh-CN"/>
              </w:rPr>
              <w:t>重庆市九龙坡区华岩镇华福大道北段16号14幢附2-2号、2-3号、2-4号（金科阳光小镇6期商业裙楼）</w:t>
            </w:r>
          </w:p>
          <w:p w14:paraId="10C3CA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color w:val="auto"/>
                <w:sz w:val="24"/>
                <w:szCs w:val="24"/>
                <w:highlight w:val="none"/>
                <w:vertAlign w:val="baseline"/>
                <w:lang w:val="en-US" w:eastAsia="zh-CN"/>
              </w:rPr>
            </w:pPr>
            <w:r>
              <w:rPr>
                <w:rFonts w:hint="eastAsia" w:cs="Times New Roman"/>
                <w:b w:val="0"/>
                <w:bCs/>
                <w:color w:val="auto"/>
                <w:sz w:val="24"/>
                <w:szCs w:val="24"/>
                <w:highlight w:val="none"/>
                <w:lang w:val="en-US" w:eastAsia="zh-CN"/>
              </w:rPr>
              <w:t>（5）</w:t>
            </w:r>
            <w:r>
              <w:rPr>
                <w:rFonts w:hint="eastAsia" w:ascii="Times New Roman" w:hAnsi="Times New Roman" w:cs="Times New Roman"/>
                <w:b w:val="0"/>
                <w:bCs/>
                <w:color w:val="auto"/>
                <w:sz w:val="24"/>
                <w:szCs w:val="24"/>
                <w:highlight w:val="none"/>
                <w:lang w:val="en-US" w:eastAsia="zh-CN"/>
              </w:rPr>
              <w:t>建筑面积：</w:t>
            </w:r>
            <w:r>
              <w:rPr>
                <w:rFonts w:hint="eastAsia" w:cs="Times New Roman"/>
                <w:b w:val="0"/>
                <w:bCs/>
                <w:color w:val="auto"/>
                <w:sz w:val="24"/>
                <w:szCs w:val="24"/>
                <w:highlight w:val="none"/>
                <w:lang w:val="en-US" w:eastAsia="zh-CN"/>
              </w:rPr>
              <w:t>219.33</w:t>
            </w:r>
            <w:r>
              <w:rPr>
                <w:rFonts w:hint="eastAsia" w:ascii="Times New Roman" w:hAnsi="Times New Roman" w:cs="Times New Roman"/>
                <w:b w:val="0"/>
                <w:bCs/>
                <w:color w:val="auto"/>
                <w:sz w:val="24"/>
                <w:szCs w:val="24"/>
                <w:highlight w:val="none"/>
                <w:lang w:val="en-US" w:eastAsia="zh-CN"/>
              </w:rPr>
              <w:t>m</w:t>
            </w:r>
            <w:r>
              <w:rPr>
                <w:rFonts w:hint="eastAsia" w:ascii="Times New Roman" w:hAnsi="Times New Roman" w:cs="Times New Roman"/>
                <w:b w:val="0"/>
                <w:bCs/>
                <w:color w:val="auto"/>
                <w:sz w:val="24"/>
                <w:szCs w:val="24"/>
                <w:highlight w:val="none"/>
                <w:vertAlign w:val="superscript"/>
                <w:lang w:val="en-US" w:eastAsia="zh-CN"/>
              </w:rPr>
              <w:t>2</w:t>
            </w:r>
          </w:p>
          <w:p w14:paraId="586CD7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color w:val="auto"/>
                <w:sz w:val="24"/>
                <w:szCs w:val="24"/>
                <w:highlight w:val="yellow"/>
                <w:vertAlign w:val="baseline"/>
                <w:lang w:val="en-US" w:eastAsia="zh-CN"/>
              </w:rPr>
            </w:pPr>
            <w:r>
              <w:rPr>
                <w:rFonts w:hint="eastAsia" w:cs="Times New Roman"/>
                <w:b w:val="0"/>
                <w:bCs/>
                <w:color w:val="auto"/>
                <w:sz w:val="24"/>
                <w:szCs w:val="24"/>
                <w:vertAlign w:val="baseline"/>
                <w:lang w:val="en-US" w:eastAsia="zh-CN"/>
              </w:rPr>
              <w:t>（6）</w:t>
            </w:r>
            <w:r>
              <w:rPr>
                <w:rFonts w:hint="eastAsia" w:ascii="Times New Roman" w:hAnsi="Times New Roman" w:cs="Times New Roman"/>
                <w:b w:val="0"/>
                <w:bCs/>
                <w:color w:val="auto"/>
                <w:sz w:val="24"/>
                <w:szCs w:val="24"/>
                <w:vertAlign w:val="baseline"/>
                <w:lang w:val="en-US" w:eastAsia="zh-CN"/>
              </w:rPr>
              <w:t>总投资：</w:t>
            </w:r>
            <w:r>
              <w:rPr>
                <w:rFonts w:hint="eastAsia" w:ascii="Times New Roman" w:hAnsi="Times New Roman" w:cs="Times New Roman"/>
                <w:b w:val="0"/>
                <w:bCs/>
                <w:color w:val="auto"/>
                <w:sz w:val="24"/>
                <w:szCs w:val="24"/>
                <w:highlight w:val="none"/>
                <w:vertAlign w:val="baseline"/>
                <w:lang w:val="en-US" w:eastAsia="zh-CN"/>
              </w:rPr>
              <w:t>总投资</w:t>
            </w:r>
            <w:r>
              <w:rPr>
                <w:rFonts w:hint="eastAsia" w:cs="Times New Roman"/>
                <w:b w:val="0"/>
                <w:bCs/>
                <w:color w:val="auto"/>
                <w:sz w:val="24"/>
                <w:szCs w:val="24"/>
                <w:highlight w:val="none"/>
                <w:vertAlign w:val="baseline"/>
                <w:lang w:val="en-US" w:eastAsia="zh-CN"/>
              </w:rPr>
              <w:t>20</w:t>
            </w:r>
            <w:r>
              <w:rPr>
                <w:rFonts w:hint="eastAsia" w:ascii="Times New Roman" w:hAnsi="Times New Roman" w:cs="Times New Roman"/>
                <w:b w:val="0"/>
                <w:bCs/>
                <w:color w:val="auto"/>
                <w:sz w:val="24"/>
                <w:szCs w:val="24"/>
                <w:highlight w:val="none"/>
                <w:vertAlign w:val="baseline"/>
                <w:lang w:val="en-US" w:eastAsia="zh-CN"/>
              </w:rPr>
              <w:t>万元，环保工程投资</w:t>
            </w:r>
            <w:r>
              <w:rPr>
                <w:rFonts w:hint="eastAsia" w:cs="Times New Roman"/>
                <w:b w:val="0"/>
                <w:bCs/>
                <w:color w:val="auto"/>
                <w:sz w:val="24"/>
                <w:szCs w:val="24"/>
                <w:highlight w:val="none"/>
                <w:vertAlign w:val="baseline"/>
                <w:lang w:val="en-US" w:eastAsia="zh-CN"/>
              </w:rPr>
              <w:t>3万元</w:t>
            </w:r>
            <w:r>
              <w:rPr>
                <w:rFonts w:hint="eastAsia" w:ascii="Times New Roman" w:hAnsi="Times New Roman" w:cs="Times New Roman"/>
                <w:b w:val="0"/>
                <w:bCs/>
                <w:color w:val="auto"/>
                <w:sz w:val="24"/>
                <w:szCs w:val="24"/>
                <w:highlight w:val="none"/>
                <w:vertAlign w:val="baseline"/>
                <w:lang w:val="en-US" w:eastAsia="zh-CN"/>
              </w:rPr>
              <w:t>，占总投资的</w:t>
            </w:r>
            <w:r>
              <w:rPr>
                <w:rFonts w:hint="eastAsia" w:cs="Times New Roman"/>
                <w:b w:val="0"/>
                <w:bCs/>
                <w:color w:val="auto"/>
                <w:sz w:val="24"/>
                <w:szCs w:val="24"/>
                <w:highlight w:val="none"/>
                <w:vertAlign w:val="baseline"/>
                <w:lang w:val="en-US" w:eastAsia="zh-CN"/>
              </w:rPr>
              <w:t>15</w:t>
            </w:r>
            <w:r>
              <w:rPr>
                <w:rFonts w:hint="eastAsia" w:ascii="Times New Roman" w:hAnsi="Times New Roman" w:cs="Times New Roman"/>
                <w:b w:val="0"/>
                <w:bCs/>
                <w:color w:val="auto"/>
                <w:sz w:val="24"/>
                <w:szCs w:val="24"/>
                <w:highlight w:val="none"/>
                <w:vertAlign w:val="baseline"/>
                <w:lang w:val="en-US" w:eastAsia="zh-CN"/>
              </w:rPr>
              <w:t>%。</w:t>
            </w:r>
          </w:p>
          <w:p w14:paraId="73370D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color w:val="auto"/>
                <w:sz w:val="24"/>
                <w:szCs w:val="24"/>
                <w:highlight w:val="none"/>
                <w:vertAlign w:val="baseline"/>
                <w:lang w:val="en-US" w:eastAsia="zh-CN"/>
              </w:rPr>
            </w:pPr>
            <w:r>
              <w:rPr>
                <w:rFonts w:hint="eastAsia" w:cs="Times New Roman"/>
                <w:b w:val="0"/>
                <w:bCs/>
                <w:color w:val="auto"/>
                <w:sz w:val="24"/>
                <w:szCs w:val="24"/>
                <w:highlight w:val="none"/>
                <w:vertAlign w:val="baseline"/>
                <w:lang w:val="en-US" w:eastAsia="zh-CN"/>
              </w:rPr>
              <w:t>（7）</w:t>
            </w:r>
            <w:r>
              <w:rPr>
                <w:rFonts w:hint="eastAsia" w:ascii="Times New Roman" w:hAnsi="Times New Roman" w:cs="Times New Roman"/>
                <w:b w:val="0"/>
                <w:bCs/>
                <w:color w:val="auto"/>
                <w:sz w:val="24"/>
                <w:szCs w:val="24"/>
                <w:highlight w:val="none"/>
                <w:vertAlign w:val="baseline"/>
                <w:lang w:val="en-US" w:eastAsia="zh-CN"/>
              </w:rPr>
              <w:t>建设规模：在现有手术室内新增动物颅腔、胸腔和腹腔手术设施，扩充手术能力，扩建完成后，医院服务内容包括：美容、门诊、手术（含三腔手术的各类手术），预计门诊日最大接诊量为</w:t>
            </w:r>
            <w:r>
              <w:rPr>
                <w:rFonts w:hint="eastAsia" w:cs="Times New Roman"/>
                <w:b w:val="0"/>
                <w:bCs/>
                <w:color w:val="auto"/>
                <w:sz w:val="24"/>
                <w:szCs w:val="24"/>
                <w:highlight w:val="none"/>
                <w:vertAlign w:val="baseline"/>
                <w:lang w:val="en-US" w:eastAsia="zh-CN"/>
              </w:rPr>
              <w:t>30</w:t>
            </w:r>
            <w:r>
              <w:rPr>
                <w:rFonts w:hint="eastAsia" w:ascii="Times New Roman" w:hAnsi="Times New Roman" w:cs="Times New Roman"/>
                <w:b w:val="0"/>
                <w:bCs/>
                <w:color w:val="auto"/>
                <w:sz w:val="24"/>
                <w:szCs w:val="24"/>
                <w:highlight w:val="none"/>
                <w:vertAlign w:val="baseline"/>
                <w:lang w:val="en-US" w:eastAsia="zh-CN"/>
              </w:rPr>
              <w:t>只，日最大住院量为</w:t>
            </w:r>
            <w:r>
              <w:rPr>
                <w:rFonts w:hint="eastAsia" w:cs="Times New Roman"/>
                <w:b w:val="0"/>
                <w:bCs/>
                <w:color w:val="auto"/>
                <w:sz w:val="24"/>
                <w:szCs w:val="24"/>
                <w:highlight w:val="none"/>
                <w:vertAlign w:val="baseline"/>
                <w:lang w:val="en-US" w:eastAsia="zh-CN"/>
              </w:rPr>
              <w:t>14</w:t>
            </w:r>
            <w:r>
              <w:rPr>
                <w:rFonts w:hint="eastAsia" w:ascii="Times New Roman" w:hAnsi="Times New Roman" w:cs="Times New Roman"/>
                <w:b w:val="0"/>
                <w:bCs/>
                <w:color w:val="auto"/>
                <w:sz w:val="24"/>
                <w:szCs w:val="24"/>
                <w:highlight w:val="none"/>
                <w:vertAlign w:val="baseline"/>
                <w:lang w:val="en-US" w:eastAsia="zh-CN"/>
              </w:rPr>
              <w:t>只，日最大手术量为</w:t>
            </w:r>
            <w:r>
              <w:rPr>
                <w:rFonts w:hint="eastAsia" w:cs="Times New Roman"/>
                <w:b w:val="0"/>
                <w:bCs/>
                <w:color w:val="auto"/>
                <w:sz w:val="24"/>
                <w:szCs w:val="24"/>
                <w:highlight w:val="none"/>
                <w:vertAlign w:val="baseline"/>
                <w:lang w:val="en-US" w:eastAsia="zh-CN"/>
              </w:rPr>
              <w:t>5</w:t>
            </w:r>
            <w:r>
              <w:rPr>
                <w:rFonts w:hint="eastAsia" w:ascii="Times New Roman" w:hAnsi="Times New Roman" w:cs="Times New Roman"/>
                <w:b w:val="0"/>
                <w:bCs/>
                <w:color w:val="auto"/>
                <w:sz w:val="24"/>
                <w:szCs w:val="24"/>
                <w:highlight w:val="none"/>
                <w:vertAlign w:val="baseline"/>
                <w:lang w:val="en-US" w:eastAsia="zh-CN"/>
              </w:rPr>
              <w:t>台。</w:t>
            </w:r>
          </w:p>
          <w:p w14:paraId="20491C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服务范围</w:t>
            </w:r>
            <w:r>
              <w:rPr>
                <w:rFonts w:hint="eastAsia"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vertAlign w:val="baseline"/>
                <w:lang w:val="en-US" w:eastAsia="zh-CN"/>
              </w:rPr>
              <w:t>动物疾病预防、诊疗、手术。经本宠物医院诊断为人猫或人</w:t>
            </w:r>
            <w:r>
              <w:rPr>
                <w:rFonts w:hint="eastAsia" w:cs="Times New Roman"/>
                <w:b w:val="0"/>
                <w:bCs/>
                <w:color w:val="auto"/>
                <w:sz w:val="24"/>
                <w:szCs w:val="24"/>
                <w:highlight w:val="none"/>
                <w:vertAlign w:val="baseline"/>
                <w:lang w:val="en-US" w:eastAsia="zh-CN"/>
              </w:rPr>
              <w:t>犬</w:t>
            </w:r>
            <w:r>
              <w:rPr>
                <w:rFonts w:hint="default" w:ascii="Times New Roman" w:hAnsi="Times New Roman" w:cs="Times New Roman"/>
                <w:b w:val="0"/>
                <w:bCs/>
                <w:color w:val="auto"/>
                <w:sz w:val="24"/>
                <w:szCs w:val="24"/>
                <w:highlight w:val="none"/>
                <w:vertAlign w:val="baseline"/>
                <w:lang w:val="en-US" w:eastAsia="zh-CN"/>
              </w:rPr>
              <w:t>易交叉感染的病症，宠物医院将在隔离病房采取隔离措施并立即将患病动物转移至专业的传染病防治医院，严格按照《重庆市动物防疫条例</w:t>
            </w:r>
            <w:r>
              <w:rPr>
                <w:rFonts w:hint="eastAsia"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vertAlign w:val="baseline"/>
                <w:lang w:val="en-US" w:eastAsia="zh-CN"/>
              </w:rPr>
              <w:t>重庆市无规定动物疫病区管理办法》的相关规定进行管理。</w:t>
            </w:r>
          </w:p>
          <w:p w14:paraId="78593D36">
            <w:pPr>
              <w:adjustRightInd w:val="0"/>
              <w:snapToGrid w:val="0"/>
              <w:spacing w:line="360" w:lineRule="auto"/>
              <w:ind w:firstLine="241" w:firstLineChars="100"/>
              <w:jc w:val="left"/>
              <w:rPr>
                <w:b/>
                <w:color w:val="auto"/>
                <w:sz w:val="24"/>
              </w:rPr>
            </w:pPr>
            <w:r>
              <w:rPr>
                <w:b/>
                <w:color w:val="auto"/>
                <w:sz w:val="24"/>
              </w:rPr>
              <w:t>2.2.</w:t>
            </w:r>
            <w:r>
              <w:rPr>
                <w:rFonts w:hint="eastAsia"/>
                <w:b/>
                <w:color w:val="auto"/>
                <w:sz w:val="24"/>
              </w:rPr>
              <w:t xml:space="preserve">2 </w:t>
            </w:r>
            <w:r>
              <w:rPr>
                <w:b/>
                <w:color w:val="auto"/>
                <w:sz w:val="24"/>
              </w:rPr>
              <w:t>项目组成</w:t>
            </w:r>
          </w:p>
          <w:p w14:paraId="100366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本项目</w:t>
            </w:r>
            <w:r>
              <w:rPr>
                <w:rFonts w:hint="default" w:ascii="Times New Roman" w:hAnsi="Times New Roman" w:cs="Times New Roman"/>
                <w:b w:val="0"/>
                <w:bCs/>
                <w:color w:val="auto"/>
                <w:sz w:val="24"/>
                <w:szCs w:val="24"/>
                <w:highlight w:val="none"/>
                <w:vertAlign w:val="baseline"/>
                <w:lang w:val="en-US" w:eastAsia="zh-CN"/>
              </w:rPr>
              <w:t>租赁</w:t>
            </w:r>
            <w:r>
              <w:rPr>
                <w:rFonts w:hint="eastAsia" w:cs="Times New Roman"/>
                <w:b w:val="0"/>
                <w:bCs/>
                <w:color w:val="auto"/>
                <w:sz w:val="24"/>
                <w:szCs w:val="24"/>
                <w:highlight w:val="none"/>
                <w:vertAlign w:val="baseline"/>
                <w:lang w:val="en-US" w:eastAsia="zh-CN"/>
              </w:rPr>
              <w:t>重庆市九龙坡区华岩镇华福大道北段16号14幢附2-2号、2-3号、2-4号</w:t>
            </w:r>
            <w:r>
              <w:rPr>
                <w:rFonts w:hint="default" w:ascii="Times New Roman" w:hAnsi="Times New Roman" w:cs="Times New Roman"/>
                <w:b w:val="0"/>
                <w:bCs/>
                <w:color w:val="auto"/>
                <w:sz w:val="24"/>
                <w:szCs w:val="24"/>
                <w:highlight w:val="none"/>
                <w:vertAlign w:val="baseline"/>
                <w:lang w:val="en-US" w:eastAsia="zh-CN"/>
              </w:rPr>
              <w:t>进行运营，租赁建筑面积约</w:t>
            </w:r>
            <w:r>
              <w:rPr>
                <w:rFonts w:hint="eastAsia" w:cs="Times New Roman"/>
                <w:b w:val="0"/>
                <w:bCs/>
                <w:color w:val="auto"/>
                <w:sz w:val="24"/>
                <w:szCs w:val="24"/>
                <w:highlight w:val="none"/>
                <w:vertAlign w:val="baseline"/>
                <w:lang w:val="en-US" w:eastAsia="zh-CN"/>
              </w:rPr>
              <w:t>219.33</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2</w:t>
            </w:r>
            <w:r>
              <w:rPr>
                <w:rFonts w:hint="eastAsia" w:cs="Times New Roman"/>
                <w:b w:val="0"/>
                <w:bCs/>
                <w:color w:val="auto"/>
                <w:sz w:val="24"/>
                <w:szCs w:val="24"/>
                <w:highlight w:val="none"/>
                <w:vertAlign w:val="baseline"/>
                <w:lang w:val="en-US" w:eastAsia="zh-CN"/>
              </w:rPr>
              <w:t>。本</w:t>
            </w:r>
            <w:r>
              <w:rPr>
                <w:rFonts w:hint="default" w:ascii="Times New Roman" w:hAnsi="Times New Roman" w:cs="Times New Roman"/>
                <w:b w:val="0"/>
                <w:bCs/>
                <w:color w:val="auto"/>
                <w:sz w:val="24"/>
                <w:szCs w:val="24"/>
                <w:highlight w:val="none"/>
                <w:vertAlign w:val="baseline"/>
                <w:lang w:val="en-US" w:eastAsia="zh-CN"/>
              </w:rPr>
              <w:t>项目主要设置</w:t>
            </w:r>
            <w:r>
              <w:rPr>
                <w:rFonts w:hint="eastAsia"/>
                <w:color w:val="auto"/>
                <w:sz w:val="24"/>
                <w:szCs w:val="32"/>
              </w:rPr>
              <w:t>诊室、</w:t>
            </w:r>
            <w:r>
              <w:rPr>
                <w:rFonts w:hint="eastAsia"/>
                <w:color w:val="auto"/>
                <w:sz w:val="24"/>
                <w:szCs w:val="32"/>
                <w:lang w:val="en-US" w:eastAsia="zh-CN"/>
              </w:rPr>
              <w:t>雾化区</w:t>
            </w:r>
            <w:r>
              <w:rPr>
                <w:rFonts w:hint="eastAsia"/>
                <w:color w:val="auto"/>
                <w:sz w:val="24"/>
                <w:szCs w:val="32"/>
              </w:rPr>
              <w:t>、</w:t>
            </w:r>
            <w:r>
              <w:rPr>
                <w:rFonts w:hint="eastAsia"/>
                <w:color w:val="auto"/>
                <w:sz w:val="24"/>
                <w:szCs w:val="32"/>
                <w:lang w:val="en-US" w:eastAsia="zh-CN"/>
              </w:rPr>
              <w:t>隔离室、住院室、化验室、</w:t>
            </w:r>
            <w:r>
              <w:rPr>
                <w:rFonts w:hint="eastAsia"/>
                <w:color w:val="auto"/>
                <w:sz w:val="24"/>
                <w:szCs w:val="32"/>
              </w:rPr>
              <w:t>DR室、</w:t>
            </w:r>
            <w:r>
              <w:rPr>
                <w:rFonts w:hint="eastAsia"/>
                <w:color w:val="auto"/>
                <w:sz w:val="24"/>
                <w:szCs w:val="32"/>
                <w:lang w:val="en-US" w:eastAsia="zh-CN"/>
              </w:rPr>
              <w:t>药房</w:t>
            </w:r>
            <w:r>
              <w:rPr>
                <w:rFonts w:hint="eastAsia"/>
                <w:color w:val="auto"/>
                <w:sz w:val="24"/>
                <w:szCs w:val="32"/>
              </w:rPr>
              <w:t>、</w:t>
            </w:r>
            <w:r>
              <w:rPr>
                <w:rFonts w:hint="eastAsia"/>
                <w:color w:val="auto"/>
                <w:sz w:val="24"/>
                <w:szCs w:val="32"/>
                <w:lang w:val="en-US" w:eastAsia="zh-CN"/>
              </w:rPr>
              <w:t>美容室、</w:t>
            </w:r>
            <w:r>
              <w:rPr>
                <w:rFonts w:hint="eastAsia"/>
                <w:color w:val="auto"/>
                <w:sz w:val="24"/>
                <w:szCs w:val="32"/>
              </w:rPr>
              <w:t>手术室</w:t>
            </w:r>
            <w:r>
              <w:rPr>
                <w:rFonts w:hint="default" w:ascii="Times New Roman" w:hAnsi="Times New Roman" w:cs="Times New Roman"/>
                <w:b w:val="0"/>
                <w:bCs/>
                <w:color w:val="auto"/>
                <w:sz w:val="24"/>
                <w:szCs w:val="24"/>
                <w:highlight w:val="none"/>
                <w:vertAlign w:val="baseline"/>
                <w:lang w:val="en-US" w:eastAsia="zh-CN"/>
              </w:rPr>
              <w:t>和</w:t>
            </w:r>
            <w:r>
              <w:rPr>
                <w:rFonts w:hint="eastAsia" w:ascii="Times New Roman" w:hAnsi="Times New Roman" w:cs="Times New Roman"/>
                <w:b w:val="0"/>
                <w:bCs/>
                <w:color w:val="auto"/>
                <w:sz w:val="24"/>
                <w:szCs w:val="24"/>
                <w:highlight w:val="none"/>
                <w:vertAlign w:val="baseline"/>
                <w:lang w:val="en-US" w:eastAsia="zh-CN"/>
              </w:rPr>
              <w:t>医疗废物贮存点</w:t>
            </w:r>
            <w:r>
              <w:rPr>
                <w:rFonts w:hint="default" w:ascii="Times New Roman" w:hAnsi="Times New Roman" w:cs="Times New Roman"/>
                <w:b w:val="0"/>
                <w:bCs/>
                <w:color w:val="auto"/>
                <w:sz w:val="24"/>
                <w:szCs w:val="24"/>
                <w:highlight w:val="none"/>
                <w:vertAlign w:val="baseline"/>
                <w:lang w:val="en-US" w:eastAsia="zh-CN"/>
              </w:rPr>
              <w:t>等。本项目主要是在现有手术室内增设手术设施，扩充手术能力，扩建完成后具备动物颅腔、胸腔和腹腔手术能力。化验室主要涉及宠物血常规、尿检、粪检等，均由仪器进行检测直接出结果，使用的试剂均为成套成品试剂，不涉及试剂配备等。本项目扩建前后接诊量、住院量和手术量规模不变。</w:t>
            </w:r>
          </w:p>
          <w:p w14:paraId="4949B0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highlight w:val="none"/>
                <w:lang w:val="en-US" w:eastAsia="zh-CN"/>
              </w:rPr>
              <w:t>项目建设组成见表 2.</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-1。</w:t>
            </w:r>
          </w:p>
          <w:p w14:paraId="060FE5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表2.</w:t>
            </w:r>
            <w:r>
              <w:rPr>
                <w:rFonts w:hint="eastAsia" w:cs="Times New Roman"/>
                <w:b w:val="0"/>
                <w:bCs/>
                <w:color w:val="auto"/>
                <w:sz w:val="21"/>
                <w:szCs w:val="21"/>
                <w:lang w:val="en-US" w:eastAsia="zh-CN"/>
              </w:rPr>
              <w:t>2</w:t>
            </w:r>
            <w:r>
              <w:rPr>
                <w:rFonts w:hint="eastAsia" w:ascii="Times New Roman" w:hAnsi="Times New Roman" w:cs="Times New Roman"/>
                <w:b w:val="0"/>
                <w:bCs/>
                <w:color w:val="auto"/>
                <w:sz w:val="21"/>
                <w:szCs w:val="21"/>
                <w:lang w:val="en-US" w:eastAsia="zh-CN"/>
              </w:rPr>
              <w:t>-1 项目组成一览表</w:t>
            </w:r>
          </w:p>
          <w:tbl>
            <w:tblPr>
              <w:tblStyle w:val="21"/>
              <w:tblW w:w="82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21"/>
              <w:gridCol w:w="7"/>
              <w:gridCol w:w="828"/>
              <w:gridCol w:w="5122"/>
              <w:gridCol w:w="818"/>
            </w:tblGrid>
            <w:tr w14:paraId="2F686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tcBorders>
                    <w:tl2br w:val="nil"/>
                    <w:tr2bl w:val="nil"/>
                  </w:tcBorders>
                  <w:noWrap w:val="0"/>
                  <w:vAlign w:val="center"/>
                </w:tcPr>
                <w:p w14:paraId="640EC43C">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工程类别</w:t>
                  </w:r>
                </w:p>
              </w:tc>
              <w:tc>
                <w:tcPr>
                  <w:tcW w:w="1656" w:type="dxa"/>
                  <w:gridSpan w:val="3"/>
                  <w:tcBorders>
                    <w:tl2br w:val="nil"/>
                    <w:tr2bl w:val="nil"/>
                  </w:tcBorders>
                  <w:noWrap w:val="0"/>
                  <w:vAlign w:val="center"/>
                </w:tcPr>
                <w:p w14:paraId="1C61813C">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工程名称</w:t>
                  </w:r>
                </w:p>
              </w:tc>
              <w:tc>
                <w:tcPr>
                  <w:tcW w:w="5122" w:type="dxa"/>
                  <w:tcBorders>
                    <w:tl2br w:val="nil"/>
                    <w:tr2bl w:val="nil"/>
                  </w:tcBorders>
                  <w:noWrap w:val="0"/>
                  <w:vAlign w:val="center"/>
                </w:tcPr>
                <w:p w14:paraId="00E3F8DE">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工程内容</w:t>
                  </w:r>
                </w:p>
              </w:tc>
              <w:tc>
                <w:tcPr>
                  <w:tcW w:w="818" w:type="dxa"/>
                  <w:tcBorders>
                    <w:tl2br w:val="nil"/>
                    <w:tr2bl w:val="nil"/>
                  </w:tcBorders>
                  <w:noWrap w:val="0"/>
                  <w:vAlign w:val="center"/>
                </w:tcPr>
                <w:p w14:paraId="0617E22B">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备注</w:t>
                  </w:r>
                </w:p>
              </w:tc>
            </w:tr>
            <w:tr w14:paraId="31137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restart"/>
                  <w:tcBorders>
                    <w:tl2br w:val="nil"/>
                    <w:tr2bl w:val="nil"/>
                  </w:tcBorders>
                  <w:noWrap w:val="0"/>
                  <w:vAlign w:val="center"/>
                </w:tcPr>
                <w:p w14:paraId="4EC322D0">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主体工程</w:t>
                  </w:r>
                </w:p>
              </w:tc>
              <w:tc>
                <w:tcPr>
                  <w:tcW w:w="1656" w:type="dxa"/>
                  <w:gridSpan w:val="3"/>
                  <w:tcBorders>
                    <w:tl2br w:val="nil"/>
                    <w:tr2bl w:val="nil"/>
                  </w:tcBorders>
                  <w:noWrap w:val="0"/>
                  <w:vAlign w:val="center"/>
                </w:tcPr>
                <w:p w14:paraId="5CC34DB6">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诊室</w:t>
                  </w:r>
                </w:p>
              </w:tc>
              <w:tc>
                <w:tcPr>
                  <w:tcW w:w="5122" w:type="dxa"/>
                  <w:tcBorders>
                    <w:tl2br w:val="nil"/>
                    <w:tr2bl w:val="nil"/>
                  </w:tcBorders>
                  <w:shd w:val="clear" w:color="auto" w:fill="auto"/>
                  <w:noWrap w:val="0"/>
                  <w:vAlign w:val="center"/>
                </w:tcPr>
                <w:p w14:paraId="37530ADE">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highlight w:val="none"/>
                      <w:lang w:val="en-US" w:eastAsia="zh-CN"/>
                    </w:rPr>
                    <w:t>共设</w:t>
                  </w:r>
                  <w:r>
                    <w:rPr>
                      <w:rFonts w:hint="eastAsia" w:cs="Times New Roman"/>
                      <w:color w:val="auto"/>
                      <w:sz w:val="21"/>
                      <w:highlight w:val="none"/>
                      <w:lang w:val="en-US" w:eastAsia="zh-CN"/>
                    </w:rPr>
                    <w:t>3</w:t>
                  </w:r>
                  <w:r>
                    <w:rPr>
                      <w:rFonts w:hint="eastAsia" w:ascii="Times New Roman" w:hAnsi="Times New Roman" w:eastAsia="宋体" w:cs="Times New Roman"/>
                      <w:color w:val="auto"/>
                      <w:sz w:val="21"/>
                      <w:highlight w:val="none"/>
                      <w:lang w:val="en-US" w:eastAsia="zh-CN"/>
                    </w:rPr>
                    <w:t>个诊室，位于医院东侧，自北向南布置有诊室一（建筑面积为9.28m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lang w:val="en-US" w:eastAsia="zh-CN"/>
                    </w:rPr>
                    <w:t>）、诊室二（建筑面积为9.76m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lang w:val="en-US" w:eastAsia="zh-CN"/>
                    </w:rPr>
                    <w:t>）、诊室三（建筑面积为8.3m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lang w:val="en-US" w:eastAsia="zh-CN"/>
                    </w:rPr>
                    <w:t>），用于接诊检查。</w:t>
                  </w:r>
                </w:p>
              </w:tc>
              <w:tc>
                <w:tcPr>
                  <w:tcW w:w="818" w:type="dxa"/>
                  <w:tcBorders>
                    <w:tl2br w:val="nil"/>
                    <w:tr2bl w:val="nil"/>
                  </w:tcBorders>
                  <w:shd w:val="clear" w:color="auto" w:fill="auto"/>
                  <w:noWrap w:val="0"/>
                  <w:vAlign w:val="center"/>
                </w:tcPr>
                <w:p w14:paraId="5E9A0434">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54F13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114E6925">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noWrap w:val="0"/>
                  <w:vAlign w:val="center"/>
                </w:tcPr>
                <w:p w14:paraId="1F88AC62">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雾化区</w:t>
                  </w:r>
                </w:p>
              </w:tc>
              <w:tc>
                <w:tcPr>
                  <w:tcW w:w="5122" w:type="dxa"/>
                  <w:tcBorders>
                    <w:tl2br w:val="nil"/>
                    <w:tr2bl w:val="nil"/>
                  </w:tcBorders>
                  <w:shd w:val="clear" w:color="auto" w:fill="auto"/>
                  <w:noWrap w:val="0"/>
                  <w:vAlign w:val="center"/>
                </w:tcPr>
                <w:p w14:paraId="718390EC">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位于医院南侧，诊室</w:t>
                  </w:r>
                  <w:r>
                    <w:rPr>
                      <w:rFonts w:hint="eastAsia" w:cs="Times New Roman"/>
                      <w:color w:val="auto"/>
                      <w:sz w:val="21"/>
                      <w:highlight w:val="none"/>
                      <w:lang w:val="en-US" w:eastAsia="zh-CN"/>
                    </w:rPr>
                    <w:t>三西</w:t>
                  </w:r>
                  <w:r>
                    <w:rPr>
                      <w:rFonts w:hint="eastAsia" w:ascii="Times New Roman" w:hAnsi="Times New Roman" w:eastAsia="宋体" w:cs="Times New Roman"/>
                      <w:color w:val="auto"/>
                      <w:sz w:val="21"/>
                      <w:highlight w:val="none"/>
                      <w:lang w:val="en-US" w:eastAsia="zh-CN"/>
                    </w:rPr>
                    <w:t>侧，建筑面积为</w:t>
                  </w:r>
                  <w:r>
                    <w:rPr>
                      <w:rFonts w:hint="eastAsia" w:cs="Times New Roman"/>
                      <w:color w:val="auto"/>
                      <w:sz w:val="21"/>
                      <w:highlight w:val="none"/>
                      <w:lang w:val="en-US" w:eastAsia="zh-CN"/>
                    </w:rPr>
                    <w:t>7.06</w:t>
                  </w:r>
                  <w:r>
                    <w:rPr>
                      <w:rFonts w:hint="eastAsia" w:ascii="Times New Roman" w:hAnsi="Times New Roman" w:eastAsia="宋体" w:cs="Times New Roman"/>
                      <w:color w:val="auto"/>
                      <w:sz w:val="21"/>
                      <w:highlight w:val="none"/>
                      <w:lang w:val="en-US" w:eastAsia="zh-CN"/>
                    </w:rPr>
                    <w:t>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lang w:val="en-US" w:eastAsia="zh-CN"/>
                    </w:rPr>
                    <w:t>，用于宠物的</w:t>
                  </w:r>
                  <w:r>
                    <w:rPr>
                      <w:rFonts w:hint="eastAsia" w:cs="Times New Roman"/>
                      <w:color w:val="auto"/>
                      <w:sz w:val="21"/>
                      <w:highlight w:val="none"/>
                      <w:lang w:val="en-US" w:eastAsia="zh-CN"/>
                    </w:rPr>
                    <w:t>雾化治疗</w:t>
                  </w:r>
                  <w:r>
                    <w:rPr>
                      <w:rFonts w:hint="eastAsia" w:ascii="Times New Roman" w:hAnsi="Times New Roman" w:eastAsia="宋体" w:cs="Times New Roman"/>
                      <w:color w:val="auto"/>
                      <w:sz w:val="21"/>
                      <w:highlight w:val="none"/>
                      <w:lang w:val="en-US" w:eastAsia="zh-CN"/>
                    </w:rPr>
                    <w:t>。</w:t>
                  </w:r>
                </w:p>
              </w:tc>
              <w:tc>
                <w:tcPr>
                  <w:tcW w:w="818" w:type="dxa"/>
                  <w:tcBorders>
                    <w:tl2br w:val="nil"/>
                    <w:tr2bl w:val="nil"/>
                  </w:tcBorders>
                  <w:shd w:val="clear" w:color="auto" w:fill="auto"/>
                  <w:noWrap w:val="0"/>
                  <w:vAlign w:val="center"/>
                </w:tcPr>
                <w:p w14:paraId="3B8FA388">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1DE07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2693DCA1">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3D2A50FE">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隔离室</w:t>
                  </w:r>
                </w:p>
              </w:tc>
              <w:tc>
                <w:tcPr>
                  <w:tcW w:w="5122" w:type="dxa"/>
                  <w:tcBorders>
                    <w:tl2br w:val="nil"/>
                    <w:tr2bl w:val="nil"/>
                  </w:tcBorders>
                  <w:shd w:val="clear" w:color="auto" w:fill="auto"/>
                  <w:noWrap w:val="0"/>
                  <w:vAlign w:val="center"/>
                </w:tcPr>
                <w:p w14:paraId="088016BB">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rPr>
                    <w:t>位于医院南侧，雾化区西侧，</w:t>
                  </w:r>
                  <w:r>
                    <w:rPr>
                      <w:rFonts w:hint="eastAsia" w:ascii="Times New Roman" w:hAnsi="Times New Roman" w:eastAsia="宋体" w:cs="Times New Roman"/>
                      <w:color w:val="auto"/>
                      <w:sz w:val="21"/>
                      <w:highlight w:val="none"/>
                      <w:vertAlign w:val="baseline"/>
                      <w:lang w:val="en-US" w:eastAsia="zh-CN"/>
                    </w:rPr>
                    <w:t>设置了</w:t>
                  </w:r>
                  <w:r>
                    <w:rPr>
                      <w:rFonts w:hint="eastAsia" w:ascii="Times New Roman" w:hAnsi="Times New Roman" w:eastAsia="宋体" w:cs="Times New Roman"/>
                      <w:color w:val="auto"/>
                      <w:sz w:val="21"/>
                      <w:highlight w:val="none"/>
                      <w:lang w:val="en-US" w:eastAsia="zh-CN"/>
                    </w:rPr>
                    <w:t>8个隔离笼，建筑面积为7.72</w:t>
                  </w:r>
                  <w:r>
                    <w:rPr>
                      <w:rFonts w:hint="default" w:ascii="Times New Roman" w:hAnsi="Times New Roman" w:eastAsia="宋体" w:cs="Times New Roman"/>
                      <w:color w:val="auto"/>
                      <w:sz w:val="21"/>
                      <w:highlight w:val="none"/>
                      <w:lang w:val="en-US" w:eastAsia="zh-CN"/>
                    </w:rPr>
                    <w:t>m</w:t>
                  </w:r>
                  <w:r>
                    <w:rPr>
                      <w:rFonts w:hint="default"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vertAlign w:val="baseline"/>
                      <w:lang w:val="en-US" w:eastAsia="zh-CN"/>
                    </w:rPr>
                    <w:t>，用于染疫或者疑似染疫猫、犬的隔离控制</w:t>
                  </w:r>
                  <w:r>
                    <w:rPr>
                      <w:rFonts w:hint="eastAsia" w:ascii="Times New Roman" w:hAnsi="Times New Roman" w:eastAsia="宋体" w:cs="Times New Roman"/>
                      <w:color w:val="auto"/>
                      <w:sz w:val="21"/>
                      <w:highlight w:val="none"/>
                      <w:lang w:val="en-US" w:eastAsia="zh-CN"/>
                    </w:rPr>
                    <w:t>。</w:t>
                  </w:r>
                </w:p>
              </w:tc>
              <w:tc>
                <w:tcPr>
                  <w:tcW w:w="818" w:type="dxa"/>
                  <w:tcBorders>
                    <w:tl2br w:val="nil"/>
                    <w:tr2bl w:val="nil"/>
                  </w:tcBorders>
                  <w:shd w:val="clear" w:color="auto" w:fill="auto"/>
                  <w:noWrap w:val="0"/>
                  <w:vAlign w:val="center"/>
                </w:tcPr>
                <w:p w14:paraId="5CE8004E">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0FB66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7A72D554">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noWrap w:val="0"/>
                  <w:vAlign w:val="center"/>
                </w:tcPr>
                <w:p w14:paraId="37DDAA36">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cs="Times New Roman"/>
                      <w:color w:val="auto"/>
                      <w:sz w:val="21"/>
                      <w:lang w:val="en-US" w:eastAsia="zh-CN"/>
                    </w:rPr>
                    <w:t>犬</w:t>
                  </w:r>
                  <w:r>
                    <w:rPr>
                      <w:rFonts w:hint="eastAsia" w:ascii="Times New Roman" w:hAnsi="Times New Roman" w:eastAsia="宋体" w:cs="Times New Roman"/>
                      <w:color w:val="auto"/>
                      <w:sz w:val="21"/>
                      <w:lang w:val="en-US" w:eastAsia="zh-CN"/>
                    </w:rPr>
                    <w:t>住院室</w:t>
                  </w:r>
                </w:p>
              </w:tc>
              <w:tc>
                <w:tcPr>
                  <w:tcW w:w="5122" w:type="dxa"/>
                  <w:tcBorders>
                    <w:tl2br w:val="nil"/>
                    <w:tr2bl w:val="nil"/>
                  </w:tcBorders>
                  <w:shd w:val="clear" w:color="auto" w:fill="auto"/>
                  <w:noWrap w:val="0"/>
                  <w:vAlign w:val="center"/>
                </w:tcPr>
                <w:p w14:paraId="4FEEE4E4">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位于医院</w:t>
                  </w:r>
                  <w:r>
                    <w:rPr>
                      <w:rFonts w:hint="eastAsia" w:cs="Times New Roman"/>
                      <w:color w:val="auto"/>
                      <w:sz w:val="21"/>
                      <w:highlight w:val="none"/>
                      <w:lang w:val="en-US" w:eastAsia="zh-CN"/>
                    </w:rPr>
                    <w:t>西南</w:t>
                  </w:r>
                  <w:r>
                    <w:rPr>
                      <w:rFonts w:hint="eastAsia" w:ascii="Times New Roman" w:hAnsi="Times New Roman" w:eastAsia="宋体" w:cs="Times New Roman"/>
                      <w:color w:val="auto"/>
                      <w:sz w:val="21"/>
                      <w:highlight w:val="none"/>
                      <w:lang w:val="en-US" w:eastAsia="zh-CN"/>
                    </w:rPr>
                    <w:t>侧，</w:t>
                  </w:r>
                  <w:r>
                    <w:rPr>
                      <w:rFonts w:hint="eastAsia" w:cs="Times New Roman"/>
                      <w:color w:val="auto"/>
                      <w:sz w:val="21"/>
                      <w:highlight w:val="none"/>
                      <w:lang w:val="en-US" w:eastAsia="zh-CN"/>
                    </w:rPr>
                    <w:t>隔离室</w:t>
                  </w:r>
                  <w:r>
                    <w:rPr>
                      <w:rFonts w:hint="eastAsia" w:ascii="Times New Roman" w:hAnsi="Times New Roman" w:eastAsia="宋体" w:cs="Times New Roman"/>
                      <w:color w:val="auto"/>
                      <w:sz w:val="21"/>
                      <w:highlight w:val="none"/>
                      <w:lang w:val="en-US" w:eastAsia="zh-CN"/>
                    </w:rPr>
                    <w:t>西侧，设置了</w:t>
                  </w:r>
                  <w:r>
                    <w:rPr>
                      <w:rFonts w:hint="eastAsia" w:cs="Times New Roman"/>
                      <w:color w:val="auto"/>
                      <w:sz w:val="21"/>
                      <w:highlight w:val="none"/>
                      <w:lang w:val="en-US" w:eastAsia="zh-CN"/>
                    </w:rPr>
                    <w:t>8</w:t>
                  </w:r>
                  <w:r>
                    <w:rPr>
                      <w:rFonts w:hint="eastAsia" w:ascii="Times New Roman" w:hAnsi="Times New Roman" w:eastAsia="宋体" w:cs="Times New Roman"/>
                      <w:color w:val="auto"/>
                      <w:sz w:val="21"/>
                      <w:highlight w:val="none"/>
                      <w:lang w:val="en-US" w:eastAsia="zh-CN"/>
                    </w:rPr>
                    <w:t>个</w:t>
                  </w:r>
                  <w:r>
                    <w:rPr>
                      <w:rFonts w:hint="eastAsia" w:cs="Times New Roman"/>
                      <w:color w:val="auto"/>
                      <w:sz w:val="21"/>
                      <w:highlight w:val="none"/>
                      <w:lang w:val="en-US" w:eastAsia="zh-CN"/>
                    </w:rPr>
                    <w:t>狗</w:t>
                  </w:r>
                  <w:r>
                    <w:rPr>
                      <w:rFonts w:hint="eastAsia" w:ascii="Times New Roman" w:hAnsi="Times New Roman" w:eastAsia="宋体" w:cs="Times New Roman"/>
                      <w:color w:val="auto"/>
                      <w:sz w:val="21"/>
                      <w:highlight w:val="none"/>
                      <w:lang w:val="en-US" w:eastAsia="zh-CN"/>
                    </w:rPr>
                    <w:t>笼，建筑面积为</w:t>
                  </w:r>
                  <w:r>
                    <w:rPr>
                      <w:rFonts w:hint="eastAsia" w:cs="Times New Roman"/>
                      <w:color w:val="auto"/>
                      <w:sz w:val="21"/>
                      <w:highlight w:val="none"/>
                      <w:lang w:val="en-US" w:eastAsia="zh-CN"/>
                    </w:rPr>
                    <w:t>11</w:t>
                  </w:r>
                  <w:r>
                    <w:rPr>
                      <w:rFonts w:hint="eastAsia" w:ascii="Times New Roman" w:hAnsi="Times New Roman" w:eastAsia="宋体" w:cs="Times New Roman"/>
                      <w:color w:val="auto"/>
                      <w:sz w:val="21"/>
                      <w:highlight w:val="none"/>
                      <w:lang w:val="en-US" w:eastAsia="zh-CN"/>
                    </w:rPr>
                    <w:t>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vertAlign w:val="baseline"/>
                      <w:lang w:val="en-US" w:eastAsia="zh-CN"/>
                    </w:rPr>
                    <w:t>，用于生病的</w:t>
                  </w:r>
                  <w:r>
                    <w:rPr>
                      <w:rFonts w:hint="eastAsia" w:cs="Times New Roman"/>
                      <w:color w:val="auto"/>
                      <w:sz w:val="21"/>
                      <w:highlight w:val="none"/>
                      <w:vertAlign w:val="baseline"/>
                      <w:lang w:val="en-US" w:eastAsia="zh-CN"/>
                    </w:rPr>
                    <w:t>犬</w:t>
                  </w:r>
                  <w:r>
                    <w:rPr>
                      <w:rFonts w:hint="eastAsia" w:ascii="Times New Roman" w:hAnsi="Times New Roman" w:eastAsia="宋体" w:cs="Times New Roman"/>
                      <w:color w:val="auto"/>
                      <w:sz w:val="21"/>
                      <w:highlight w:val="none"/>
                      <w:vertAlign w:val="baseline"/>
                      <w:lang w:val="en-US" w:eastAsia="zh-CN"/>
                    </w:rPr>
                    <w:t>住院。</w:t>
                  </w:r>
                </w:p>
              </w:tc>
              <w:tc>
                <w:tcPr>
                  <w:tcW w:w="818" w:type="dxa"/>
                  <w:tcBorders>
                    <w:tl2br w:val="nil"/>
                    <w:tr2bl w:val="nil"/>
                  </w:tcBorders>
                  <w:shd w:val="clear" w:color="auto" w:fill="auto"/>
                  <w:noWrap w:val="0"/>
                  <w:vAlign w:val="center"/>
                </w:tcPr>
                <w:p w14:paraId="0D434000">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50EBF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4593245E">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noWrap w:val="0"/>
                  <w:vAlign w:val="center"/>
                </w:tcPr>
                <w:p w14:paraId="0061CC90">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cs="Times New Roman"/>
                      <w:color w:val="auto"/>
                      <w:sz w:val="21"/>
                      <w:lang w:val="en-US" w:eastAsia="zh-CN"/>
                    </w:rPr>
                    <w:t>猫</w:t>
                  </w:r>
                  <w:r>
                    <w:rPr>
                      <w:rFonts w:hint="eastAsia" w:ascii="Times New Roman" w:hAnsi="Times New Roman" w:eastAsia="宋体" w:cs="Times New Roman"/>
                      <w:color w:val="auto"/>
                      <w:sz w:val="21"/>
                      <w:lang w:val="en-US" w:eastAsia="zh-CN"/>
                    </w:rPr>
                    <w:t>住院室</w:t>
                  </w:r>
                </w:p>
              </w:tc>
              <w:tc>
                <w:tcPr>
                  <w:tcW w:w="5122" w:type="dxa"/>
                  <w:tcBorders>
                    <w:tl2br w:val="nil"/>
                    <w:tr2bl w:val="nil"/>
                  </w:tcBorders>
                  <w:shd w:val="clear" w:color="auto" w:fill="auto"/>
                  <w:noWrap w:val="0"/>
                  <w:vAlign w:val="center"/>
                </w:tcPr>
                <w:p w14:paraId="7964B6C9">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位于医院</w:t>
                  </w:r>
                  <w:r>
                    <w:rPr>
                      <w:rFonts w:hint="eastAsia" w:cs="Times New Roman"/>
                      <w:color w:val="auto"/>
                      <w:sz w:val="21"/>
                      <w:highlight w:val="none"/>
                      <w:lang w:val="en-US" w:eastAsia="zh-CN"/>
                    </w:rPr>
                    <w:t>西</w:t>
                  </w:r>
                  <w:r>
                    <w:rPr>
                      <w:rFonts w:hint="eastAsia" w:ascii="Times New Roman" w:hAnsi="Times New Roman" w:eastAsia="宋体" w:cs="Times New Roman"/>
                      <w:color w:val="auto"/>
                      <w:sz w:val="21"/>
                      <w:highlight w:val="none"/>
                      <w:lang w:val="en-US" w:eastAsia="zh-CN"/>
                    </w:rPr>
                    <w:t>侧，</w:t>
                  </w:r>
                  <w:r>
                    <w:rPr>
                      <w:rFonts w:hint="eastAsia" w:cs="Times New Roman"/>
                      <w:color w:val="auto"/>
                      <w:sz w:val="21"/>
                      <w:lang w:val="en-US" w:eastAsia="zh-CN"/>
                    </w:rPr>
                    <w:t>犬</w:t>
                  </w:r>
                  <w:r>
                    <w:rPr>
                      <w:rFonts w:hint="eastAsia" w:ascii="Times New Roman" w:hAnsi="Times New Roman" w:eastAsia="宋体" w:cs="Times New Roman"/>
                      <w:color w:val="auto"/>
                      <w:sz w:val="21"/>
                      <w:lang w:val="en-US" w:eastAsia="zh-CN"/>
                    </w:rPr>
                    <w:t>住院室北</w:t>
                  </w:r>
                  <w:r>
                    <w:rPr>
                      <w:rFonts w:hint="eastAsia" w:ascii="Times New Roman" w:hAnsi="Times New Roman" w:eastAsia="宋体" w:cs="Times New Roman"/>
                      <w:color w:val="auto"/>
                      <w:sz w:val="21"/>
                      <w:highlight w:val="none"/>
                      <w:lang w:val="en-US" w:eastAsia="zh-CN"/>
                    </w:rPr>
                    <w:t>侧，设置了6个</w:t>
                  </w:r>
                  <w:r>
                    <w:rPr>
                      <w:rFonts w:hint="eastAsia" w:cs="Times New Roman"/>
                      <w:color w:val="auto"/>
                      <w:sz w:val="21"/>
                      <w:highlight w:val="none"/>
                      <w:lang w:val="en-US" w:eastAsia="zh-CN"/>
                    </w:rPr>
                    <w:t>猫</w:t>
                  </w:r>
                  <w:r>
                    <w:rPr>
                      <w:rFonts w:hint="eastAsia" w:ascii="Times New Roman" w:hAnsi="Times New Roman" w:eastAsia="宋体" w:cs="Times New Roman"/>
                      <w:color w:val="auto"/>
                      <w:sz w:val="21"/>
                      <w:highlight w:val="none"/>
                      <w:lang w:val="en-US" w:eastAsia="zh-CN"/>
                    </w:rPr>
                    <w:t>笼，建筑面积为</w:t>
                  </w:r>
                  <w:r>
                    <w:rPr>
                      <w:rFonts w:hint="eastAsia" w:cs="Times New Roman"/>
                      <w:color w:val="auto"/>
                      <w:sz w:val="21"/>
                      <w:highlight w:val="none"/>
                      <w:lang w:val="en-US" w:eastAsia="zh-CN"/>
                    </w:rPr>
                    <w:t>6</w:t>
                  </w:r>
                  <w:r>
                    <w:rPr>
                      <w:rFonts w:hint="eastAsia" w:ascii="Times New Roman" w:hAnsi="Times New Roman" w:eastAsia="宋体" w:cs="Times New Roman"/>
                      <w:color w:val="auto"/>
                      <w:sz w:val="21"/>
                      <w:highlight w:val="none"/>
                      <w:lang w:val="en-US" w:eastAsia="zh-CN"/>
                    </w:rPr>
                    <w:t>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vertAlign w:val="baseline"/>
                      <w:lang w:val="en-US" w:eastAsia="zh-CN"/>
                    </w:rPr>
                    <w:t>，用于生病的</w:t>
                  </w:r>
                  <w:r>
                    <w:rPr>
                      <w:rFonts w:hint="eastAsia" w:cs="Times New Roman"/>
                      <w:color w:val="auto"/>
                      <w:sz w:val="21"/>
                      <w:highlight w:val="none"/>
                      <w:vertAlign w:val="baseline"/>
                      <w:lang w:val="en-US" w:eastAsia="zh-CN"/>
                    </w:rPr>
                    <w:t>猫</w:t>
                  </w:r>
                  <w:r>
                    <w:rPr>
                      <w:rFonts w:hint="eastAsia" w:ascii="Times New Roman" w:hAnsi="Times New Roman" w:eastAsia="宋体" w:cs="Times New Roman"/>
                      <w:color w:val="auto"/>
                      <w:sz w:val="21"/>
                      <w:highlight w:val="none"/>
                      <w:vertAlign w:val="baseline"/>
                      <w:lang w:val="en-US" w:eastAsia="zh-CN"/>
                    </w:rPr>
                    <w:t>住院。</w:t>
                  </w:r>
                </w:p>
              </w:tc>
              <w:tc>
                <w:tcPr>
                  <w:tcW w:w="818" w:type="dxa"/>
                  <w:tcBorders>
                    <w:tl2br w:val="nil"/>
                    <w:tr2bl w:val="nil"/>
                  </w:tcBorders>
                  <w:shd w:val="clear" w:color="auto" w:fill="auto"/>
                  <w:noWrap w:val="0"/>
                  <w:vAlign w:val="center"/>
                </w:tcPr>
                <w:p w14:paraId="62151EF7">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5D4AB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20F21723">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noWrap w:val="0"/>
                  <w:vAlign w:val="center"/>
                </w:tcPr>
                <w:p w14:paraId="2537A7FB">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DR</w:t>
                  </w:r>
                  <w:r>
                    <w:rPr>
                      <w:rFonts w:hint="eastAsia" w:ascii="Times New Roman" w:hAnsi="Times New Roman" w:eastAsia="宋体" w:cs="Times New Roman"/>
                      <w:color w:val="auto"/>
                      <w:sz w:val="21"/>
                      <w:lang w:val="en-US" w:eastAsia="zh-CN"/>
                    </w:rPr>
                    <w:t>室</w:t>
                  </w:r>
                </w:p>
              </w:tc>
              <w:tc>
                <w:tcPr>
                  <w:tcW w:w="5122" w:type="dxa"/>
                  <w:tcBorders>
                    <w:tl2br w:val="nil"/>
                    <w:tr2bl w:val="nil"/>
                  </w:tcBorders>
                  <w:shd w:val="clear" w:color="auto" w:fill="auto"/>
                  <w:noWrap w:val="0"/>
                  <w:vAlign w:val="center"/>
                </w:tcPr>
                <w:p w14:paraId="104107A5">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位于医院</w:t>
                  </w:r>
                  <w:r>
                    <w:rPr>
                      <w:rFonts w:hint="eastAsia" w:cs="Times New Roman"/>
                      <w:color w:val="auto"/>
                      <w:sz w:val="21"/>
                      <w:highlight w:val="none"/>
                      <w:lang w:val="en-US" w:eastAsia="zh-CN"/>
                    </w:rPr>
                    <w:t>西</w:t>
                  </w:r>
                  <w:r>
                    <w:rPr>
                      <w:rFonts w:hint="eastAsia" w:ascii="Times New Roman" w:hAnsi="Times New Roman" w:eastAsia="宋体" w:cs="Times New Roman"/>
                      <w:color w:val="auto"/>
                      <w:sz w:val="21"/>
                      <w:highlight w:val="none"/>
                      <w:lang w:val="en-US" w:eastAsia="zh-CN"/>
                    </w:rPr>
                    <w:t>侧，</w:t>
                  </w:r>
                  <w:r>
                    <w:rPr>
                      <w:rFonts w:hint="eastAsia" w:cs="Times New Roman"/>
                      <w:color w:val="auto"/>
                      <w:sz w:val="21"/>
                      <w:lang w:val="en-US" w:eastAsia="zh-CN"/>
                    </w:rPr>
                    <w:t>猫</w:t>
                  </w:r>
                  <w:r>
                    <w:rPr>
                      <w:rFonts w:hint="eastAsia" w:ascii="Times New Roman" w:hAnsi="Times New Roman" w:eastAsia="宋体" w:cs="Times New Roman"/>
                      <w:color w:val="auto"/>
                      <w:sz w:val="21"/>
                      <w:lang w:val="en-US" w:eastAsia="zh-CN"/>
                    </w:rPr>
                    <w:t>住院室北</w:t>
                  </w:r>
                  <w:r>
                    <w:rPr>
                      <w:rFonts w:hint="eastAsia" w:ascii="Times New Roman" w:hAnsi="Times New Roman" w:eastAsia="宋体" w:cs="Times New Roman"/>
                      <w:color w:val="auto"/>
                      <w:sz w:val="21"/>
                      <w:highlight w:val="none"/>
                      <w:lang w:val="en-US" w:eastAsia="zh-CN"/>
                    </w:rPr>
                    <w:t>侧，建筑面积为</w:t>
                  </w:r>
                  <w:r>
                    <w:rPr>
                      <w:rFonts w:hint="eastAsia" w:cs="Times New Roman"/>
                      <w:color w:val="auto"/>
                      <w:sz w:val="21"/>
                      <w:highlight w:val="none"/>
                      <w:lang w:val="en-US" w:eastAsia="zh-CN"/>
                    </w:rPr>
                    <w:t>7</w:t>
                  </w:r>
                  <w:r>
                    <w:rPr>
                      <w:rFonts w:hint="eastAsia" w:ascii="Times New Roman" w:hAnsi="Times New Roman" w:eastAsia="宋体" w:cs="Times New Roman"/>
                      <w:color w:val="auto"/>
                      <w:sz w:val="21"/>
                      <w:highlight w:val="none"/>
                      <w:lang w:val="en-US" w:eastAsia="zh-CN"/>
                    </w:rPr>
                    <w:t>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vertAlign w:val="baseline"/>
                      <w:lang w:val="en-US" w:eastAsia="zh-CN"/>
                    </w:rPr>
                    <w:t>，用于</w:t>
                  </w:r>
                  <w:r>
                    <w:rPr>
                      <w:rFonts w:hint="eastAsia" w:ascii="Times New Roman" w:hAnsi="Times New Roman" w:eastAsia="宋体" w:cs="Times New Roman"/>
                      <w:color w:val="auto"/>
                      <w:sz w:val="21"/>
                      <w:highlight w:val="none"/>
                      <w:lang w:val="en-US" w:eastAsia="zh-CN"/>
                    </w:rPr>
                    <w:t>DR</w:t>
                  </w:r>
                  <w:r>
                    <w:rPr>
                      <w:rFonts w:hint="eastAsia" w:ascii="Times New Roman" w:hAnsi="Times New Roman" w:eastAsia="宋体" w:cs="Times New Roman"/>
                      <w:color w:val="auto"/>
                      <w:sz w:val="21"/>
                      <w:highlight w:val="none"/>
                      <w:vertAlign w:val="baseline"/>
                      <w:lang w:val="en-US" w:eastAsia="zh-CN"/>
                    </w:rPr>
                    <w:t>检测。</w:t>
                  </w:r>
                </w:p>
              </w:tc>
              <w:tc>
                <w:tcPr>
                  <w:tcW w:w="818" w:type="dxa"/>
                  <w:tcBorders>
                    <w:tl2br w:val="nil"/>
                    <w:tr2bl w:val="nil"/>
                  </w:tcBorders>
                  <w:shd w:val="clear" w:color="auto" w:fill="auto"/>
                  <w:noWrap w:val="0"/>
                  <w:vAlign w:val="center"/>
                </w:tcPr>
                <w:p w14:paraId="6E0E7967">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1A76C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68B0566B">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144D3505">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化验室</w:t>
                  </w:r>
                </w:p>
              </w:tc>
              <w:tc>
                <w:tcPr>
                  <w:tcW w:w="5122" w:type="dxa"/>
                  <w:tcBorders>
                    <w:tl2br w:val="nil"/>
                    <w:tr2bl w:val="nil"/>
                  </w:tcBorders>
                  <w:shd w:val="clear" w:color="auto" w:fill="auto"/>
                  <w:noWrap w:val="0"/>
                  <w:vAlign w:val="center"/>
                </w:tcPr>
                <w:p w14:paraId="6BC3E016">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rPr>
                    <w:t>位于医院中部，建筑面积为12.38</w:t>
                  </w:r>
                  <w:r>
                    <w:rPr>
                      <w:rFonts w:hint="default" w:ascii="Times New Roman" w:hAnsi="Times New Roman" w:eastAsia="宋体" w:cs="Times New Roman"/>
                      <w:color w:val="auto"/>
                      <w:sz w:val="21"/>
                      <w:highlight w:val="none"/>
                      <w:lang w:val="en-US" w:eastAsia="zh-CN"/>
                    </w:rPr>
                    <w:t>m</w:t>
                  </w:r>
                  <w:r>
                    <w:rPr>
                      <w:rFonts w:hint="default"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vertAlign w:val="baseline"/>
                      <w:lang w:val="en-US" w:eastAsia="zh-CN"/>
                    </w:rPr>
                    <w:t>，</w:t>
                  </w:r>
                  <w:r>
                    <w:rPr>
                      <w:rFonts w:hint="eastAsia" w:ascii="Times New Roman" w:hAnsi="Times New Roman" w:eastAsia="宋体" w:cs="Times New Roman"/>
                      <w:color w:val="auto"/>
                      <w:sz w:val="21"/>
                      <w:highlight w:val="none"/>
                      <w:lang w:val="en-US" w:eastAsia="zh-CN"/>
                    </w:rPr>
                    <w:t>用于化验宠物血常规、尿检和粪检等。</w:t>
                  </w:r>
                </w:p>
              </w:tc>
              <w:tc>
                <w:tcPr>
                  <w:tcW w:w="818" w:type="dxa"/>
                  <w:tcBorders>
                    <w:tl2br w:val="nil"/>
                    <w:tr2bl w:val="nil"/>
                  </w:tcBorders>
                  <w:shd w:val="clear" w:color="auto" w:fill="auto"/>
                  <w:noWrap w:val="0"/>
                  <w:vAlign w:val="center"/>
                </w:tcPr>
                <w:p w14:paraId="555623FC">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0BACB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3E74408A">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6FDC5D62">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美容室</w:t>
                  </w:r>
                </w:p>
              </w:tc>
              <w:tc>
                <w:tcPr>
                  <w:tcW w:w="5122" w:type="dxa"/>
                  <w:tcBorders>
                    <w:tl2br w:val="nil"/>
                    <w:tr2bl w:val="nil"/>
                  </w:tcBorders>
                  <w:shd w:val="clear" w:color="auto" w:fill="auto"/>
                  <w:noWrap w:val="0"/>
                  <w:vAlign w:val="center"/>
                </w:tcPr>
                <w:p w14:paraId="34820B39">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rPr>
                    <w:t>位于医院北侧，建筑面积为</w:t>
                  </w:r>
                  <w:r>
                    <w:rPr>
                      <w:rFonts w:hint="eastAsia" w:cs="Times New Roman"/>
                      <w:color w:val="auto"/>
                      <w:sz w:val="21"/>
                      <w:highlight w:val="none"/>
                      <w:lang w:val="en-US" w:eastAsia="zh-CN"/>
                    </w:rPr>
                    <w:t>14</w:t>
                  </w:r>
                  <w:r>
                    <w:rPr>
                      <w:rFonts w:hint="eastAsia" w:ascii="Times New Roman" w:hAnsi="Times New Roman" w:eastAsia="宋体" w:cs="Times New Roman"/>
                      <w:color w:val="auto"/>
                      <w:sz w:val="21"/>
                      <w:highlight w:val="none"/>
                      <w:lang w:val="en-US" w:eastAsia="zh-CN"/>
                    </w:rPr>
                    <w:t>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lang w:val="en-US" w:eastAsia="zh-CN"/>
                    </w:rPr>
                    <w:t>，用于宠物的美容洗澡工作。</w:t>
                  </w:r>
                </w:p>
              </w:tc>
              <w:tc>
                <w:tcPr>
                  <w:tcW w:w="818" w:type="dxa"/>
                  <w:tcBorders>
                    <w:tl2br w:val="nil"/>
                    <w:tr2bl w:val="nil"/>
                  </w:tcBorders>
                  <w:shd w:val="clear" w:color="auto" w:fill="auto"/>
                  <w:noWrap w:val="0"/>
                  <w:vAlign w:val="center"/>
                </w:tcPr>
                <w:p w14:paraId="2D869096">
                  <w:pPr>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51E54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55361EC6">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52D33B20">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手术室</w:t>
                  </w:r>
                </w:p>
              </w:tc>
              <w:tc>
                <w:tcPr>
                  <w:tcW w:w="5122" w:type="dxa"/>
                  <w:tcBorders>
                    <w:tl2br w:val="nil"/>
                    <w:tr2bl w:val="nil"/>
                  </w:tcBorders>
                  <w:shd w:val="clear" w:color="auto" w:fill="auto"/>
                  <w:noWrap w:val="0"/>
                  <w:vAlign w:val="center"/>
                </w:tcPr>
                <w:p w14:paraId="1E872207">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rPr>
                    <w:t>位于医院西</w:t>
                  </w:r>
                  <w:r>
                    <w:rPr>
                      <w:rFonts w:hint="eastAsia" w:cs="Times New Roman"/>
                      <w:color w:val="auto"/>
                      <w:sz w:val="21"/>
                      <w:highlight w:val="none"/>
                      <w:lang w:val="en-US" w:eastAsia="zh-CN"/>
                    </w:rPr>
                    <w:t>北</w:t>
                  </w:r>
                  <w:r>
                    <w:rPr>
                      <w:rFonts w:hint="eastAsia" w:ascii="Times New Roman" w:hAnsi="Times New Roman" w:eastAsia="宋体" w:cs="Times New Roman"/>
                      <w:color w:val="auto"/>
                      <w:sz w:val="21"/>
                      <w:highlight w:val="none"/>
                      <w:lang w:val="en-US" w:eastAsia="zh-CN"/>
                    </w:rPr>
                    <w:t>侧，DR室</w:t>
                  </w:r>
                  <w:r>
                    <w:rPr>
                      <w:rFonts w:hint="eastAsia" w:cs="Times New Roman"/>
                      <w:color w:val="auto"/>
                      <w:sz w:val="21"/>
                      <w:highlight w:val="none"/>
                      <w:lang w:val="en-US" w:eastAsia="zh-CN"/>
                    </w:rPr>
                    <w:t>北</w:t>
                  </w:r>
                  <w:r>
                    <w:rPr>
                      <w:rFonts w:hint="eastAsia" w:ascii="Times New Roman" w:hAnsi="Times New Roman" w:eastAsia="宋体" w:cs="Times New Roman"/>
                      <w:color w:val="auto"/>
                      <w:sz w:val="21"/>
                      <w:highlight w:val="none"/>
                      <w:lang w:val="en-US" w:eastAsia="zh-CN"/>
                    </w:rPr>
                    <w:t>侧，建筑面积为</w:t>
                  </w:r>
                  <w:r>
                    <w:rPr>
                      <w:rFonts w:hint="eastAsia" w:cs="Times New Roman"/>
                      <w:color w:val="auto"/>
                      <w:sz w:val="21"/>
                      <w:highlight w:val="none"/>
                      <w:lang w:val="en-US" w:eastAsia="zh-CN"/>
                    </w:rPr>
                    <w:t>8.44</w:t>
                  </w:r>
                  <w:r>
                    <w:rPr>
                      <w:rFonts w:hint="default" w:ascii="Times New Roman" w:hAnsi="Times New Roman" w:eastAsia="宋体" w:cs="Times New Roman"/>
                      <w:color w:val="auto"/>
                      <w:sz w:val="21"/>
                      <w:highlight w:val="none"/>
                      <w:lang w:val="en-US" w:eastAsia="zh-CN"/>
                    </w:rPr>
                    <w:t>m</w:t>
                  </w:r>
                  <w:r>
                    <w:rPr>
                      <w:rFonts w:hint="default" w:ascii="Times New Roman" w:hAnsi="Times New Roman" w:eastAsia="宋体" w:cs="Times New Roman"/>
                      <w:color w:val="auto"/>
                      <w:sz w:val="21"/>
                      <w:highlight w:val="none"/>
                      <w:vertAlign w:val="superscript"/>
                      <w:lang w:val="en-US" w:eastAsia="zh-CN"/>
                    </w:rPr>
                    <w:t>2</w:t>
                  </w:r>
                  <w:r>
                    <w:rPr>
                      <w:rFonts w:hint="default"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新增麻醉机、监护仪、手术器械等设备，</w:t>
                  </w:r>
                  <w:r>
                    <w:rPr>
                      <w:rFonts w:hint="eastAsia" w:ascii="Times New Roman" w:hAnsi="Times New Roman" w:eastAsia="宋体" w:cs="Times New Roman"/>
                      <w:color w:val="auto"/>
                      <w:sz w:val="21"/>
                      <w:highlight w:val="none"/>
                      <w:lang w:val="en-US" w:eastAsia="zh-CN"/>
                    </w:rPr>
                    <w:t>用于含三腔手术在内的手术。</w:t>
                  </w:r>
                </w:p>
              </w:tc>
              <w:tc>
                <w:tcPr>
                  <w:tcW w:w="818" w:type="dxa"/>
                  <w:tcBorders>
                    <w:tl2br w:val="nil"/>
                    <w:tr2bl w:val="nil"/>
                  </w:tcBorders>
                  <w:shd w:val="clear" w:color="auto" w:fill="auto"/>
                  <w:noWrap w:val="0"/>
                  <w:vAlign w:val="center"/>
                </w:tcPr>
                <w:p w14:paraId="6ADC615C">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已建+新建</w:t>
                  </w:r>
                </w:p>
              </w:tc>
            </w:tr>
            <w:tr w14:paraId="14F2D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tcBorders>
                    <w:tl2br w:val="nil"/>
                    <w:tr2bl w:val="nil"/>
                  </w:tcBorders>
                  <w:noWrap w:val="0"/>
                  <w:vAlign w:val="center"/>
                </w:tcPr>
                <w:p w14:paraId="5C05824A">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储运工程</w:t>
                  </w:r>
                </w:p>
              </w:tc>
              <w:tc>
                <w:tcPr>
                  <w:tcW w:w="1656" w:type="dxa"/>
                  <w:gridSpan w:val="3"/>
                  <w:tcBorders>
                    <w:tl2br w:val="nil"/>
                    <w:tr2bl w:val="nil"/>
                  </w:tcBorders>
                  <w:shd w:val="clear" w:color="auto" w:fill="auto"/>
                  <w:noWrap w:val="0"/>
                  <w:vAlign w:val="center"/>
                </w:tcPr>
                <w:p w14:paraId="53D157E3">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药房</w:t>
                  </w:r>
                </w:p>
              </w:tc>
              <w:tc>
                <w:tcPr>
                  <w:tcW w:w="5122" w:type="dxa"/>
                  <w:tcBorders>
                    <w:tl2br w:val="nil"/>
                    <w:tr2bl w:val="nil"/>
                  </w:tcBorders>
                  <w:shd w:val="clear" w:color="auto" w:fill="auto"/>
                  <w:noWrap w:val="0"/>
                  <w:vAlign w:val="center"/>
                </w:tcPr>
                <w:p w14:paraId="1C50C267">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位于医院中部，化验室</w:t>
                  </w:r>
                  <w:r>
                    <w:rPr>
                      <w:rFonts w:hint="eastAsia" w:cs="Times New Roman"/>
                      <w:color w:val="auto"/>
                      <w:sz w:val="21"/>
                      <w:highlight w:val="none"/>
                      <w:lang w:val="en-US" w:eastAsia="zh-CN"/>
                    </w:rPr>
                    <w:t>北</w:t>
                  </w:r>
                  <w:r>
                    <w:rPr>
                      <w:rFonts w:hint="eastAsia" w:ascii="Times New Roman" w:hAnsi="Times New Roman" w:eastAsia="宋体" w:cs="Times New Roman"/>
                      <w:color w:val="auto"/>
                      <w:sz w:val="21"/>
                      <w:highlight w:val="none"/>
                      <w:lang w:val="en-US" w:eastAsia="zh-CN"/>
                    </w:rPr>
                    <w:t>侧，面积为</w:t>
                  </w:r>
                  <w:r>
                    <w:rPr>
                      <w:rFonts w:hint="eastAsia" w:cs="Times New Roman"/>
                      <w:color w:val="auto"/>
                      <w:sz w:val="21"/>
                      <w:highlight w:val="none"/>
                      <w:lang w:val="en-US" w:eastAsia="zh-CN"/>
                    </w:rPr>
                    <w:t>5.5</w:t>
                  </w:r>
                  <w:r>
                    <w:rPr>
                      <w:rFonts w:hint="eastAsia" w:ascii="Times New Roman" w:hAnsi="Times New Roman" w:eastAsia="宋体" w:cs="Times New Roman"/>
                      <w:color w:val="auto"/>
                      <w:sz w:val="21"/>
                      <w:highlight w:val="none"/>
                      <w:lang w:val="en-US" w:eastAsia="zh-CN"/>
                    </w:rPr>
                    <w:t>m</w:t>
                  </w:r>
                  <w:r>
                    <w:rPr>
                      <w:rFonts w:hint="eastAsia" w:ascii="Times New Roman" w:hAnsi="Times New Roman" w:eastAsia="宋体" w:cs="Times New Roman"/>
                      <w:color w:val="auto"/>
                      <w:sz w:val="21"/>
                      <w:highlight w:val="none"/>
                      <w:vertAlign w:val="superscript"/>
                      <w:lang w:val="en-US" w:eastAsia="zh-CN"/>
                    </w:rPr>
                    <w:t>2</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主要用于药品医疗等耗材的暂存。</w:t>
                  </w:r>
                </w:p>
              </w:tc>
              <w:tc>
                <w:tcPr>
                  <w:tcW w:w="818" w:type="dxa"/>
                  <w:tcBorders>
                    <w:tl2br w:val="nil"/>
                    <w:tr2bl w:val="nil"/>
                  </w:tcBorders>
                  <w:shd w:val="clear" w:color="auto" w:fill="auto"/>
                  <w:noWrap w:val="0"/>
                  <w:vAlign w:val="center"/>
                </w:tcPr>
                <w:p w14:paraId="479E46A0">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492EF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restart"/>
                  <w:tcBorders>
                    <w:tl2br w:val="nil"/>
                    <w:tr2bl w:val="nil"/>
                  </w:tcBorders>
                  <w:noWrap w:val="0"/>
                  <w:vAlign w:val="center"/>
                </w:tcPr>
                <w:p w14:paraId="20D58E2C">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辅助工程</w:t>
                  </w:r>
                </w:p>
              </w:tc>
              <w:tc>
                <w:tcPr>
                  <w:tcW w:w="1656" w:type="dxa"/>
                  <w:gridSpan w:val="3"/>
                  <w:tcBorders>
                    <w:tl2br w:val="nil"/>
                    <w:tr2bl w:val="nil"/>
                  </w:tcBorders>
                  <w:noWrap w:val="0"/>
                  <w:vAlign w:val="center"/>
                </w:tcPr>
                <w:p w14:paraId="5CB811C2">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接待区</w:t>
                  </w:r>
                </w:p>
              </w:tc>
              <w:tc>
                <w:tcPr>
                  <w:tcW w:w="5122" w:type="dxa"/>
                  <w:tcBorders>
                    <w:tl2br w:val="nil"/>
                    <w:tr2bl w:val="nil"/>
                  </w:tcBorders>
                  <w:noWrap w:val="0"/>
                  <w:vAlign w:val="center"/>
                </w:tcPr>
                <w:p w14:paraId="52ED28EB">
                  <w:pPr>
                    <w:pStyle w:val="51"/>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位于医院东</w:t>
                  </w:r>
                  <w:r>
                    <w:rPr>
                      <w:rFonts w:hint="eastAsia" w:cs="Times New Roman"/>
                      <w:color w:val="auto"/>
                      <w:sz w:val="21"/>
                      <w:highlight w:val="none"/>
                      <w:lang w:val="en-US" w:eastAsia="zh-CN"/>
                    </w:rPr>
                    <w:t>北</w:t>
                  </w:r>
                  <w:r>
                    <w:rPr>
                      <w:rFonts w:hint="eastAsia" w:ascii="Times New Roman" w:hAnsi="Times New Roman" w:eastAsia="宋体" w:cs="Times New Roman"/>
                      <w:color w:val="auto"/>
                      <w:sz w:val="21"/>
                      <w:highlight w:val="none"/>
                      <w:lang w:val="en-US" w:eastAsia="zh-CN"/>
                    </w:rPr>
                    <w:t>侧，主要用于接待顾客和员工休息。</w:t>
                  </w:r>
                </w:p>
              </w:tc>
              <w:tc>
                <w:tcPr>
                  <w:tcW w:w="818" w:type="dxa"/>
                  <w:tcBorders>
                    <w:tl2br w:val="nil"/>
                    <w:tr2bl w:val="nil"/>
                  </w:tcBorders>
                  <w:noWrap w:val="0"/>
                  <w:vAlign w:val="center"/>
                </w:tcPr>
                <w:p w14:paraId="1BFF5588">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val="en-US" w:eastAsia="zh-CN"/>
                    </w:rPr>
                    <w:t>已建</w:t>
                  </w:r>
                </w:p>
              </w:tc>
            </w:tr>
            <w:tr w14:paraId="76B41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3948AA11">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noWrap w:val="0"/>
                  <w:vAlign w:val="center"/>
                </w:tcPr>
                <w:p w14:paraId="438E6134">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卫生间</w:t>
                  </w:r>
                </w:p>
              </w:tc>
              <w:tc>
                <w:tcPr>
                  <w:tcW w:w="5122" w:type="dxa"/>
                  <w:tcBorders>
                    <w:tl2br w:val="nil"/>
                    <w:tr2bl w:val="nil"/>
                  </w:tcBorders>
                  <w:noWrap w:val="0"/>
                  <w:vAlign w:val="center"/>
                </w:tcPr>
                <w:p w14:paraId="51906D8A">
                  <w:pPr>
                    <w:pStyle w:val="51"/>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位于医院</w:t>
                  </w:r>
                  <w:r>
                    <w:rPr>
                      <w:rFonts w:hint="eastAsia" w:cs="Times New Roman"/>
                      <w:color w:val="auto"/>
                      <w:sz w:val="21"/>
                      <w:highlight w:val="none"/>
                      <w:lang w:val="en-US" w:eastAsia="zh-CN"/>
                    </w:rPr>
                    <w:t>大门外北</w:t>
                  </w:r>
                  <w:r>
                    <w:rPr>
                      <w:rFonts w:hint="eastAsia" w:ascii="Times New Roman" w:hAnsi="Times New Roman" w:eastAsia="宋体" w:cs="Times New Roman"/>
                      <w:color w:val="auto"/>
                      <w:sz w:val="21"/>
                      <w:highlight w:val="none"/>
                      <w:lang w:val="en-US" w:eastAsia="zh-CN"/>
                    </w:rPr>
                    <w:t>侧，</w:t>
                  </w:r>
                  <w:r>
                    <w:rPr>
                      <w:rFonts w:hint="eastAsia" w:cs="Times New Roman"/>
                      <w:color w:val="auto"/>
                      <w:sz w:val="21"/>
                      <w:highlight w:val="none"/>
                      <w:lang w:val="en-US" w:eastAsia="zh-CN"/>
                    </w:rPr>
                    <w:t>依托小区的公用卫生间</w:t>
                  </w:r>
                  <w:r>
                    <w:rPr>
                      <w:rFonts w:hint="eastAsia" w:ascii="Times New Roman" w:hAnsi="Times New Roman" w:eastAsia="宋体" w:cs="Times New Roman"/>
                      <w:color w:val="auto"/>
                      <w:sz w:val="21"/>
                      <w:highlight w:val="none"/>
                      <w:lang w:val="en-US" w:eastAsia="zh-CN"/>
                    </w:rPr>
                    <w:t>。</w:t>
                  </w:r>
                </w:p>
              </w:tc>
              <w:tc>
                <w:tcPr>
                  <w:tcW w:w="818" w:type="dxa"/>
                  <w:tcBorders>
                    <w:tl2br w:val="nil"/>
                    <w:tr2bl w:val="nil"/>
                  </w:tcBorders>
                  <w:noWrap w:val="0"/>
                  <w:vAlign w:val="center"/>
                </w:tcPr>
                <w:p w14:paraId="1BCF12AE">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依托</w:t>
                  </w:r>
                </w:p>
              </w:tc>
            </w:tr>
            <w:tr w14:paraId="6B284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restart"/>
                  <w:tcBorders>
                    <w:tl2br w:val="nil"/>
                    <w:tr2bl w:val="nil"/>
                  </w:tcBorders>
                  <w:noWrap w:val="0"/>
                  <w:vAlign w:val="center"/>
                </w:tcPr>
                <w:p w14:paraId="555CFF4B">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公用工程</w:t>
                  </w:r>
                </w:p>
              </w:tc>
              <w:tc>
                <w:tcPr>
                  <w:tcW w:w="1656" w:type="dxa"/>
                  <w:gridSpan w:val="3"/>
                  <w:tcBorders>
                    <w:tl2br w:val="nil"/>
                    <w:tr2bl w:val="nil"/>
                  </w:tcBorders>
                  <w:shd w:val="clear" w:color="auto" w:fill="auto"/>
                  <w:noWrap w:val="0"/>
                  <w:vAlign w:val="center"/>
                </w:tcPr>
                <w:p w14:paraId="428CF12A">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rPr>
                    <w:t>供电工程</w:t>
                  </w:r>
                </w:p>
              </w:tc>
              <w:tc>
                <w:tcPr>
                  <w:tcW w:w="5122" w:type="dxa"/>
                  <w:tcBorders>
                    <w:tl2br w:val="nil"/>
                    <w:tr2bl w:val="nil"/>
                  </w:tcBorders>
                  <w:shd w:val="clear" w:color="auto" w:fill="auto"/>
                  <w:noWrap w:val="0"/>
                  <w:vAlign w:val="center"/>
                </w:tcPr>
                <w:p w14:paraId="0FB3279E">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rPr>
                    <w:t>由</w:t>
                  </w:r>
                  <w:r>
                    <w:rPr>
                      <w:rFonts w:hint="default" w:ascii="Times New Roman" w:hAnsi="Times New Roman" w:eastAsia="宋体" w:cs="Times New Roman"/>
                      <w:color w:val="auto"/>
                      <w:sz w:val="21"/>
                      <w:lang w:val="en-US" w:eastAsia="zh-CN"/>
                    </w:rPr>
                    <w:t>市政供电系统</w:t>
                  </w:r>
                  <w:r>
                    <w:rPr>
                      <w:rFonts w:hint="default" w:ascii="Times New Roman" w:hAnsi="Times New Roman" w:eastAsia="宋体" w:cs="Times New Roman"/>
                      <w:color w:val="auto"/>
                      <w:sz w:val="21"/>
                    </w:rPr>
                    <w:t>供给</w:t>
                  </w:r>
                  <w:r>
                    <w:rPr>
                      <w:rFonts w:hint="default" w:ascii="Times New Roman" w:hAnsi="Times New Roman" w:eastAsia="宋体" w:cs="Times New Roman"/>
                      <w:color w:val="auto"/>
                      <w:sz w:val="21"/>
                      <w:lang w:eastAsia="zh-CN"/>
                    </w:rPr>
                    <w:t>。</w:t>
                  </w:r>
                </w:p>
              </w:tc>
              <w:tc>
                <w:tcPr>
                  <w:tcW w:w="818" w:type="dxa"/>
                  <w:tcBorders>
                    <w:tl2br w:val="nil"/>
                    <w:tr2bl w:val="nil"/>
                  </w:tcBorders>
                  <w:shd w:val="clear" w:color="auto" w:fill="auto"/>
                  <w:noWrap w:val="0"/>
                  <w:vAlign w:val="center"/>
                </w:tcPr>
                <w:p w14:paraId="37CC081B">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lang w:eastAsia="zh-CN"/>
                    </w:rPr>
                    <w:t>依托</w:t>
                  </w:r>
                </w:p>
              </w:tc>
            </w:tr>
            <w:tr w14:paraId="76DCF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2E6F0B4E">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514F5D53">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rPr>
                    <w:t>供氧系统</w:t>
                  </w:r>
                </w:p>
              </w:tc>
              <w:tc>
                <w:tcPr>
                  <w:tcW w:w="5122" w:type="dxa"/>
                  <w:tcBorders>
                    <w:tl2br w:val="nil"/>
                    <w:tr2bl w:val="nil"/>
                  </w:tcBorders>
                  <w:shd w:val="clear" w:color="auto" w:fill="auto"/>
                  <w:noWrap w:val="0"/>
                  <w:vAlign w:val="center"/>
                </w:tcPr>
                <w:p w14:paraId="18D505AF">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在手术室内设</w:t>
                  </w:r>
                  <w:r>
                    <w:rPr>
                      <w:rFonts w:hint="eastAsia" w:cs="Times New Roman"/>
                      <w:snapToGrid w:val="0"/>
                      <w:color w:val="auto"/>
                      <w:kern w:val="2"/>
                      <w:sz w:val="21"/>
                      <w:szCs w:val="21"/>
                      <w:highlight w:val="none"/>
                      <w:lang w:val="en-US" w:eastAsia="zh-CN" w:bidi="ar-SA"/>
                    </w:rPr>
                    <w:t>2</w:t>
                  </w:r>
                  <w:r>
                    <w:rPr>
                      <w:rFonts w:hint="default" w:ascii="Times New Roman" w:hAnsi="Times New Roman" w:eastAsia="宋体" w:cs="Times New Roman"/>
                      <w:snapToGrid w:val="0"/>
                      <w:color w:val="auto"/>
                      <w:kern w:val="2"/>
                      <w:sz w:val="21"/>
                      <w:szCs w:val="21"/>
                      <w:highlight w:val="none"/>
                      <w:lang w:val="en-US" w:eastAsia="zh-CN" w:bidi="ar-SA"/>
                    </w:rPr>
                    <w:t>个成品氧气瓶，单个容积为</w:t>
                  </w:r>
                  <w:r>
                    <w:rPr>
                      <w:rFonts w:hint="eastAsia" w:cs="Times New Roman"/>
                      <w:snapToGrid w:val="0"/>
                      <w:color w:val="auto"/>
                      <w:kern w:val="2"/>
                      <w:sz w:val="21"/>
                      <w:szCs w:val="21"/>
                      <w:highlight w:val="none"/>
                      <w:lang w:val="en-US" w:eastAsia="zh-CN" w:bidi="ar-SA"/>
                    </w:rPr>
                    <w:t>40</w:t>
                  </w:r>
                  <w:r>
                    <w:rPr>
                      <w:rFonts w:hint="default" w:ascii="Times New Roman" w:hAnsi="Times New Roman" w:eastAsia="宋体" w:cs="Times New Roman"/>
                      <w:snapToGrid w:val="0"/>
                      <w:color w:val="auto"/>
                      <w:kern w:val="2"/>
                      <w:sz w:val="21"/>
                      <w:szCs w:val="21"/>
                      <w:highlight w:val="none"/>
                      <w:lang w:val="en-US" w:eastAsia="zh-CN" w:bidi="ar-SA"/>
                    </w:rPr>
                    <w:t>L</w:t>
                  </w:r>
                  <w:r>
                    <w:rPr>
                      <w:rFonts w:hint="eastAsia" w:ascii="Times New Roman" w:hAnsi="Times New Roman" w:eastAsia="宋体" w:cs="Times New Roman"/>
                      <w:snapToGrid w:val="0"/>
                      <w:color w:val="auto"/>
                      <w:kern w:val="2"/>
                      <w:sz w:val="21"/>
                      <w:szCs w:val="21"/>
                      <w:highlight w:val="none"/>
                      <w:lang w:val="en-US" w:eastAsia="zh-CN" w:bidi="ar-SA"/>
                    </w:rPr>
                    <w:t>。</w:t>
                  </w:r>
                </w:p>
              </w:tc>
              <w:tc>
                <w:tcPr>
                  <w:tcW w:w="818" w:type="dxa"/>
                  <w:tcBorders>
                    <w:tl2br w:val="nil"/>
                    <w:tr2bl w:val="nil"/>
                  </w:tcBorders>
                  <w:shd w:val="clear" w:color="auto" w:fill="auto"/>
                  <w:noWrap w:val="0"/>
                  <w:vAlign w:val="center"/>
                </w:tcPr>
                <w:p w14:paraId="3C6B392F">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已建</w:t>
                  </w:r>
                </w:p>
              </w:tc>
            </w:tr>
            <w:tr w14:paraId="36B6C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5FFE2C71">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55B1962D">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通风系统</w:t>
                  </w:r>
                </w:p>
              </w:tc>
              <w:tc>
                <w:tcPr>
                  <w:tcW w:w="5122" w:type="dxa"/>
                  <w:tcBorders>
                    <w:tl2br w:val="nil"/>
                    <w:tr2bl w:val="nil"/>
                  </w:tcBorders>
                  <w:shd w:val="clear" w:color="auto" w:fill="auto"/>
                  <w:noWrap w:val="0"/>
                  <w:vAlign w:val="center"/>
                </w:tcPr>
                <w:p w14:paraId="619B2CBB">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rPr>
                    <w:t>采用自然通风和空调结合的形式进行通风。</w:t>
                  </w:r>
                </w:p>
              </w:tc>
              <w:tc>
                <w:tcPr>
                  <w:tcW w:w="818" w:type="dxa"/>
                  <w:tcBorders>
                    <w:tl2br w:val="nil"/>
                    <w:tr2bl w:val="nil"/>
                  </w:tcBorders>
                  <w:shd w:val="clear" w:color="auto" w:fill="auto"/>
                  <w:noWrap w:val="0"/>
                  <w:vAlign w:val="center"/>
                </w:tcPr>
                <w:p w14:paraId="4DEAB82A">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已建</w:t>
                  </w:r>
                </w:p>
              </w:tc>
            </w:tr>
            <w:tr w14:paraId="41561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00F6EB11">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vMerge w:val="restart"/>
                  <w:tcBorders>
                    <w:tl2br w:val="nil"/>
                    <w:tr2bl w:val="nil"/>
                  </w:tcBorders>
                  <w:shd w:val="clear" w:color="auto" w:fill="auto"/>
                  <w:noWrap w:val="0"/>
                  <w:vAlign w:val="center"/>
                </w:tcPr>
                <w:p w14:paraId="1F636087">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消毒系统</w:t>
                  </w:r>
                </w:p>
              </w:tc>
              <w:tc>
                <w:tcPr>
                  <w:tcW w:w="5122" w:type="dxa"/>
                  <w:tcBorders>
                    <w:tl2br w:val="nil"/>
                    <w:tr2bl w:val="nil"/>
                  </w:tcBorders>
                  <w:shd w:val="clear" w:color="auto" w:fill="auto"/>
                  <w:noWrap w:val="0"/>
                  <w:vAlign w:val="center"/>
                </w:tcPr>
                <w:p w14:paraId="26358AB0">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highlight w:val="none"/>
                      <w:lang w:val="en-US" w:eastAsia="zh-CN"/>
                    </w:rPr>
                    <w:t>手术器械、玻璃器皿等采用</w:t>
                  </w:r>
                  <w:r>
                    <w:rPr>
                      <w:rFonts w:hint="eastAsia" w:ascii="Times New Roman" w:hAnsi="Times New Roman" w:eastAsia="宋体"/>
                      <w:color w:val="auto"/>
                      <w:sz w:val="21"/>
                      <w:lang w:eastAsia="zh-CN"/>
                    </w:rPr>
                    <w:t>手提式压力蒸汽灭菌器</w:t>
                  </w:r>
                  <w:r>
                    <w:rPr>
                      <w:rFonts w:hint="eastAsia" w:ascii="Times New Roman" w:hAnsi="Times New Roman" w:eastAsia="宋体" w:cs="Times New Roman"/>
                      <w:color w:val="auto"/>
                      <w:sz w:val="21"/>
                      <w:highlight w:val="none"/>
                      <w:lang w:val="en-US" w:eastAsia="zh-CN"/>
                    </w:rPr>
                    <w:t>消毒，病房通过紫外线灯进行消毒杀菌</w:t>
                  </w:r>
                  <w:r>
                    <w:rPr>
                      <w:rFonts w:hint="eastAsia"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医院整体采用</w:t>
                  </w:r>
                  <w:r>
                    <w:rPr>
                      <w:rFonts w:hint="eastAsia" w:ascii="Times New Roman" w:hAnsi="Times New Roman" w:eastAsia="宋体"/>
                      <w:color w:val="auto"/>
                      <w:kern w:val="0"/>
                      <w:sz w:val="21"/>
                      <w:szCs w:val="21"/>
                      <w:lang w:eastAsia="zh-CN"/>
                    </w:rPr>
                    <w:t>新洁尔灭</w:t>
                  </w:r>
                  <w:r>
                    <w:rPr>
                      <w:rFonts w:hint="eastAsia" w:ascii="Times New Roman" w:hAnsi="Times New Roman" w:eastAsia="宋体" w:cs="Times New Roman"/>
                      <w:color w:val="auto"/>
                      <w:sz w:val="21"/>
                      <w:highlight w:val="none"/>
                      <w:lang w:val="en-US" w:eastAsia="zh-CN"/>
                    </w:rPr>
                    <w:t>喷洒消毒，手术室台面、地面等采用</w:t>
                  </w:r>
                  <w:r>
                    <w:rPr>
                      <w:rFonts w:hint="eastAsia" w:ascii="Times New Roman" w:hAnsi="Times New Roman" w:eastAsia="宋体"/>
                      <w:color w:val="auto"/>
                      <w:kern w:val="0"/>
                      <w:sz w:val="21"/>
                      <w:szCs w:val="21"/>
                      <w:lang w:eastAsia="zh-CN"/>
                    </w:rPr>
                    <w:t>新洁尔灭、</w:t>
                  </w:r>
                  <w:r>
                    <w:rPr>
                      <w:rFonts w:hint="eastAsia"/>
                      <w:color w:val="auto"/>
                      <w:kern w:val="0"/>
                      <w:sz w:val="21"/>
                      <w:szCs w:val="21"/>
                      <w:lang w:eastAsia="zh-CN"/>
                    </w:rPr>
                    <w:t>84消毒液</w:t>
                  </w:r>
                  <w:r>
                    <w:rPr>
                      <w:rFonts w:hint="eastAsia" w:ascii="Times New Roman" w:hAnsi="Times New Roman" w:eastAsia="宋体" w:cs="Times New Roman"/>
                      <w:color w:val="auto"/>
                      <w:sz w:val="21"/>
                      <w:highlight w:val="none"/>
                      <w:lang w:val="en-US" w:eastAsia="zh-CN"/>
                    </w:rPr>
                    <w:t>喷洒消毒，</w:t>
                  </w:r>
                  <w:r>
                    <w:rPr>
                      <w:rFonts w:hint="eastAsia" w:cs="Times New Roman"/>
                      <w:color w:val="auto"/>
                      <w:sz w:val="21"/>
                      <w:highlight w:val="none"/>
                      <w:lang w:val="en-US" w:eastAsia="zh-CN"/>
                    </w:rPr>
                    <w:t>动物粪污</w:t>
                  </w:r>
                  <w:r>
                    <w:rPr>
                      <w:rFonts w:hint="eastAsia" w:ascii="Times New Roman" w:hAnsi="Times New Roman" w:eastAsia="宋体" w:cs="Times New Roman"/>
                      <w:color w:val="auto"/>
                      <w:sz w:val="21"/>
                      <w:highlight w:val="none"/>
                      <w:lang w:val="en-US" w:eastAsia="zh-CN"/>
                    </w:rPr>
                    <w:t>采用</w:t>
                  </w:r>
                  <w:r>
                    <w:rPr>
                      <w:rFonts w:hint="eastAsia" w:ascii="Times New Roman" w:hAnsi="Times New Roman" w:eastAsia="宋体"/>
                      <w:color w:val="auto"/>
                      <w:kern w:val="0"/>
                      <w:sz w:val="21"/>
                      <w:szCs w:val="21"/>
                      <w:lang w:eastAsia="zh-CN"/>
                    </w:rPr>
                    <w:t>新洁尔灭</w:t>
                  </w:r>
                  <w:r>
                    <w:rPr>
                      <w:rFonts w:hint="eastAsia" w:ascii="Times New Roman" w:hAnsi="Times New Roman" w:eastAsia="宋体" w:cs="Times New Roman"/>
                      <w:snapToGrid w:val="0"/>
                      <w:color w:val="auto"/>
                      <w:kern w:val="2"/>
                      <w:sz w:val="21"/>
                      <w:szCs w:val="21"/>
                      <w:lang w:val="en-US" w:eastAsia="zh-CN" w:bidi="ar-SA"/>
                    </w:rPr>
                    <w:t>喷洒消毒。</w:t>
                  </w:r>
                </w:p>
              </w:tc>
              <w:tc>
                <w:tcPr>
                  <w:tcW w:w="818" w:type="dxa"/>
                  <w:tcBorders>
                    <w:tl2br w:val="nil"/>
                    <w:tr2bl w:val="nil"/>
                  </w:tcBorders>
                  <w:shd w:val="clear" w:color="auto" w:fill="auto"/>
                  <w:noWrap w:val="0"/>
                  <w:vAlign w:val="center"/>
                </w:tcPr>
                <w:p w14:paraId="26FCDBF9">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78D9C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29CE0423">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vMerge w:val="continue"/>
                  <w:tcBorders>
                    <w:tl2br w:val="nil"/>
                    <w:tr2bl w:val="nil"/>
                  </w:tcBorders>
                  <w:shd w:val="clear" w:color="auto" w:fill="auto"/>
                  <w:noWrap w:val="0"/>
                  <w:vAlign w:val="center"/>
                </w:tcPr>
                <w:p w14:paraId="5B496F41">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color w:val="auto"/>
                      <w:sz w:val="21"/>
                      <w:lang w:val="en-US" w:eastAsia="zh-CN"/>
                    </w:rPr>
                  </w:pPr>
                </w:p>
              </w:tc>
              <w:tc>
                <w:tcPr>
                  <w:tcW w:w="5122" w:type="dxa"/>
                  <w:tcBorders>
                    <w:tl2br w:val="nil"/>
                    <w:tr2bl w:val="nil"/>
                  </w:tcBorders>
                  <w:shd w:val="clear" w:color="auto" w:fill="auto"/>
                  <w:noWrap w:val="0"/>
                  <w:vAlign w:val="center"/>
                </w:tcPr>
                <w:p w14:paraId="501E47A8">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医疗废水通过投加</w:t>
                  </w:r>
                  <w:r>
                    <w:rPr>
                      <w:rFonts w:hint="eastAsia" w:ascii="Times New Roman" w:hAnsi="Times New Roman" w:eastAsia="宋体" w:cs="Times New Roman"/>
                      <w:b w:val="0"/>
                      <w:bCs/>
                      <w:color w:val="auto"/>
                      <w:sz w:val="21"/>
                      <w:szCs w:val="21"/>
                      <w:highlight w:val="none"/>
                      <w:vertAlign w:val="baseline"/>
                      <w:lang w:val="en-US" w:eastAsia="zh-CN"/>
                    </w:rPr>
                    <w:t>二氧化氯消毒片</w:t>
                  </w:r>
                  <w:r>
                    <w:rPr>
                      <w:rFonts w:hint="eastAsia" w:ascii="Times New Roman" w:hAnsi="Times New Roman" w:eastAsia="宋体" w:cs="Times New Roman"/>
                      <w:color w:val="auto"/>
                      <w:sz w:val="21"/>
                      <w:highlight w:val="none"/>
                      <w:lang w:val="en-US" w:eastAsia="zh-CN"/>
                    </w:rPr>
                    <w:t>进行消毒。</w:t>
                  </w:r>
                </w:p>
              </w:tc>
              <w:tc>
                <w:tcPr>
                  <w:tcW w:w="818" w:type="dxa"/>
                  <w:tcBorders>
                    <w:tl2br w:val="nil"/>
                    <w:tr2bl w:val="nil"/>
                  </w:tcBorders>
                  <w:shd w:val="clear" w:color="auto" w:fill="auto"/>
                  <w:noWrap w:val="0"/>
                  <w:vAlign w:val="center"/>
                </w:tcPr>
                <w:p w14:paraId="1654C454">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3A0D4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1DE5BAD2">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339B12AA">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lang w:val="en-US" w:eastAsia="zh-CN"/>
                    </w:rPr>
                    <w:t>供</w:t>
                  </w:r>
                  <w:r>
                    <w:rPr>
                      <w:rFonts w:hint="default" w:ascii="Times New Roman" w:hAnsi="Times New Roman" w:eastAsia="宋体" w:cs="Times New Roman"/>
                      <w:color w:val="auto"/>
                      <w:sz w:val="21"/>
                    </w:rPr>
                    <w:t>水工程</w:t>
                  </w:r>
                </w:p>
              </w:tc>
              <w:tc>
                <w:tcPr>
                  <w:tcW w:w="5122" w:type="dxa"/>
                  <w:tcBorders>
                    <w:tl2br w:val="nil"/>
                    <w:tr2bl w:val="nil"/>
                  </w:tcBorders>
                  <w:shd w:val="clear" w:color="auto" w:fill="auto"/>
                  <w:noWrap w:val="0"/>
                  <w:vAlign w:val="center"/>
                </w:tcPr>
                <w:p w14:paraId="11AD138F">
                  <w:pPr>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highlight w:val="none"/>
                    </w:rPr>
                    <w:t>由市政给水管网供给。</w:t>
                  </w:r>
                </w:p>
              </w:tc>
              <w:tc>
                <w:tcPr>
                  <w:tcW w:w="818" w:type="dxa"/>
                  <w:tcBorders>
                    <w:tl2br w:val="nil"/>
                    <w:tr2bl w:val="nil"/>
                  </w:tcBorders>
                  <w:shd w:val="clear" w:color="auto" w:fill="auto"/>
                  <w:noWrap w:val="0"/>
                  <w:vAlign w:val="center"/>
                </w:tcPr>
                <w:p w14:paraId="50C96451">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lang w:eastAsia="zh-CN"/>
                    </w:rPr>
                    <w:t>依托</w:t>
                  </w:r>
                </w:p>
              </w:tc>
            </w:tr>
            <w:tr w14:paraId="43BC0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14541323">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shd w:val="clear" w:color="auto" w:fill="auto"/>
                  <w:noWrap w:val="0"/>
                  <w:vAlign w:val="center"/>
                </w:tcPr>
                <w:p w14:paraId="5E6C7A98">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rPr>
                    <w:t>排水工程</w:t>
                  </w:r>
                </w:p>
              </w:tc>
              <w:tc>
                <w:tcPr>
                  <w:tcW w:w="5122" w:type="dxa"/>
                  <w:tcBorders>
                    <w:tl2br w:val="nil"/>
                    <w:tr2bl w:val="nil"/>
                  </w:tcBorders>
                  <w:shd w:val="clear" w:color="auto" w:fill="auto"/>
                  <w:noWrap w:val="0"/>
                  <w:vAlign w:val="center"/>
                </w:tcPr>
                <w:p w14:paraId="68001AF3">
                  <w:pPr>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highlight w:val="none"/>
                    </w:rPr>
                    <w:t>采取</w:t>
                  </w:r>
                  <w:r>
                    <w:rPr>
                      <w:rFonts w:hint="eastAsia" w:ascii="Times New Roman" w:hAnsi="Times New Roman" w:eastAsia="宋体" w:cs="Times New Roman"/>
                      <w:color w:val="auto"/>
                      <w:sz w:val="21"/>
                      <w:highlight w:val="none"/>
                      <w:lang w:val="en-US" w:eastAsia="zh-CN"/>
                    </w:rPr>
                    <w:t>污污</w:t>
                  </w:r>
                  <w:r>
                    <w:rPr>
                      <w:rFonts w:hint="default" w:ascii="Times New Roman" w:hAnsi="Times New Roman" w:eastAsia="宋体" w:cs="Times New Roman"/>
                      <w:color w:val="auto"/>
                      <w:sz w:val="21"/>
                      <w:highlight w:val="none"/>
                    </w:rPr>
                    <w:t>分流排水体制</w:t>
                  </w:r>
                  <w:r>
                    <w:rPr>
                      <w:rFonts w:hint="eastAsia" w:ascii="Times New Roman" w:hAnsi="Times New Roman" w:eastAsia="宋体" w:cs="Times New Roman"/>
                      <w:color w:val="auto"/>
                      <w:sz w:val="21"/>
                      <w:highlight w:val="none"/>
                      <w:lang w:eastAsia="zh-CN"/>
                    </w:rPr>
                    <w:t>，</w:t>
                  </w:r>
                  <w:r>
                    <w:rPr>
                      <w:rFonts w:hint="eastAsia" w:ascii="Times New Roman" w:hAnsi="Times New Roman" w:eastAsia="宋体" w:cs="Times New Roman"/>
                      <w:color w:val="auto"/>
                      <w:sz w:val="21"/>
                      <w:highlight w:val="none"/>
                      <w:lang w:val="en-US" w:eastAsia="zh-CN"/>
                    </w:rPr>
                    <w:t>污水分为医疗废水</w:t>
                  </w:r>
                  <w:r>
                    <w:rPr>
                      <w:rFonts w:hint="eastAsia"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生活污水</w:t>
                  </w:r>
                  <w:r>
                    <w:rPr>
                      <w:rFonts w:hint="eastAsia" w:cs="Times New Roman"/>
                      <w:color w:val="auto"/>
                      <w:sz w:val="21"/>
                      <w:highlight w:val="none"/>
                      <w:lang w:val="en-US" w:eastAsia="zh-CN"/>
                    </w:rPr>
                    <w:t>和其他废水</w:t>
                  </w:r>
                  <w:r>
                    <w:rPr>
                      <w:rFonts w:hint="eastAsia" w:ascii="Times New Roman" w:hAnsi="Times New Roman" w:eastAsia="宋体" w:cs="Times New Roman"/>
                      <w:color w:val="auto"/>
                      <w:sz w:val="21"/>
                      <w:highlight w:val="none"/>
                      <w:lang w:val="en-US" w:eastAsia="zh-CN"/>
                    </w:rPr>
                    <w:t>。手术废水、手术器械清洗废水</w:t>
                  </w:r>
                  <w:r>
                    <w:rPr>
                      <w:rFonts w:hint="eastAsia" w:cs="Times New Roman"/>
                      <w:color w:val="auto"/>
                      <w:sz w:val="21"/>
                      <w:highlight w:val="none"/>
                      <w:lang w:val="en-US" w:eastAsia="zh-CN"/>
                    </w:rPr>
                    <w:t>经水槽</w:t>
                  </w:r>
                  <w:r>
                    <w:rPr>
                      <w:rFonts w:hint="eastAsia" w:ascii="Times New Roman" w:hAnsi="Times New Roman" w:eastAsia="宋体" w:cs="Times New Roman"/>
                      <w:color w:val="auto"/>
                      <w:sz w:val="21"/>
                      <w:highlight w:val="none"/>
                      <w:lang w:val="en-US" w:eastAsia="zh-CN"/>
                    </w:rPr>
                    <w:t>收集后进入1#消毒设施，诊疗废水、宠物笼清洗废水</w:t>
                  </w:r>
                  <w:r>
                    <w:rPr>
                      <w:rFonts w:hint="eastAsia" w:cs="Times New Roman"/>
                      <w:color w:val="auto"/>
                      <w:sz w:val="21"/>
                      <w:highlight w:val="none"/>
                      <w:lang w:val="en-US" w:eastAsia="zh-CN"/>
                    </w:rPr>
                    <w:t>经水槽</w:t>
                  </w:r>
                  <w:r>
                    <w:rPr>
                      <w:rFonts w:hint="eastAsia" w:ascii="Times New Roman" w:hAnsi="Times New Roman" w:eastAsia="宋体" w:cs="Times New Roman"/>
                      <w:color w:val="auto"/>
                      <w:sz w:val="21"/>
                      <w:highlight w:val="none"/>
                      <w:lang w:val="en-US" w:eastAsia="zh-CN"/>
                    </w:rPr>
                    <w:t>收集后进入2#消毒设施，各自消毒处理后与生活污水、</w:t>
                  </w:r>
                  <w:r>
                    <w:rPr>
                      <w:rFonts w:hint="eastAsia" w:cs="Times New Roman"/>
                      <w:color w:val="auto"/>
                      <w:sz w:val="21"/>
                      <w:highlight w:val="none"/>
                      <w:lang w:val="en-US" w:eastAsia="zh-CN"/>
                    </w:rPr>
                    <w:t>其他废水</w:t>
                  </w:r>
                  <w:r>
                    <w:rPr>
                      <w:rFonts w:hint="eastAsia" w:ascii="Times New Roman" w:hAnsi="Times New Roman" w:eastAsia="宋体" w:cs="Times New Roman"/>
                      <w:color w:val="auto"/>
                      <w:sz w:val="21"/>
                      <w:highlight w:val="none"/>
                      <w:lang w:val="en-US" w:eastAsia="zh-CN"/>
                    </w:rPr>
                    <w:t>（其中</w:t>
                  </w:r>
                  <w:r>
                    <w:rPr>
                      <w:rFonts w:hint="eastAsia" w:cs="Times New Roman"/>
                      <w:color w:val="auto"/>
                      <w:sz w:val="21"/>
                      <w:highlight w:val="none"/>
                      <w:lang w:val="en-US" w:eastAsia="zh-CN"/>
                    </w:rPr>
                    <w:t>宠物洗浴废水</w:t>
                  </w:r>
                  <w:r>
                    <w:rPr>
                      <w:rFonts w:hint="eastAsia" w:ascii="Times New Roman" w:hAnsi="Times New Roman" w:eastAsia="宋体" w:cs="Times New Roman"/>
                      <w:color w:val="auto"/>
                      <w:sz w:val="21"/>
                      <w:highlight w:val="none"/>
                      <w:lang w:val="en-US" w:eastAsia="zh-CN"/>
                    </w:rPr>
                    <w:t>经过滤处理后）一起进入</w:t>
                  </w:r>
                  <w:r>
                    <w:rPr>
                      <w:rFonts w:hint="eastAsia" w:cs="Times New Roman"/>
                      <w:color w:val="auto"/>
                      <w:sz w:val="21"/>
                      <w:highlight w:val="none"/>
                      <w:lang w:val="en-US" w:eastAsia="zh-CN"/>
                    </w:rPr>
                    <w:t>金科阳光小镇6期</w:t>
                  </w:r>
                  <w:r>
                    <w:rPr>
                      <w:rFonts w:hint="eastAsia" w:ascii="Times New Roman" w:hAnsi="Times New Roman" w:eastAsia="宋体" w:cs="Times New Roman"/>
                      <w:color w:val="auto"/>
                      <w:sz w:val="21"/>
                      <w:highlight w:val="none"/>
                      <w:lang w:val="en-US" w:eastAsia="zh-CN"/>
                    </w:rPr>
                    <w:t>已建生化池进行处理，达标后排入市政污水管网，再经</w:t>
                  </w:r>
                  <w:r>
                    <w:rPr>
                      <w:rFonts w:hint="eastAsia" w:cs="Times New Roman"/>
                      <w:color w:val="auto"/>
                      <w:sz w:val="21"/>
                      <w:highlight w:val="none"/>
                      <w:lang w:val="en-US" w:eastAsia="zh-CN"/>
                    </w:rPr>
                    <w:t>中梁山污水处理厂</w:t>
                  </w:r>
                  <w:r>
                    <w:rPr>
                      <w:rFonts w:hint="default" w:ascii="Times New Roman" w:hAnsi="Times New Roman" w:eastAsia="宋体" w:cs="Times New Roman"/>
                      <w:color w:val="auto"/>
                      <w:sz w:val="21"/>
                      <w:szCs w:val="21"/>
                      <w:highlight w:val="none"/>
                      <w:lang w:val="en-US" w:eastAsia="zh-CN"/>
                    </w:rPr>
                    <w:t>处理达标后排入</w:t>
                  </w:r>
                  <w:r>
                    <w:rPr>
                      <w:rFonts w:hint="eastAsia" w:ascii="Times New Roman" w:hAnsi="Times New Roman" w:eastAsia="宋体" w:cs="Times New Roman"/>
                      <w:color w:val="auto"/>
                      <w:sz w:val="21"/>
                      <w:szCs w:val="21"/>
                      <w:highlight w:val="none"/>
                      <w:lang w:val="en-US" w:eastAsia="zh-CN"/>
                    </w:rPr>
                    <w:t>长江</w:t>
                  </w:r>
                  <w:r>
                    <w:rPr>
                      <w:rFonts w:hint="default" w:ascii="Times New Roman" w:hAnsi="Times New Roman" w:eastAsia="宋体" w:cs="Times New Roman"/>
                      <w:color w:val="auto"/>
                      <w:sz w:val="21"/>
                      <w:szCs w:val="21"/>
                      <w:highlight w:val="none"/>
                      <w:lang w:val="en-US" w:eastAsia="zh-CN"/>
                    </w:rPr>
                    <w:t>。</w:t>
                  </w:r>
                </w:p>
              </w:tc>
              <w:tc>
                <w:tcPr>
                  <w:tcW w:w="818" w:type="dxa"/>
                  <w:tcBorders>
                    <w:tl2br w:val="nil"/>
                    <w:tr2bl w:val="nil"/>
                  </w:tcBorders>
                  <w:shd w:val="clear" w:color="auto" w:fill="auto"/>
                  <w:noWrap w:val="0"/>
                  <w:vAlign w:val="center"/>
                </w:tcPr>
                <w:p w14:paraId="3309E3F7">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lang w:val="en-US" w:eastAsia="zh-CN"/>
                    </w:rPr>
                    <w:t>已建</w:t>
                  </w:r>
                </w:p>
              </w:tc>
            </w:tr>
            <w:tr w14:paraId="70A3B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restart"/>
                  <w:tcBorders>
                    <w:tl2br w:val="nil"/>
                    <w:tr2bl w:val="nil"/>
                  </w:tcBorders>
                  <w:noWrap w:val="0"/>
                  <w:vAlign w:val="center"/>
                </w:tcPr>
                <w:p w14:paraId="5A59D2AB">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环保工程</w:t>
                  </w:r>
                </w:p>
              </w:tc>
              <w:tc>
                <w:tcPr>
                  <w:tcW w:w="821" w:type="dxa"/>
                  <w:tcBorders>
                    <w:tl2br w:val="nil"/>
                    <w:tr2bl w:val="nil"/>
                  </w:tcBorders>
                  <w:noWrap w:val="0"/>
                  <w:vAlign w:val="center"/>
                </w:tcPr>
                <w:p w14:paraId="62327257">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w:t>
                  </w:r>
                </w:p>
              </w:tc>
              <w:tc>
                <w:tcPr>
                  <w:tcW w:w="835" w:type="dxa"/>
                  <w:gridSpan w:val="2"/>
                  <w:tcBorders>
                    <w:tl2br w:val="nil"/>
                    <w:tr2bl w:val="nil"/>
                  </w:tcBorders>
                  <w:noWrap w:val="0"/>
                  <w:vAlign w:val="center"/>
                </w:tcPr>
                <w:p w14:paraId="19B6D9EB">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异味</w:t>
                  </w:r>
                </w:p>
              </w:tc>
              <w:tc>
                <w:tcPr>
                  <w:tcW w:w="5122" w:type="dxa"/>
                  <w:tcBorders>
                    <w:tl2br w:val="nil"/>
                    <w:tr2bl w:val="nil"/>
                  </w:tcBorders>
                  <w:noWrap w:val="0"/>
                  <w:vAlign w:val="center"/>
                </w:tcPr>
                <w:p w14:paraId="05B4A7C9">
                  <w:pPr>
                    <w:pStyle w:val="51"/>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采用自然通风和空调系统结合的形式进行通风</w:t>
                  </w:r>
                  <w:r>
                    <w:rPr>
                      <w:rFonts w:hint="eastAsia" w:cs="Times New Roman"/>
                      <w:b w:val="0"/>
                      <w:bCs/>
                      <w:color w:val="auto"/>
                      <w:sz w:val="21"/>
                      <w:szCs w:val="21"/>
                      <w:highlight w:val="none"/>
                      <w:vertAlign w:val="baseline"/>
                      <w:lang w:val="en-US" w:eastAsia="zh-CN"/>
                    </w:rPr>
                    <w:t>，病房通过紫外线灯进行消毒杀菌，</w:t>
                  </w:r>
                  <w:r>
                    <w:rPr>
                      <w:rFonts w:hint="default" w:ascii="Times New Roman" w:hAnsi="Times New Roman" w:eastAsia="宋体" w:cs="Times New Roman"/>
                      <w:b w:val="0"/>
                      <w:bCs/>
                      <w:color w:val="auto"/>
                      <w:sz w:val="21"/>
                      <w:szCs w:val="21"/>
                      <w:highlight w:val="none"/>
                      <w:vertAlign w:val="baseline"/>
                      <w:lang w:val="en-US" w:eastAsia="zh-CN"/>
                    </w:rPr>
                    <w:t>每天使用</w:t>
                  </w:r>
                  <w:r>
                    <w:rPr>
                      <w:rFonts w:ascii="Times New Roman" w:hAnsi="Times New Roman" w:eastAsia="宋体"/>
                      <w:color w:val="auto"/>
                      <w:kern w:val="0"/>
                      <w:sz w:val="21"/>
                      <w:szCs w:val="21"/>
                    </w:rPr>
                    <w:t>新洁尔灭</w:t>
                  </w:r>
                  <w:r>
                    <w:rPr>
                      <w:rFonts w:hint="default" w:ascii="Times New Roman" w:hAnsi="Times New Roman" w:eastAsia="宋体" w:cs="Times New Roman"/>
                      <w:b w:val="0"/>
                      <w:bCs/>
                      <w:color w:val="auto"/>
                      <w:sz w:val="21"/>
                      <w:szCs w:val="21"/>
                      <w:highlight w:val="none"/>
                      <w:vertAlign w:val="baseline"/>
                      <w:lang w:val="en-US" w:eastAsia="zh-CN"/>
                    </w:rPr>
                    <w:t>对医院进行消毒。</w:t>
                  </w:r>
                </w:p>
              </w:tc>
              <w:tc>
                <w:tcPr>
                  <w:tcW w:w="818" w:type="dxa"/>
                  <w:tcBorders>
                    <w:tl2br w:val="nil"/>
                    <w:tr2bl w:val="nil"/>
                  </w:tcBorders>
                  <w:noWrap w:val="0"/>
                  <w:vAlign w:val="center"/>
                </w:tcPr>
                <w:p w14:paraId="37D09A0D">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已建</w:t>
                  </w:r>
                </w:p>
              </w:tc>
            </w:tr>
            <w:tr w14:paraId="046B9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78DD0355">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noWrap w:val="0"/>
                  <w:vAlign w:val="center"/>
                </w:tcPr>
                <w:p w14:paraId="2C5E0638">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rPr>
                    <w:t>废水</w:t>
                  </w:r>
                </w:p>
              </w:tc>
              <w:tc>
                <w:tcPr>
                  <w:tcW w:w="5122" w:type="dxa"/>
                  <w:tcBorders>
                    <w:tl2br w:val="nil"/>
                    <w:tr2bl w:val="nil"/>
                  </w:tcBorders>
                  <w:shd w:val="clear" w:color="auto" w:fill="auto"/>
                  <w:noWrap w:val="0"/>
                  <w:vAlign w:val="center"/>
                </w:tcPr>
                <w:p w14:paraId="3AE6033B">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snapToGrid w:val="0"/>
                      <w:color w:val="auto"/>
                      <w:kern w:val="2"/>
                      <w:sz w:val="21"/>
                      <w:szCs w:val="21"/>
                      <w:highlight w:val="none"/>
                      <w:lang w:val="en-US" w:eastAsia="zh-CN" w:bidi="ar-SA"/>
                    </w:rPr>
                    <w:t>手术室水槽下方设置有1#消毒设施，有效容积为</w:t>
                  </w:r>
                  <w:r>
                    <w:rPr>
                      <w:rFonts w:hint="eastAsia" w:cs="Times New Roman"/>
                      <w:snapToGrid w:val="0"/>
                      <w:color w:val="auto"/>
                      <w:kern w:val="2"/>
                      <w:sz w:val="21"/>
                      <w:szCs w:val="21"/>
                      <w:highlight w:val="none"/>
                      <w:lang w:val="en-US" w:eastAsia="zh-CN" w:bidi="ar-SA"/>
                    </w:rPr>
                    <w:t>50</w:t>
                  </w:r>
                  <w:r>
                    <w:rPr>
                      <w:rFonts w:hint="eastAsia" w:ascii="Times New Roman" w:hAnsi="Times New Roman" w:eastAsia="宋体" w:cs="Times New Roman"/>
                      <w:snapToGrid w:val="0"/>
                      <w:color w:val="auto"/>
                      <w:kern w:val="2"/>
                      <w:sz w:val="21"/>
                      <w:szCs w:val="21"/>
                      <w:highlight w:val="none"/>
                      <w:lang w:val="en-US" w:eastAsia="zh-CN" w:bidi="ar-SA"/>
                    </w:rPr>
                    <w:t>L，</w:t>
                  </w:r>
                  <w:r>
                    <w:rPr>
                      <w:rFonts w:hint="eastAsia" w:ascii="Times New Roman" w:hAnsi="Times New Roman" w:eastAsia="宋体" w:cs="Times New Roman"/>
                      <w:color w:val="auto"/>
                      <w:sz w:val="21"/>
                      <w:highlight w:val="none"/>
                      <w:lang w:val="en-US" w:eastAsia="zh-CN"/>
                    </w:rPr>
                    <w:t>手术废水、手术器械清洗废水经水槽收集后进入1#消毒设施预处理；化验室</w:t>
                  </w:r>
                  <w:r>
                    <w:rPr>
                      <w:rFonts w:hint="eastAsia" w:ascii="Times New Roman" w:hAnsi="Times New Roman" w:eastAsia="宋体" w:cs="Times New Roman"/>
                      <w:snapToGrid w:val="0"/>
                      <w:color w:val="auto"/>
                      <w:kern w:val="2"/>
                      <w:sz w:val="21"/>
                      <w:szCs w:val="21"/>
                      <w:highlight w:val="none"/>
                      <w:lang w:val="en-US" w:eastAsia="zh-CN" w:bidi="ar-SA"/>
                    </w:rPr>
                    <w:t>水槽下方设置有2#消毒设施，有效容积为</w:t>
                  </w:r>
                  <w:r>
                    <w:rPr>
                      <w:rFonts w:hint="eastAsia" w:cs="Times New Roman"/>
                      <w:snapToGrid w:val="0"/>
                      <w:color w:val="auto"/>
                      <w:kern w:val="2"/>
                      <w:sz w:val="21"/>
                      <w:szCs w:val="21"/>
                      <w:highlight w:val="none"/>
                      <w:lang w:val="en-US" w:eastAsia="zh-CN" w:bidi="ar-SA"/>
                    </w:rPr>
                    <w:t>50</w:t>
                  </w:r>
                  <w:r>
                    <w:rPr>
                      <w:rFonts w:hint="eastAsia" w:ascii="Times New Roman" w:hAnsi="Times New Roman" w:eastAsia="宋体" w:cs="Times New Roman"/>
                      <w:snapToGrid w:val="0"/>
                      <w:color w:val="auto"/>
                      <w:kern w:val="2"/>
                      <w:sz w:val="21"/>
                      <w:szCs w:val="21"/>
                      <w:highlight w:val="none"/>
                      <w:lang w:val="en-US" w:eastAsia="zh-CN" w:bidi="ar-SA"/>
                    </w:rPr>
                    <w:t>L，诊疗废水</w:t>
                  </w:r>
                  <w:r>
                    <w:rPr>
                      <w:rFonts w:hint="eastAsia" w:ascii="Times New Roman" w:hAnsi="Times New Roman" w:eastAsia="宋体" w:cs="Times New Roman"/>
                      <w:color w:val="auto"/>
                      <w:sz w:val="21"/>
                      <w:highlight w:val="none"/>
                      <w:lang w:val="en-US" w:eastAsia="zh-CN"/>
                    </w:rPr>
                    <w:t>、宠物笼清洗废水经水槽收集后进入2#消毒设施预处理；经消毒预处理后达《医疗机构水污染物排放标准》</w:t>
                  </w:r>
                  <w:r>
                    <w:rPr>
                      <w:rFonts w:hint="eastAsia" w:cs="Times New Roman"/>
                      <w:color w:val="auto"/>
                      <w:sz w:val="21"/>
                      <w:highlight w:val="none"/>
                      <w:lang w:val="en-US" w:eastAsia="zh-CN"/>
                    </w:rPr>
                    <w:t>（GB 18466-2005）</w:t>
                  </w:r>
                  <w:r>
                    <w:rPr>
                      <w:rFonts w:hint="eastAsia" w:ascii="Times New Roman" w:hAnsi="Times New Roman" w:eastAsia="宋体" w:cs="Times New Roman"/>
                      <w:color w:val="auto"/>
                      <w:sz w:val="21"/>
                      <w:highlight w:val="none"/>
                      <w:lang w:val="en-US" w:eastAsia="zh-CN"/>
                    </w:rPr>
                    <w:t>预处理标准后的医疗废水与生活污水、</w:t>
                  </w:r>
                  <w:r>
                    <w:rPr>
                      <w:rFonts w:hint="eastAsia" w:cs="Times New Roman"/>
                      <w:color w:val="auto"/>
                      <w:sz w:val="21"/>
                      <w:highlight w:val="none"/>
                      <w:lang w:val="en-US" w:eastAsia="zh-CN"/>
                    </w:rPr>
                    <w:t>其他废水</w:t>
                  </w:r>
                  <w:r>
                    <w:rPr>
                      <w:rFonts w:hint="eastAsia" w:ascii="Times New Roman" w:hAnsi="Times New Roman" w:eastAsia="宋体" w:cs="Times New Roman"/>
                      <w:color w:val="auto"/>
                      <w:sz w:val="21"/>
                      <w:highlight w:val="none"/>
                      <w:lang w:val="en-US" w:eastAsia="zh-CN"/>
                    </w:rPr>
                    <w:t>（其中</w:t>
                  </w:r>
                  <w:r>
                    <w:rPr>
                      <w:rFonts w:hint="eastAsia" w:cs="Times New Roman"/>
                      <w:color w:val="auto"/>
                      <w:sz w:val="21"/>
                      <w:highlight w:val="none"/>
                      <w:lang w:val="en-US" w:eastAsia="zh-CN"/>
                    </w:rPr>
                    <w:t>宠物洗浴废水</w:t>
                  </w:r>
                  <w:r>
                    <w:rPr>
                      <w:rFonts w:hint="eastAsia" w:ascii="Times New Roman" w:hAnsi="Times New Roman" w:eastAsia="宋体" w:cs="Times New Roman"/>
                      <w:color w:val="auto"/>
                      <w:sz w:val="21"/>
                      <w:highlight w:val="none"/>
                      <w:lang w:val="en-US" w:eastAsia="zh-CN"/>
                    </w:rPr>
                    <w:t>经过滤处理后）一起进入</w:t>
                  </w:r>
                  <w:r>
                    <w:rPr>
                      <w:rFonts w:hint="eastAsia" w:cs="Times New Roman"/>
                      <w:color w:val="auto"/>
                      <w:sz w:val="21"/>
                      <w:highlight w:val="none"/>
                      <w:lang w:val="en-US" w:eastAsia="zh-CN"/>
                    </w:rPr>
                    <w:t>金科阳光小镇6期</w:t>
                  </w:r>
                  <w:r>
                    <w:rPr>
                      <w:rFonts w:hint="eastAsia" w:ascii="Times New Roman" w:hAnsi="Times New Roman" w:eastAsia="宋体" w:cs="Times New Roman"/>
                      <w:color w:val="auto"/>
                      <w:sz w:val="21"/>
                      <w:highlight w:val="none"/>
                      <w:lang w:val="en-US" w:eastAsia="zh-CN"/>
                    </w:rPr>
                    <w:t>已建生化池进行处理，处理达《污水综合排放标准》</w:t>
                  </w:r>
                </w:p>
                <w:p w14:paraId="255E7095">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 w:val="21"/>
                      <w:highlight w:val="none"/>
                      <w:lang w:val="en-US" w:eastAsia="zh-CN"/>
                    </w:rPr>
                    <w:t>（GB 8978-1996）三级标准后排入</w:t>
                  </w:r>
                  <w:r>
                    <w:rPr>
                      <w:rFonts w:hint="eastAsia" w:cs="Times New Roman"/>
                      <w:color w:val="auto"/>
                      <w:sz w:val="21"/>
                      <w:highlight w:val="none"/>
                      <w:lang w:val="en-US" w:eastAsia="zh-CN"/>
                    </w:rPr>
                    <w:t>中梁山污水处理厂</w:t>
                  </w:r>
                  <w:r>
                    <w:rPr>
                      <w:rFonts w:hint="eastAsia" w:ascii="Times New Roman" w:hAnsi="Times New Roman" w:eastAsia="宋体" w:cs="Times New Roman"/>
                      <w:color w:val="auto"/>
                      <w:sz w:val="21"/>
                      <w:highlight w:val="none"/>
                      <w:lang w:val="en-US" w:eastAsia="zh-CN"/>
                    </w:rPr>
                    <w:t>进一步处理，处理达</w:t>
                  </w:r>
                  <w:r>
                    <w:rPr>
                      <w:rFonts w:hint="default" w:ascii="Times New Roman" w:hAnsi="Times New Roman" w:eastAsia="宋体" w:cs="Times New Roman"/>
                      <w:color w:val="auto"/>
                      <w:sz w:val="21"/>
                      <w:szCs w:val="21"/>
                      <w:highlight w:val="none"/>
                      <w:lang w:val="en-GB"/>
                    </w:rPr>
                    <w:t>《城镇污水处理厂污染物排放标准》</w:t>
                  </w:r>
                  <w:r>
                    <w:rPr>
                      <w:rFonts w:hint="default" w:ascii="Times New Roman" w:hAnsi="Times New Roman" w:eastAsia="宋体" w:cs="Times New Roman"/>
                      <w:color w:val="auto"/>
                      <w:sz w:val="21"/>
                      <w:szCs w:val="21"/>
                      <w:highlight w:val="none"/>
                      <w:lang w:val="en-GB" w:eastAsia="zh-CN"/>
                    </w:rPr>
                    <w:t>（</w:t>
                  </w:r>
                  <w:r>
                    <w:rPr>
                      <w:rFonts w:hint="default" w:ascii="Times New Roman" w:hAnsi="Times New Roman" w:eastAsia="宋体" w:cs="Times New Roman"/>
                      <w:color w:val="auto"/>
                      <w:sz w:val="21"/>
                      <w:szCs w:val="21"/>
                      <w:highlight w:val="none"/>
                      <w:lang w:val="en-GB"/>
                    </w:rPr>
                    <w:t>GB</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GB"/>
                    </w:rPr>
                    <w:t>18918-2002</w:t>
                  </w:r>
                  <w:r>
                    <w:rPr>
                      <w:rFonts w:hint="default" w:ascii="Times New Roman" w:hAnsi="Times New Roman" w:eastAsia="宋体" w:cs="Times New Roman"/>
                      <w:color w:val="auto"/>
                      <w:sz w:val="21"/>
                      <w:szCs w:val="21"/>
                      <w:highlight w:val="none"/>
                      <w:lang w:val="en-GB" w:eastAsia="zh-CN"/>
                    </w:rPr>
                    <w:t>）</w:t>
                  </w:r>
                  <w:r>
                    <w:rPr>
                      <w:rFonts w:hint="default" w:ascii="Times New Roman" w:hAnsi="Times New Roman" w:eastAsia="宋体" w:cs="Times New Roman"/>
                      <w:color w:val="auto"/>
                      <w:sz w:val="21"/>
                      <w:szCs w:val="21"/>
                      <w:highlight w:val="none"/>
                      <w:lang w:val="en-GB"/>
                    </w:rPr>
                    <w:t>一级</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val="en-GB"/>
                    </w:rPr>
                    <w:t>标准</w:t>
                  </w:r>
                  <w:r>
                    <w:rPr>
                      <w:rFonts w:hint="default" w:ascii="Times New Roman" w:hAnsi="Times New Roman" w:eastAsia="宋体" w:cs="Times New Roman"/>
                      <w:color w:val="auto"/>
                      <w:sz w:val="21"/>
                      <w:szCs w:val="21"/>
                      <w:highlight w:val="none"/>
                      <w:lang w:val="en-US" w:eastAsia="zh-CN"/>
                    </w:rPr>
                    <w:t>后排入</w:t>
                  </w:r>
                  <w:r>
                    <w:rPr>
                      <w:rFonts w:hint="eastAsia" w:ascii="Times New Roman" w:hAnsi="Times New Roman" w:eastAsia="宋体" w:cs="Times New Roman"/>
                      <w:color w:val="auto"/>
                      <w:sz w:val="21"/>
                      <w:szCs w:val="21"/>
                      <w:highlight w:val="none"/>
                      <w:lang w:val="en-US" w:eastAsia="zh-CN"/>
                    </w:rPr>
                    <w:t>长江。</w:t>
                  </w:r>
                </w:p>
              </w:tc>
              <w:tc>
                <w:tcPr>
                  <w:tcW w:w="818" w:type="dxa"/>
                  <w:tcBorders>
                    <w:tl2br w:val="nil"/>
                    <w:tr2bl w:val="nil"/>
                  </w:tcBorders>
                  <w:noWrap w:val="0"/>
                  <w:vAlign w:val="center"/>
                </w:tcPr>
                <w:p w14:paraId="07336141">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已建</w:t>
                  </w:r>
                </w:p>
              </w:tc>
            </w:tr>
            <w:tr w14:paraId="510FF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02370B65">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828" w:type="dxa"/>
                  <w:gridSpan w:val="2"/>
                  <w:vMerge w:val="restart"/>
                  <w:tcBorders>
                    <w:tl2br w:val="nil"/>
                    <w:tr2bl w:val="nil"/>
                  </w:tcBorders>
                  <w:noWrap w:val="0"/>
                  <w:vAlign w:val="center"/>
                </w:tcPr>
                <w:p w14:paraId="677378DF">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lang w:val="en-US" w:eastAsia="zh-CN"/>
                    </w:rPr>
                    <w:t>固废</w:t>
                  </w:r>
                </w:p>
              </w:tc>
              <w:tc>
                <w:tcPr>
                  <w:tcW w:w="828" w:type="dxa"/>
                  <w:tcBorders>
                    <w:tl2br w:val="nil"/>
                    <w:tr2bl w:val="nil"/>
                  </w:tcBorders>
                  <w:noWrap w:val="0"/>
                  <w:vAlign w:val="center"/>
                </w:tcPr>
                <w:p w14:paraId="4E1F61F4">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危险废物</w:t>
                  </w:r>
                </w:p>
              </w:tc>
              <w:tc>
                <w:tcPr>
                  <w:tcW w:w="5122" w:type="dxa"/>
                  <w:tcBorders>
                    <w:tl2br w:val="nil"/>
                    <w:tr2bl w:val="nil"/>
                  </w:tcBorders>
                  <w:shd w:val="clear" w:color="auto" w:fill="auto"/>
                  <w:noWrap w:val="0"/>
                  <w:vAlign w:val="center"/>
                </w:tcPr>
                <w:p w14:paraId="3910C1B2">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olor w:val="auto"/>
                      <w:sz w:val="21"/>
                      <w:szCs w:val="22"/>
                      <w:highlight w:val="none"/>
                      <w:lang w:val="en-US" w:eastAsia="zh-CN"/>
                    </w:rPr>
                    <w:t>医疗废物：</w:t>
                  </w:r>
                  <w:r>
                    <w:rPr>
                      <w:rFonts w:hint="eastAsia" w:ascii="Times New Roman" w:hAnsi="Times New Roman" w:eastAsia="宋体" w:cs="Times New Roman"/>
                      <w:color w:val="auto"/>
                      <w:sz w:val="21"/>
                      <w:highlight w:val="none"/>
                      <w:lang w:val="en-US" w:eastAsia="zh-CN"/>
                    </w:rPr>
                    <w:t>设1个医疗废物贮存点，位于</w:t>
                  </w:r>
                  <w:r>
                    <w:rPr>
                      <w:rFonts w:hint="eastAsia" w:cs="Times New Roman"/>
                      <w:color w:val="auto"/>
                      <w:sz w:val="21"/>
                      <w:highlight w:val="none"/>
                      <w:lang w:val="en-US" w:eastAsia="zh-CN"/>
                    </w:rPr>
                    <w:t>DR室和手术室中间的电脑桌下方</w:t>
                  </w:r>
                  <w:r>
                    <w:rPr>
                      <w:rFonts w:hint="eastAsia" w:ascii="Times New Roman" w:hAnsi="Times New Roman" w:eastAsia="宋体"/>
                      <w:color w:val="auto"/>
                      <w:sz w:val="21"/>
                      <w:szCs w:val="22"/>
                      <w:highlight w:val="none"/>
                    </w:rPr>
                    <w:t>，</w:t>
                  </w:r>
                  <w:r>
                    <w:rPr>
                      <w:rFonts w:hint="eastAsia" w:ascii="Times New Roman" w:hAnsi="Times New Roman" w:eastAsia="宋体"/>
                      <w:color w:val="auto"/>
                      <w:sz w:val="21"/>
                      <w:szCs w:val="22"/>
                      <w:highlight w:val="none"/>
                      <w:lang w:val="en-US" w:eastAsia="zh-CN"/>
                    </w:rPr>
                    <w:t>建筑</w:t>
                  </w:r>
                  <w:r>
                    <w:rPr>
                      <w:rFonts w:hint="eastAsia" w:ascii="Times New Roman" w:hAnsi="Times New Roman" w:eastAsia="宋体"/>
                      <w:color w:val="auto"/>
                      <w:sz w:val="21"/>
                      <w:szCs w:val="22"/>
                      <w:highlight w:val="none"/>
                    </w:rPr>
                    <w:t>面积约</w:t>
                  </w:r>
                  <w:r>
                    <w:rPr>
                      <w:rFonts w:hint="eastAsia" w:ascii="Times New Roman" w:hAnsi="Times New Roman" w:eastAsia="宋体"/>
                      <w:color w:val="auto"/>
                      <w:sz w:val="21"/>
                      <w:szCs w:val="22"/>
                      <w:highlight w:val="none"/>
                      <w:lang w:val="en-US" w:eastAsia="zh-CN"/>
                    </w:rPr>
                    <w:t>1</w:t>
                  </w:r>
                  <w:r>
                    <w:rPr>
                      <w:rFonts w:hint="eastAsia" w:ascii="Times New Roman" w:hAnsi="Times New Roman" w:eastAsia="宋体"/>
                      <w:color w:val="auto"/>
                      <w:sz w:val="21"/>
                      <w:szCs w:val="22"/>
                      <w:highlight w:val="none"/>
                    </w:rPr>
                    <w:t>m</w:t>
                  </w:r>
                  <w:r>
                    <w:rPr>
                      <w:rFonts w:hint="eastAsia" w:ascii="Times New Roman" w:hAnsi="Times New Roman" w:eastAsia="宋体"/>
                      <w:color w:val="auto"/>
                      <w:sz w:val="21"/>
                      <w:szCs w:val="22"/>
                      <w:highlight w:val="none"/>
                      <w:vertAlign w:val="superscript"/>
                    </w:rPr>
                    <w:t>2</w:t>
                  </w:r>
                  <w:r>
                    <w:rPr>
                      <w:rFonts w:hint="eastAsia" w:ascii="Times New Roman" w:hAnsi="Times New Roman" w:eastAsia="宋体"/>
                      <w:color w:val="auto"/>
                      <w:sz w:val="21"/>
                      <w:szCs w:val="22"/>
                      <w:highlight w:val="none"/>
                    </w:rPr>
                    <w:t>，</w:t>
                  </w:r>
                  <w:r>
                    <w:rPr>
                      <w:rFonts w:hint="eastAsia" w:ascii="Times New Roman" w:hAnsi="Times New Roman" w:eastAsia="宋体"/>
                      <w:color w:val="auto"/>
                      <w:sz w:val="21"/>
                      <w:szCs w:val="22"/>
                      <w:highlight w:val="none"/>
                      <w:lang w:val="en-US" w:eastAsia="zh-CN"/>
                    </w:rPr>
                    <w:t>用于医疗废物</w:t>
                  </w:r>
                  <w:r>
                    <w:rPr>
                      <w:rFonts w:hint="eastAsia"/>
                      <w:color w:val="auto"/>
                      <w:sz w:val="21"/>
                      <w:szCs w:val="22"/>
                      <w:highlight w:val="none"/>
                      <w:lang w:val="en-US" w:eastAsia="zh-CN"/>
                    </w:rPr>
                    <w:t>和废紫外线灯管</w:t>
                  </w:r>
                  <w:r>
                    <w:rPr>
                      <w:rFonts w:hint="eastAsia" w:ascii="Times New Roman" w:hAnsi="Times New Roman" w:eastAsia="宋体"/>
                      <w:color w:val="auto"/>
                      <w:sz w:val="21"/>
                      <w:szCs w:val="22"/>
                      <w:highlight w:val="none"/>
                      <w:lang w:val="en-US" w:eastAsia="zh-CN"/>
                    </w:rPr>
                    <w:t>的暂存，内设加盖收集桶，定期</w:t>
                  </w:r>
                  <w:r>
                    <w:rPr>
                      <w:rFonts w:hint="eastAsia"/>
                      <w:color w:val="auto"/>
                      <w:sz w:val="21"/>
                      <w:szCs w:val="22"/>
                      <w:highlight w:val="none"/>
                      <w:lang w:val="en-US" w:eastAsia="zh-CN"/>
                    </w:rPr>
                    <w:t>交由</w:t>
                  </w:r>
                  <w:r>
                    <w:rPr>
                      <w:rFonts w:hint="default" w:ascii="Times New Roman" w:hAnsi="Times New Roman" w:cs="Times New Roman"/>
                      <w:b w:val="0"/>
                      <w:bCs w:val="0"/>
                      <w:color w:val="auto"/>
                      <w:sz w:val="21"/>
                      <w:szCs w:val="21"/>
                      <w:highlight w:val="none"/>
                      <w:vertAlign w:val="baseline"/>
                      <w:lang w:eastAsia="zh-CN"/>
                    </w:rPr>
                    <w:t>重庆可厚德环保技术有限公司</w:t>
                  </w:r>
                  <w:r>
                    <w:rPr>
                      <w:rFonts w:hint="eastAsia" w:ascii="Times New Roman" w:hAnsi="Times New Roman" w:eastAsia="宋体"/>
                      <w:color w:val="auto"/>
                      <w:sz w:val="21"/>
                      <w:szCs w:val="22"/>
                      <w:highlight w:val="none"/>
                      <w:lang w:val="en-US" w:eastAsia="zh-CN"/>
                    </w:rPr>
                    <w:t>收运处置。</w:t>
                  </w:r>
                </w:p>
              </w:tc>
              <w:tc>
                <w:tcPr>
                  <w:tcW w:w="818" w:type="dxa"/>
                  <w:tcBorders>
                    <w:tl2br w:val="nil"/>
                    <w:tr2bl w:val="nil"/>
                  </w:tcBorders>
                  <w:shd w:val="clear" w:color="auto" w:fill="auto"/>
                  <w:noWrap w:val="0"/>
                  <w:vAlign w:val="center"/>
                </w:tcPr>
                <w:p w14:paraId="571FC562">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6E4D6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6E9CD4C0">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828" w:type="dxa"/>
                  <w:gridSpan w:val="2"/>
                  <w:vMerge w:val="continue"/>
                  <w:tcBorders>
                    <w:tl2br w:val="nil"/>
                    <w:tr2bl w:val="nil"/>
                  </w:tcBorders>
                  <w:noWrap w:val="0"/>
                  <w:vAlign w:val="center"/>
                </w:tcPr>
                <w:p w14:paraId="10B6C37C">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color w:val="auto"/>
                      <w:sz w:val="21"/>
                      <w:highlight w:val="none"/>
                      <w:lang w:val="en-US" w:eastAsia="zh-CN"/>
                    </w:rPr>
                  </w:pPr>
                </w:p>
              </w:tc>
              <w:tc>
                <w:tcPr>
                  <w:tcW w:w="828" w:type="dxa"/>
                  <w:vMerge w:val="restart"/>
                  <w:tcBorders>
                    <w:tl2br w:val="nil"/>
                    <w:tr2bl w:val="nil"/>
                  </w:tcBorders>
                  <w:noWrap w:val="0"/>
                  <w:vAlign w:val="center"/>
                </w:tcPr>
                <w:p w14:paraId="3A3F419D">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一般固废</w:t>
                  </w:r>
                </w:p>
              </w:tc>
              <w:tc>
                <w:tcPr>
                  <w:tcW w:w="5122" w:type="dxa"/>
                  <w:tcBorders>
                    <w:tl2br w:val="nil"/>
                    <w:tr2bl w:val="nil"/>
                  </w:tcBorders>
                  <w:shd w:val="clear" w:color="auto" w:fill="auto"/>
                  <w:noWrap w:val="0"/>
                  <w:vAlign w:val="center"/>
                </w:tcPr>
                <w:p w14:paraId="09C38577">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snapToGrid w:val="0"/>
                      <w:color w:val="auto"/>
                      <w:kern w:val="2"/>
                      <w:sz w:val="21"/>
                      <w:szCs w:val="21"/>
                      <w:lang w:val="en-US" w:eastAsia="zh-CN" w:bidi="ar-SA"/>
                    </w:rPr>
                    <w:t>动物粪污：院内设置加盖垃圾桶，猫砂喷洒消毒剂后紧袋收集暂存于加盖垃圾桶，定期交由当地环卫部门进行处理，犬尿液计入宠物笼清洗废水，经消毒设施预处理后直接进入</w:t>
                  </w:r>
                  <w:r>
                    <w:rPr>
                      <w:rFonts w:hint="eastAsia" w:cs="Times New Roman"/>
                      <w:snapToGrid w:val="0"/>
                      <w:color w:val="auto"/>
                      <w:kern w:val="2"/>
                      <w:sz w:val="21"/>
                      <w:szCs w:val="21"/>
                      <w:lang w:val="en-US" w:eastAsia="zh-CN" w:bidi="ar-SA"/>
                    </w:rPr>
                    <w:t>金科阳光小镇6期</w:t>
                  </w:r>
                  <w:r>
                    <w:rPr>
                      <w:rFonts w:hint="eastAsia" w:ascii="Times New Roman" w:hAnsi="Times New Roman" w:eastAsia="宋体" w:cs="Times New Roman"/>
                      <w:snapToGrid w:val="0"/>
                      <w:color w:val="auto"/>
                      <w:kern w:val="2"/>
                      <w:sz w:val="21"/>
                      <w:szCs w:val="21"/>
                      <w:lang w:val="en-US" w:eastAsia="zh-CN" w:bidi="ar-SA"/>
                    </w:rPr>
                    <w:t>生化池，犬粪便喷洒消毒剂后紧袋收集暂存于加盖垃圾桶，定期交由当地环卫部门进行处理。</w:t>
                  </w:r>
                </w:p>
              </w:tc>
              <w:tc>
                <w:tcPr>
                  <w:tcW w:w="818" w:type="dxa"/>
                  <w:tcBorders>
                    <w:tl2br w:val="nil"/>
                    <w:tr2bl w:val="nil"/>
                  </w:tcBorders>
                  <w:shd w:val="clear" w:color="auto" w:fill="auto"/>
                  <w:noWrap w:val="0"/>
                  <w:vAlign w:val="center"/>
                </w:tcPr>
                <w:p w14:paraId="1EB827C3">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526E3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0E524D3E">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828" w:type="dxa"/>
                  <w:gridSpan w:val="2"/>
                  <w:vMerge w:val="continue"/>
                  <w:tcBorders>
                    <w:tl2br w:val="nil"/>
                    <w:tr2bl w:val="nil"/>
                  </w:tcBorders>
                  <w:noWrap w:val="0"/>
                  <w:vAlign w:val="center"/>
                </w:tcPr>
                <w:p w14:paraId="681E0215">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color w:val="auto"/>
                      <w:sz w:val="21"/>
                      <w:highlight w:val="none"/>
                      <w:lang w:val="en-US" w:eastAsia="zh-CN"/>
                    </w:rPr>
                  </w:pPr>
                </w:p>
              </w:tc>
              <w:tc>
                <w:tcPr>
                  <w:tcW w:w="828" w:type="dxa"/>
                  <w:vMerge w:val="continue"/>
                  <w:tcBorders>
                    <w:tl2br w:val="nil"/>
                    <w:tr2bl w:val="nil"/>
                  </w:tcBorders>
                  <w:noWrap w:val="0"/>
                  <w:vAlign w:val="center"/>
                </w:tcPr>
                <w:p w14:paraId="4D6F64FA">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color w:val="auto"/>
                      <w:sz w:val="21"/>
                      <w:highlight w:val="none"/>
                      <w:lang w:val="en-US" w:eastAsia="zh-CN"/>
                    </w:rPr>
                  </w:pPr>
                </w:p>
              </w:tc>
              <w:tc>
                <w:tcPr>
                  <w:tcW w:w="5122" w:type="dxa"/>
                  <w:tcBorders>
                    <w:tl2br w:val="nil"/>
                    <w:tr2bl w:val="nil"/>
                  </w:tcBorders>
                  <w:shd w:val="clear" w:color="auto" w:fill="auto"/>
                  <w:noWrap w:val="0"/>
                  <w:vAlign w:val="center"/>
                </w:tcPr>
                <w:p w14:paraId="3B211142">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动物毛发：交环卫部门统一收运。</w:t>
                  </w:r>
                </w:p>
              </w:tc>
              <w:tc>
                <w:tcPr>
                  <w:tcW w:w="818" w:type="dxa"/>
                  <w:tcBorders>
                    <w:tl2br w:val="nil"/>
                    <w:tr2bl w:val="nil"/>
                  </w:tcBorders>
                  <w:shd w:val="clear" w:color="auto" w:fill="auto"/>
                  <w:noWrap w:val="0"/>
                  <w:vAlign w:val="center"/>
                </w:tcPr>
                <w:p w14:paraId="480D76D3">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2F4D6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46664086">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828" w:type="dxa"/>
                  <w:gridSpan w:val="2"/>
                  <w:vMerge w:val="continue"/>
                  <w:tcBorders>
                    <w:tl2br w:val="nil"/>
                    <w:tr2bl w:val="nil"/>
                  </w:tcBorders>
                  <w:noWrap w:val="0"/>
                  <w:vAlign w:val="center"/>
                </w:tcPr>
                <w:p w14:paraId="3CCC9688">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828" w:type="dxa"/>
                  <w:vMerge w:val="continue"/>
                  <w:tcBorders>
                    <w:tl2br w:val="nil"/>
                    <w:tr2bl w:val="nil"/>
                  </w:tcBorders>
                  <w:noWrap w:val="0"/>
                  <w:vAlign w:val="center"/>
                </w:tcPr>
                <w:p w14:paraId="18B58E0B">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5122" w:type="dxa"/>
                  <w:tcBorders>
                    <w:tl2br w:val="nil"/>
                    <w:tr2bl w:val="nil"/>
                  </w:tcBorders>
                  <w:shd w:val="clear" w:color="auto" w:fill="auto"/>
                  <w:noWrap w:val="0"/>
                  <w:vAlign w:val="center"/>
                </w:tcPr>
                <w:p w14:paraId="2682B72A">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动物尸体：动物尸体不在医院内暂存，产生后由顾客自行委托</w:t>
                  </w:r>
                  <w:r>
                    <w:rPr>
                      <w:rFonts w:hint="eastAsia" w:cs="Times New Roman"/>
                      <w:snapToGrid w:val="0"/>
                      <w:color w:val="auto"/>
                      <w:kern w:val="2"/>
                      <w:sz w:val="21"/>
                      <w:szCs w:val="21"/>
                      <w:lang w:val="en-US" w:eastAsia="zh-CN" w:bidi="ar-SA"/>
                    </w:rPr>
                    <w:t>有资质单位</w:t>
                  </w:r>
                  <w:r>
                    <w:rPr>
                      <w:rFonts w:hint="eastAsia" w:ascii="Times New Roman" w:hAnsi="Times New Roman" w:eastAsia="宋体" w:cs="Times New Roman"/>
                      <w:snapToGrid w:val="0"/>
                      <w:color w:val="auto"/>
                      <w:kern w:val="2"/>
                      <w:sz w:val="21"/>
                      <w:szCs w:val="21"/>
                      <w:lang w:val="en-US" w:eastAsia="zh-CN" w:bidi="ar-SA"/>
                    </w:rPr>
                    <w:t>进行无害化处理。</w:t>
                  </w:r>
                </w:p>
              </w:tc>
              <w:tc>
                <w:tcPr>
                  <w:tcW w:w="818" w:type="dxa"/>
                  <w:tcBorders>
                    <w:tl2br w:val="nil"/>
                    <w:tr2bl w:val="nil"/>
                  </w:tcBorders>
                  <w:shd w:val="clear" w:color="auto" w:fill="auto"/>
                  <w:noWrap w:val="0"/>
                  <w:vAlign w:val="center"/>
                </w:tcPr>
                <w:p w14:paraId="53E9CDB3">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5040B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694FFE45">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828" w:type="dxa"/>
                  <w:gridSpan w:val="2"/>
                  <w:vMerge w:val="continue"/>
                  <w:tcBorders>
                    <w:tl2br w:val="nil"/>
                    <w:tr2bl w:val="nil"/>
                  </w:tcBorders>
                  <w:noWrap w:val="0"/>
                  <w:vAlign w:val="center"/>
                </w:tcPr>
                <w:p w14:paraId="11A47B27">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828" w:type="dxa"/>
                  <w:vMerge w:val="continue"/>
                  <w:tcBorders>
                    <w:tl2br w:val="nil"/>
                    <w:tr2bl w:val="nil"/>
                  </w:tcBorders>
                  <w:noWrap w:val="0"/>
                  <w:vAlign w:val="center"/>
                </w:tcPr>
                <w:p w14:paraId="65373724">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5122" w:type="dxa"/>
                  <w:tcBorders>
                    <w:tl2br w:val="nil"/>
                    <w:tr2bl w:val="nil"/>
                  </w:tcBorders>
                  <w:shd w:val="clear" w:color="auto" w:fill="auto"/>
                  <w:noWrap w:val="0"/>
                  <w:vAlign w:val="center"/>
                </w:tcPr>
                <w:p w14:paraId="3397D4E5">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废包装材料：收集暂存于</w:t>
                  </w:r>
                  <w:r>
                    <w:rPr>
                      <w:rFonts w:hint="eastAsia" w:ascii="Times New Roman" w:hAnsi="Times New Roman" w:eastAsia="宋体" w:cs="Times New Roman"/>
                      <w:snapToGrid w:val="0"/>
                      <w:color w:val="auto"/>
                      <w:kern w:val="2"/>
                      <w:sz w:val="21"/>
                      <w:szCs w:val="21"/>
                      <w:lang w:val="en-US" w:eastAsia="zh-CN" w:bidi="ar-SA"/>
                    </w:rPr>
                    <w:t>收集箱</w:t>
                  </w:r>
                  <w:r>
                    <w:rPr>
                      <w:rFonts w:hint="default" w:ascii="Times New Roman" w:hAnsi="Times New Roman" w:eastAsia="宋体" w:cs="Times New Roman"/>
                      <w:snapToGrid w:val="0"/>
                      <w:color w:val="auto"/>
                      <w:kern w:val="2"/>
                      <w:sz w:val="21"/>
                      <w:szCs w:val="21"/>
                      <w:lang w:val="en-US" w:eastAsia="zh-CN" w:bidi="ar-SA"/>
                    </w:rPr>
                    <w:t>，定期外售给物资回收部门</w:t>
                  </w:r>
                  <w:r>
                    <w:rPr>
                      <w:rFonts w:hint="eastAsia" w:ascii="Times New Roman" w:hAnsi="Times New Roman" w:eastAsia="宋体" w:cs="Times New Roman"/>
                      <w:snapToGrid w:val="0"/>
                      <w:color w:val="auto"/>
                      <w:kern w:val="2"/>
                      <w:sz w:val="21"/>
                      <w:szCs w:val="21"/>
                      <w:lang w:val="en-US" w:eastAsia="zh-CN" w:bidi="ar-SA"/>
                    </w:rPr>
                    <w:t>。</w:t>
                  </w:r>
                </w:p>
              </w:tc>
              <w:tc>
                <w:tcPr>
                  <w:tcW w:w="818" w:type="dxa"/>
                  <w:tcBorders>
                    <w:tl2br w:val="nil"/>
                    <w:tr2bl w:val="nil"/>
                  </w:tcBorders>
                  <w:shd w:val="clear" w:color="auto" w:fill="auto"/>
                  <w:noWrap w:val="0"/>
                  <w:vAlign w:val="center"/>
                </w:tcPr>
                <w:p w14:paraId="128F244C">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4AAAB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76016379">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828" w:type="dxa"/>
                  <w:gridSpan w:val="2"/>
                  <w:vMerge w:val="continue"/>
                  <w:tcBorders>
                    <w:tl2br w:val="nil"/>
                    <w:tr2bl w:val="nil"/>
                  </w:tcBorders>
                  <w:noWrap w:val="0"/>
                  <w:vAlign w:val="center"/>
                </w:tcPr>
                <w:p w14:paraId="583566A1">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828" w:type="dxa"/>
                  <w:tcBorders>
                    <w:tl2br w:val="nil"/>
                    <w:tr2bl w:val="nil"/>
                  </w:tcBorders>
                  <w:noWrap w:val="0"/>
                  <w:vAlign w:val="center"/>
                </w:tcPr>
                <w:p w14:paraId="13FB3C11">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生活垃圾</w:t>
                  </w:r>
                </w:p>
              </w:tc>
              <w:tc>
                <w:tcPr>
                  <w:tcW w:w="5122" w:type="dxa"/>
                  <w:tcBorders>
                    <w:tl2br w:val="nil"/>
                    <w:tr2bl w:val="nil"/>
                  </w:tcBorders>
                  <w:shd w:val="clear" w:color="auto" w:fill="auto"/>
                  <w:noWrap w:val="0"/>
                  <w:vAlign w:val="center"/>
                </w:tcPr>
                <w:p w14:paraId="6F5A5D1D">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经院内垃圾桶收集后定期交由当地环卫部门处置</w:t>
                  </w:r>
                  <w:r>
                    <w:rPr>
                      <w:rFonts w:hint="eastAsia" w:ascii="Times New Roman" w:hAnsi="Times New Roman" w:eastAsia="宋体" w:cs="Times New Roman"/>
                      <w:snapToGrid w:val="0"/>
                      <w:color w:val="auto"/>
                      <w:kern w:val="2"/>
                      <w:sz w:val="21"/>
                      <w:szCs w:val="21"/>
                      <w:lang w:val="en-US" w:eastAsia="zh-CN" w:bidi="ar-SA"/>
                    </w:rPr>
                    <w:t>。</w:t>
                  </w:r>
                </w:p>
              </w:tc>
              <w:tc>
                <w:tcPr>
                  <w:tcW w:w="818" w:type="dxa"/>
                  <w:tcBorders>
                    <w:tl2br w:val="nil"/>
                    <w:tr2bl w:val="nil"/>
                  </w:tcBorders>
                  <w:shd w:val="clear" w:color="auto" w:fill="auto"/>
                  <w:noWrap w:val="0"/>
                  <w:vAlign w:val="center"/>
                </w:tcPr>
                <w:p w14:paraId="35234196">
                  <w:pPr>
                    <w:pStyle w:val="51"/>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已建</w:t>
                  </w:r>
                </w:p>
              </w:tc>
            </w:tr>
            <w:tr w14:paraId="4F6A7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57" w:type="dxa"/>
                  <w:vMerge w:val="continue"/>
                  <w:tcBorders>
                    <w:tl2br w:val="nil"/>
                    <w:tr2bl w:val="nil"/>
                  </w:tcBorders>
                  <w:noWrap w:val="0"/>
                  <w:vAlign w:val="center"/>
                </w:tcPr>
                <w:p w14:paraId="70C875BA">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p>
              </w:tc>
              <w:tc>
                <w:tcPr>
                  <w:tcW w:w="1656" w:type="dxa"/>
                  <w:gridSpan w:val="3"/>
                  <w:tcBorders>
                    <w:tl2br w:val="nil"/>
                    <w:tr2bl w:val="nil"/>
                  </w:tcBorders>
                  <w:noWrap w:val="0"/>
                  <w:vAlign w:val="center"/>
                </w:tcPr>
                <w:p w14:paraId="31750D9C">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5122" w:type="dxa"/>
                  <w:tcBorders>
                    <w:tl2br w:val="nil"/>
                    <w:tr2bl w:val="nil"/>
                  </w:tcBorders>
                  <w:noWrap w:val="0"/>
                  <w:vAlign w:val="center"/>
                </w:tcPr>
                <w:p w14:paraId="54EE6C8E">
                  <w:pPr>
                    <w:pStyle w:val="51"/>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选用低噪声诊疗设备</w:t>
                  </w:r>
                  <w:r>
                    <w:rPr>
                      <w:rFonts w:hint="eastAsia" w:ascii="Times New Roman" w:hAnsi="Times New Roman" w:eastAsia="宋体" w:cs="Times New Roman"/>
                      <w:color w:val="auto"/>
                      <w:sz w:val="21"/>
                      <w:lang w:eastAsia="zh-CN"/>
                    </w:rPr>
                    <w:t>，</w:t>
                  </w:r>
                  <w:r>
                    <w:rPr>
                      <w:rFonts w:hint="eastAsia" w:cs="Times New Roman"/>
                      <w:color w:val="auto"/>
                      <w:sz w:val="21"/>
                      <w:lang w:eastAsia="zh-CN"/>
                    </w:rPr>
                    <w:t>动物叫声</w:t>
                  </w:r>
                  <w:r>
                    <w:rPr>
                      <w:rFonts w:hint="default" w:ascii="Times New Roman" w:hAnsi="Times New Roman" w:eastAsia="宋体" w:cs="Times New Roman"/>
                      <w:color w:val="auto"/>
                      <w:sz w:val="21"/>
                      <w:lang w:eastAsia="zh-CN"/>
                    </w:rPr>
                    <w:t>采取加强管理的措施，避免宠物处于饥饿状态</w:t>
                  </w:r>
                  <w:r>
                    <w:rPr>
                      <w:rFonts w:hint="eastAsia" w:ascii="Times New Roman" w:hAnsi="Times New Roman" w:eastAsia="宋体" w:cs="Times New Roman"/>
                      <w:color w:val="auto"/>
                      <w:sz w:val="21"/>
                      <w:lang w:eastAsia="zh-CN"/>
                    </w:rPr>
                    <w:t>。</w:t>
                  </w:r>
                </w:p>
              </w:tc>
              <w:tc>
                <w:tcPr>
                  <w:tcW w:w="818" w:type="dxa"/>
                  <w:tcBorders>
                    <w:tl2br w:val="nil"/>
                    <w:tr2bl w:val="nil"/>
                  </w:tcBorders>
                  <w:noWrap w:val="0"/>
                  <w:vAlign w:val="center"/>
                </w:tcPr>
                <w:p w14:paraId="4FB99FA3">
                  <w:pPr>
                    <w:pStyle w:val="51"/>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snapToGrid w:val="0"/>
                      <w:color w:val="auto"/>
                      <w:kern w:val="2"/>
                      <w:sz w:val="21"/>
                      <w:szCs w:val="21"/>
                      <w:lang w:val="en-US" w:eastAsia="zh-CN" w:bidi="ar-SA"/>
                    </w:rPr>
                    <w:t>已建</w:t>
                  </w:r>
                </w:p>
              </w:tc>
            </w:tr>
          </w:tbl>
          <w:p w14:paraId="0779097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ascii="Times New Roman" w:hAnsi="Times New Roman" w:cs="Times New Roman"/>
                <w:b/>
                <w:bCs w:val="0"/>
                <w:color w:val="auto"/>
                <w:sz w:val="24"/>
                <w:szCs w:val="24"/>
                <w:highlight w:val="none"/>
                <w:vertAlign w:val="baseline"/>
                <w:lang w:val="en-US" w:eastAsia="zh-CN"/>
              </w:rPr>
            </w:pPr>
            <w:r>
              <w:rPr>
                <w:rFonts w:hint="eastAsia"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3</w:t>
            </w:r>
            <w:r>
              <w:rPr>
                <w:rFonts w:hint="eastAsia" w:ascii="Times New Roman" w:hAnsi="Times New Roman" w:cs="Times New Roman"/>
                <w:b/>
                <w:bCs w:val="0"/>
                <w:color w:val="auto"/>
                <w:sz w:val="24"/>
                <w:szCs w:val="24"/>
                <w:highlight w:val="none"/>
                <w:vertAlign w:val="baseline"/>
                <w:lang w:val="en-US" w:eastAsia="zh-CN"/>
              </w:rPr>
              <w:t>主要生产设备</w:t>
            </w:r>
          </w:p>
          <w:p w14:paraId="0F1AE4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项目主要生产设备详见表 2.</w:t>
            </w:r>
            <w:r>
              <w:rPr>
                <w:rFonts w:hint="eastAsia" w:cs="Times New Roman"/>
                <w:b w:val="0"/>
                <w:bCs/>
                <w:color w:val="auto"/>
                <w:sz w:val="24"/>
                <w:szCs w:val="24"/>
                <w:highlight w:val="none"/>
                <w:vertAlign w:val="baseline"/>
                <w:lang w:val="en-US" w:eastAsia="zh-CN"/>
              </w:rPr>
              <w:t>3</w:t>
            </w:r>
            <w:r>
              <w:rPr>
                <w:rFonts w:hint="default" w:ascii="Times New Roman" w:hAnsi="Times New Roman" w:cs="Times New Roman"/>
                <w:b w:val="0"/>
                <w:bCs/>
                <w:color w:val="auto"/>
                <w:sz w:val="24"/>
                <w:szCs w:val="24"/>
                <w:highlight w:val="none"/>
                <w:vertAlign w:val="baseline"/>
                <w:lang w:val="en-US" w:eastAsia="zh-CN"/>
              </w:rPr>
              <w:t>-1。</w:t>
            </w:r>
          </w:p>
          <w:p w14:paraId="6E39F38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表 2.</w:t>
            </w:r>
            <w:r>
              <w:rPr>
                <w:rFonts w:hint="eastAsia" w:cs="Times New Roman"/>
                <w:b w:val="0"/>
                <w:bCs/>
                <w:color w:val="auto"/>
                <w:sz w:val="21"/>
                <w:szCs w:val="21"/>
                <w:highlight w:val="none"/>
                <w:vertAlign w:val="baseline"/>
                <w:lang w:val="en-US" w:eastAsia="zh-CN"/>
              </w:rPr>
              <w:t>3</w:t>
            </w:r>
            <w:r>
              <w:rPr>
                <w:rFonts w:hint="default" w:ascii="Times New Roman" w:hAnsi="Times New Roman" w:cs="Times New Roman"/>
                <w:b w:val="0"/>
                <w:bCs/>
                <w:color w:val="auto"/>
                <w:sz w:val="21"/>
                <w:szCs w:val="21"/>
                <w:highlight w:val="none"/>
                <w:vertAlign w:val="baseline"/>
                <w:lang w:val="en-US" w:eastAsia="zh-CN"/>
              </w:rPr>
              <w:t>-1项目主要生产设备一览表</w:t>
            </w:r>
          </w:p>
          <w:tbl>
            <w:tblPr>
              <w:tblStyle w:val="22"/>
              <w:tblW w:w="82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845"/>
              <w:gridCol w:w="2364"/>
              <w:gridCol w:w="1893"/>
              <w:gridCol w:w="824"/>
              <w:gridCol w:w="796"/>
              <w:gridCol w:w="816"/>
            </w:tblGrid>
            <w:tr w14:paraId="0718C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tcBorders>
                    <w:tl2br w:val="nil"/>
                    <w:tr2bl w:val="nil"/>
                  </w:tcBorders>
                  <w:vAlign w:val="center"/>
                </w:tcPr>
                <w:p w14:paraId="2E23A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序号</w:t>
                  </w:r>
                </w:p>
              </w:tc>
              <w:tc>
                <w:tcPr>
                  <w:tcW w:w="845" w:type="dxa"/>
                  <w:tcBorders>
                    <w:tl2br w:val="nil"/>
                    <w:tr2bl w:val="nil"/>
                  </w:tcBorders>
                  <w:vAlign w:val="center"/>
                </w:tcPr>
                <w:p w14:paraId="0CD46F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c>
                <w:tcPr>
                  <w:tcW w:w="2364" w:type="dxa"/>
                  <w:tcBorders>
                    <w:tl2br w:val="nil"/>
                    <w:tr2bl w:val="nil"/>
                  </w:tcBorders>
                  <w:vAlign w:val="center"/>
                </w:tcPr>
                <w:p w14:paraId="491BEF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设备名称</w:t>
                  </w:r>
                </w:p>
              </w:tc>
              <w:tc>
                <w:tcPr>
                  <w:tcW w:w="1893" w:type="dxa"/>
                  <w:tcBorders>
                    <w:tl2br w:val="nil"/>
                    <w:tr2bl w:val="nil"/>
                  </w:tcBorders>
                  <w:vAlign w:val="center"/>
                </w:tcPr>
                <w:p w14:paraId="50F3A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规格型号</w:t>
                  </w:r>
                </w:p>
              </w:tc>
              <w:tc>
                <w:tcPr>
                  <w:tcW w:w="824" w:type="dxa"/>
                  <w:tcBorders>
                    <w:tl2br w:val="nil"/>
                    <w:tr2bl w:val="nil"/>
                  </w:tcBorders>
                  <w:vAlign w:val="center"/>
                </w:tcPr>
                <w:p w14:paraId="1316A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tc>
              <w:tc>
                <w:tcPr>
                  <w:tcW w:w="796" w:type="dxa"/>
                  <w:tcBorders>
                    <w:tl2br w:val="nil"/>
                    <w:tr2bl w:val="nil"/>
                  </w:tcBorders>
                  <w:vAlign w:val="center"/>
                </w:tcPr>
                <w:p w14:paraId="166D9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数量</w:t>
                  </w:r>
                </w:p>
              </w:tc>
              <w:tc>
                <w:tcPr>
                  <w:tcW w:w="816" w:type="dxa"/>
                  <w:tcBorders>
                    <w:tl2br w:val="nil"/>
                    <w:tr2bl w:val="nil"/>
                  </w:tcBorders>
                  <w:vAlign w:val="center"/>
                </w:tcPr>
                <w:p w14:paraId="420AA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备注</w:t>
                  </w:r>
                </w:p>
              </w:tc>
            </w:tr>
            <w:tr w14:paraId="6A704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tcBorders>
                    <w:tl2br w:val="nil"/>
                    <w:tr2bl w:val="nil"/>
                  </w:tcBorders>
                  <w:vAlign w:val="center"/>
                </w:tcPr>
                <w:p w14:paraId="46A790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845" w:type="dxa"/>
                  <w:tcBorders>
                    <w:tl2br w:val="nil"/>
                    <w:tr2bl w:val="nil"/>
                  </w:tcBorders>
                  <w:vAlign w:val="center"/>
                </w:tcPr>
                <w:p w14:paraId="2709B5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DR室</w:t>
                  </w:r>
                </w:p>
              </w:tc>
              <w:tc>
                <w:tcPr>
                  <w:tcW w:w="2364" w:type="dxa"/>
                  <w:tcBorders>
                    <w:tl2br w:val="nil"/>
                    <w:tr2bl w:val="nil"/>
                  </w:tcBorders>
                  <w:shd w:val="clear" w:color="auto" w:fill="auto"/>
                  <w:vAlign w:val="center"/>
                </w:tcPr>
                <w:p w14:paraId="2DA862B2">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动物专用数字化x射线摄影系统</w:t>
                  </w:r>
                </w:p>
              </w:tc>
              <w:tc>
                <w:tcPr>
                  <w:tcW w:w="1893" w:type="dxa"/>
                  <w:tcBorders>
                    <w:tl2br w:val="nil"/>
                    <w:tr2bl w:val="nil"/>
                  </w:tcBorders>
                  <w:shd w:val="clear" w:color="auto" w:fill="auto"/>
                  <w:vAlign w:val="center"/>
                </w:tcPr>
                <w:p w14:paraId="633F201C">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图腾</w:t>
                  </w:r>
                  <w:r>
                    <w:rPr>
                      <w:rFonts w:hint="default" w:ascii="Times New Roman" w:hAnsi="Times New Roman" w:eastAsia="宋体"/>
                      <w:color w:val="auto"/>
                      <w:sz w:val="21"/>
                      <w:lang w:val="en-US" w:eastAsia="zh-CN"/>
                    </w:rPr>
                    <w:t>TUTOM100-2013</w:t>
                  </w:r>
                  <w:r>
                    <w:rPr>
                      <w:rFonts w:hint="eastAsia" w:ascii="Times New Roman" w:hAnsi="Times New Roman" w:eastAsia="宋体"/>
                      <w:color w:val="auto"/>
                      <w:kern w:val="0"/>
                      <w:sz w:val="21"/>
                      <w:szCs w:val="21"/>
                      <w:lang w:eastAsia="zh-CN"/>
                    </w:rPr>
                    <w:t>i</w:t>
                  </w:r>
                </w:p>
              </w:tc>
              <w:tc>
                <w:tcPr>
                  <w:tcW w:w="824" w:type="dxa"/>
                  <w:tcBorders>
                    <w:tl2br w:val="nil"/>
                    <w:tr2bl w:val="nil"/>
                  </w:tcBorders>
                  <w:shd w:val="clear" w:color="auto" w:fill="auto"/>
                  <w:vAlign w:val="center"/>
                </w:tcPr>
                <w:p w14:paraId="0C0C3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tcBorders>
                    <w:tl2br w:val="nil"/>
                    <w:tr2bl w:val="nil"/>
                  </w:tcBorders>
                  <w:shd w:val="clear" w:color="auto" w:fill="auto"/>
                  <w:vAlign w:val="center"/>
                </w:tcPr>
                <w:p w14:paraId="1665FA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tcBorders>
                    <w:tl2br w:val="nil"/>
                    <w:tr2bl w:val="nil"/>
                  </w:tcBorders>
                  <w:shd w:val="clear" w:color="auto" w:fill="auto"/>
                  <w:vAlign w:val="center"/>
                </w:tcPr>
                <w:p w14:paraId="53C1DB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5A2E3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tcBorders>
                    <w:tl2br w:val="nil"/>
                    <w:tr2bl w:val="nil"/>
                  </w:tcBorders>
                  <w:shd w:val="clear" w:color="auto" w:fill="auto"/>
                  <w:vAlign w:val="center"/>
                </w:tcPr>
                <w:p w14:paraId="21D9E7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w:t>
                  </w:r>
                </w:p>
              </w:tc>
              <w:tc>
                <w:tcPr>
                  <w:tcW w:w="845" w:type="dxa"/>
                  <w:vMerge w:val="restart"/>
                  <w:tcBorders>
                    <w:tl2br w:val="nil"/>
                    <w:tr2bl w:val="nil"/>
                  </w:tcBorders>
                  <w:vAlign w:val="center"/>
                </w:tcPr>
                <w:p w14:paraId="5E8513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化验室</w:t>
                  </w:r>
                </w:p>
              </w:tc>
              <w:tc>
                <w:tcPr>
                  <w:tcW w:w="2364" w:type="dxa"/>
                  <w:tcBorders>
                    <w:tl2br w:val="nil"/>
                    <w:tr2bl w:val="nil"/>
                  </w:tcBorders>
                  <w:shd w:val="clear" w:color="auto" w:fill="auto"/>
                  <w:vAlign w:val="center"/>
                </w:tcPr>
                <w:p w14:paraId="74ABAEE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rPr>
                    <w:t>显微镜</w:t>
                  </w:r>
                </w:p>
              </w:tc>
              <w:tc>
                <w:tcPr>
                  <w:tcW w:w="1893" w:type="dxa"/>
                  <w:tcBorders>
                    <w:tl2br w:val="nil"/>
                    <w:tr2bl w:val="nil"/>
                  </w:tcBorders>
                  <w:shd w:val="clear" w:color="auto" w:fill="auto"/>
                  <w:vAlign w:val="center"/>
                </w:tcPr>
                <w:p w14:paraId="2EA3497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安侣</w:t>
                  </w:r>
                </w:p>
              </w:tc>
              <w:tc>
                <w:tcPr>
                  <w:tcW w:w="824" w:type="dxa"/>
                  <w:tcBorders>
                    <w:tl2br w:val="nil"/>
                    <w:tr2bl w:val="nil"/>
                  </w:tcBorders>
                  <w:shd w:val="clear" w:color="auto" w:fill="auto"/>
                  <w:vAlign w:val="center"/>
                </w:tcPr>
                <w:p w14:paraId="1DD5E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tcBorders>
                    <w:tl2br w:val="nil"/>
                    <w:tr2bl w:val="nil"/>
                  </w:tcBorders>
                  <w:shd w:val="clear" w:color="auto" w:fill="auto"/>
                  <w:vAlign w:val="center"/>
                </w:tcPr>
                <w:p w14:paraId="2FDA90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tcBorders>
                    <w:tl2br w:val="nil"/>
                    <w:tr2bl w:val="nil"/>
                  </w:tcBorders>
                  <w:shd w:val="clear" w:color="auto" w:fill="auto"/>
                  <w:vAlign w:val="center"/>
                </w:tcPr>
                <w:p w14:paraId="3E5D09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43ACF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75A3CB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845" w:type="dxa"/>
                  <w:vMerge w:val="continue"/>
                  <w:vAlign w:val="center"/>
                </w:tcPr>
                <w:p w14:paraId="6A1FB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2DD3778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干式荧光免疫分析仪</w:t>
                  </w:r>
                </w:p>
              </w:tc>
              <w:tc>
                <w:tcPr>
                  <w:tcW w:w="1893" w:type="dxa"/>
                  <w:shd w:val="clear" w:color="auto" w:fill="auto"/>
                  <w:vAlign w:val="center"/>
                </w:tcPr>
                <w:p w14:paraId="436BAA7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DB-TRFR-100</w:t>
                  </w:r>
                </w:p>
              </w:tc>
              <w:tc>
                <w:tcPr>
                  <w:tcW w:w="824" w:type="dxa"/>
                  <w:shd w:val="clear" w:color="auto" w:fill="auto"/>
                  <w:vAlign w:val="center"/>
                </w:tcPr>
                <w:p w14:paraId="0C9349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0AF4B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3B9EC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47E84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2CCA19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845" w:type="dxa"/>
                  <w:vMerge w:val="continue"/>
                  <w:vAlign w:val="center"/>
                </w:tcPr>
                <w:p w14:paraId="7842E3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0A5761E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荧光免疫分析</w:t>
                  </w:r>
                </w:p>
              </w:tc>
              <w:tc>
                <w:tcPr>
                  <w:tcW w:w="1893" w:type="dxa"/>
                  <w:shd w:val="clear" w:color="auto" w:fill="auto"/>
                  <w:vAlign w:val="center"/>
                </w:tcPr>
                <w:p w14:paraId="0A1A313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FiDX</w:t>
                  </w:r>
                </w:p>
              </w:tc>
              <w:tc>
                <w:tcPr>
                  <w:tcW w:w="824" w:type="dxa"/>
                  <w:shd w:val="clear" w:color="auto" w:fill="auto"/>
                  <w:vAlign w:val="center"/>
                </w:tcPr>
                <w:p w14:paraId="35A2E9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648B8B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123B9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11709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19E67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845" w:type="dxa"/>
                  <w:vMerge w:val="continue"/>
                  <w:vAlign w:val="center"/>
                </w:tcPr>
                <w:p w14:paraId="5057CB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34CED9C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便携式实时荧光定量PCR仪</w:t>
                  </w:r>
                </w:p>
              </w:tc>
              <w:tc>
                <w:tcPr>
                  <w:tcW w:w="1893" w:type="dxa"/>
                  <w:shd w:val="clear" w:color="auto" w:fill="auto"/>
                  <w:vAlign w:val="center"/>
                </w:tcPr>
                <w:p w14:paraId="0668C85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GZ-8PIUs</w:t>
                  </w:r>
                </w:p>
              </w:tc>
              <w:tc>
                <w:tcPr>
                  <w:tcW w:w="824" w:type="dxa"/>
                  <w:shd w:val="clear" w:color="auto" w:fill="auto"/>
                  <w:vAlign w:val="center"/>
                </w:tcPr>
                <w:p w14:paraId="41FE04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164F7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5B1A0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42394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779951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845" w:type="dxa"/>
                  <w:vMerge w:val="continue"/>
                  <w:vAlign w:val="center"/>
                </w:tcPr>
                <w:p w14:paraId="71C673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5BB291B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lang w:val="en-US" w:eastAsia="zh-CN"/>
                    </w:rPr>
                    <w:t>核酸</w:t>
                  </w:r>
                  <w:r>
                    <w:rPr>
                      <w:rFonts w:hint="default" w:ascii="Times New Roman" w:hAnsi="Times New Roman" w:eastAsia="宋体"/>
                      <w:color w:val="auto"/>
                      <w:sz w:val="21"/>
                      <w:lang w:val="en-US" w:eastAsia="zh-CN"/>
                    </w:rPr>
                    <w:t>提取仪</w:t>
                  </w:r>
                </w:p>
              </w:tc>
              <w:tc>
                <w:tcPr>
                  <w:tcW w:w="1893" w:type="dxa"/>
                  <w:shd w:val="clear" w:color="auto" w:fill="auto"/>
                  <w:vAlign w:val="center"/>
                </w:tcPr>
                <w:p w14:paraId="417E2D4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GZ-NP2</w:t>
                  </w:r>
                </w:p>
              </w:tc>
              <w:tc>
                <w:tcPr>
                  <w:tcW w:w="824" w:type="dxa"/>
                  <w:shd w:val="clear" w:color="auto" w:fill="auto"/>
                  <w:vAlign w:val="center"/>
                </w:tcPr>
                <w:p w14:paraId="1C13C7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5C4E23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23721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150E6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28D2E0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845" w:type="dxa"/>
                  <w:vMerge w:val="continue"/>
                  <w:vAlign w:val="center"/>
                </w:tcPr>
                <w:p w14:paraId="2EA0BF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4EDB1E6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lang w:eastAsia="zh-CN"/>
                    </w:rPr>
                    <w:t>全自动</w:t>
                  </w:r>
                  <w:r>
                    <w:rPr>
                      <w:rFonts w:hint="eastAsia" w:ascii="Times New Roman" w:hAnsi="Times New Roman" w:eastAsia="宋体"/>
                      <w:color w:val="auto"/>
                      <w:sz w:val="21"/>
                      <w:lang w:eastAsia="zh-CN"/>
                    </w:rPr>
                    <w:t>生化分析仪</w:t>
                  </w:r>
                </w:p>
              </w:tc>
              <w:tc>
                <w:tcPr>
                  <w:tcW w:w="1893" w:type="dxa"/>
                  <w:shd w:val="clear" w:color="auto" w:fill="auto"/>
                  <w:vAlign w:val="center"/>
                </w:tcPr>
                <w:p w14:paraId="2222B28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val="en-US" w:eastAsia="zh-CN"/>
                    </w:rPr>
                    <w:t>基灵</w:t>
                  </w:r>
                </w:p>
              </w:tc>
              <w:tc>
                <w:tcPr>
                  <w:tcW w:w="824" w:type="dxa"/>
                  <w:shd w:val="clear" w:color="auto" w:fill="auto"/>
                  <w:vAlign w:val="center"/>
                </w:tcPr>
                <w:p w14:paraId="679B31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40B6B3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3E9F44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3A08C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1CE12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845" w:type="dxa"/>
                  <w:vMerge w:val="continue"/>
                  <w:vAlign w:val="center"/>
                </w:tcPr>
                <w:p w14:paraId="12A74A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212B193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微流控核酸分析系统</w:t>
                  </w:r>
                </w:p>
              </w:tc>
              <w:tc>
                <w:tcPr>
                  <w:tcW w:w="1893" w:type="dxa"/>
                  <w:shd w:val="clear" w:color="auto" w:fill="auto"/>
                  <w:vAlign w:val="center"/>
                </w:tcPr>
                <w:p w14:paraId="15B8F3A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rPr>
                    <w:t>S1006</w:t>
                  </w:r>
                </w:p>
              </w:tc>
              <w:tc>
                <w:tcPr>
                  <w:tcW w:w="824" w:type="dxa"/>
                  <w:shd w:val="clear" w:color="auto" w:fill="auto"/>
                  <w:vAlign w:val="center"/>
                </w:tcPr>
                <w:p w14:paraId="5F414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6EB939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1CAD1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5C427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1D8E4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845" w:type="dxa"/>
                  <w:vMerge w:val="continue"/>
                  <w:vAlign w:val="center"/>
                </w:tcPr>
                <w:p w14:paraId="2D17DC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57F0091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离心机</w:t>
                  </w:r>
                </w:p>
              </w:tc>
              <w:tc>
                <w:tcPr>
                  <w:tcW w:w="1893" w:type="dxa"/>
                  <w:shd w:val="clear" w:color="auto" w:fill="auto"/>
                  <w:vAlign w:val="center"/>
                </w:tcPr>
                <w:p w14:paraId="05E9023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olor w:val="auto"/>
                      <w:sz w:val="21"/>
                      <w:lang w:val="en-US" w:eastAsia="zh-CN"/>
                    </w:rPr>
                    <w:t>80-1</w:t>
                  </w:r>
                </w:p>
              </w:tc>
              <w:tc>
                <w:tcPr>
                  <w:tcW w:w="824" w:type="dxa"/>
                  <w:shd w:val="clear" w:color="auto" w:fill="auto"/>
                  <w:vAlign w:val="center"/>
                </w:tcPr>
                <w:p w14:paraId="7C1A66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333F0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296AF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031F2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060826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845" w:type="dxa"/>
                  <w:vMerge w:val="continue"/>
                  <w:vAlign w:val="center"/>
                </w:tcPr>
                <w:p w14:paraId="72B482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1EFCFCA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全自动</w:t>
                  </w:r>
                  <w:r>
                    <w:rPr>
                      <w:rFonts w:hint="eastAsia" w:ascii="Times New Roman" w:hAnsi="Times New Roman" w:eastAsia="宋体"/>
                      <w:color w:val="auto"/>
                      <w:sz w:val="21"/>
                      <w:lang w:val="en-US" w:eastAsia="zh-CN"/>
                    </w:rPr>
                    <w:t>生化分析仪</w:t>
                  </w:r>
                </w:p>
              </w:tc>
              <w:tc>
                <w:tcPr>
                  <w:tcW w:w="1893" w:type="dxa"/>
                  <w:shd w:val="clear" w:color="auto" w:fill="auto"/>
                  <w:vAlign w:val="center"/>
                </w:tcPr>
                <w:p w14:paraId="6A9509D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lang w:eastAsia="zh-CN"/>
                    </w:rPr>
                    <w:t>CelercareV5</w:t>
                  </w:r>
                </w:p>
              </w:tc>
              <w:tc>
                <w:tcPr>
                  <w:tcW w:w="824" w:type="dxa"/>
                  <w:shd w:val="clear" w:color="auto" w:fill="auto"/>
                  <w:vAlign w:val="center"/>
                </w:tcPr>
                <w:p w14:paraId="5EAB12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237C4F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50DA5F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31B3C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69CDEC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11</w:t>
                  </w:r>
                </w:p>
              </w:tc>
              <w:tc>
                <w:tcPr>
                  <w:tcW w:w="845" w:type="dxa"/>
                  <w:vMerge w:val="continue"/>
                  <w:vAlign w:val="center"/>
                </w:tcPr>
                <w:p w14:paraId="7E985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6FE295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lang w:val="en-US" w:eastAsia="zh-CN"/>
                    </w:rPr>
                    <w:t>血液细胞</w:t>
                  </w:r>
                  <w:r>
                    <w:rPr>
                      <w:rFonts w:hint="eastAsia" w:ascii="Times New Roman" w:hAnsi="Times New Roman" w:eastAsia="宋体"/>
                      <w:color w:val="auto"/>
                      <w:sz w:val="21"/>
                      <w:lang w:eastAsia="zh-CN"/>
                    </w:rPr>
                    <w:t>分析仪</w:t>
                  </w:r>
                </w:p>
              </w:tc>
              <w:tc>
                <w:tcPr>
                  <w:tcW w:w="1893" w:type="dxa"/>
                  <w:shd w:val="clear" w:color="auto" w:fill="auto"/>
                  <w:vAlign w:val="center"/>
                </w:tcPr>
                <w:p w14:paraId="610600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lang w:val="en-US" w:eastAsia="zh-CN"/>
                    </w:rPr>
                    <w:t>迈瑞</w:t>
                  </w:r>
                  <w:r>
                    <w:rPr>
                      <w:rFonts w:hint="default" w:ascii="Times New Roman" w:hAnsi="Times New Roman" w:eastAsia="宋体"/>
                      <w:color w:val="auto"/>
                      <w:sz w:val="21"/>
                      <w:lang w:val="en-US" w:eastAsia="zh-CN"/>
                    </w:rPr>
                    <w:t>bc30vet</w:t>
                  </w:r>
                </w:p>
              </w:tc>
              <w:tc>
                <w:tcPr>
                  <w:tcW w:w="824" w:type="dxa"/>
                  <w:shd w:val="clear" w:color="auto" w:fill="auto"/>
                  <w:vAlign w:val="center"/>
                </w:tcPr>
                <w:p w14:paraId="00C60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2885C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14874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3C1D8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5A8D3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12</w:t>
                  </w:r>
                </w:p>
              </w:tc>
              <w:tc>
                <w:tcPr>
                  <w:tcW w:w="845" w:type="dxa"/>
                  <w:vMerge w:val="continue"/>
                  <w:vAlign w:val="center"/>
                </w:tcPr>
                <w:p w14:paraId="5B638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36B6EDE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w:t>
                  </w:r>
                  <w:r>
                    <w:rPr>
                      <w:rFonts w:hint="eastAsia" w:ascii="Times New Roman" w:hAnsi="Times New Roman" w:eastAsia="宋体"/>
                      <w:color w:val="auto"/>
                      <w:kern w:val="0"/>
                      <w:sz w:val="21"/>
                      <w:szCs w:val="21"/>
                      <w:lang w:val="en-US" w:eastAsia="zh-CN"/>
                    </w:rPr>
                    <w:t>#消毒设施</w:t>
                  </w:r>
                </w:p>
              </w:tc>
              <w:tc>
                <w:tcPr>
                  <w:tcW w:w="1893" w:type="dxa"/>
                  <w:shd w:val="clear" w:color="auto" w:fill="auto"/>
                  <w:vAlign w:val="center"/>
                </w:tcPr>
                <w:p w14:paraId="637E2D0A">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50L</w:t>
                  </w:r>
                </w:p>
              </w:tc>
              <w:tc>
                <w:tcPr>
                  <w:tcW w:w="824" w:type="dxa"/>
                  <w:shd w:val="clear" w:color="auto" w:fill="auto"/>
                  <w:vAlign w:val="center"/>
                </w:tcPr>
                <w:p w14:paraId="4195CF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42E76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6C69C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3368C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shd w:val="clear" w:color="auto" w:fill="auto"/>
                  <w:vAlign w:val="center"/>
                </w:tcPr>
                <w:p w14:paraId="76D16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13</w:t>
                  </w:r>
                </w:p>
              </w:tc>
              <w:tc>
                <w:tcPr>
                  <w:tcW w:w="845" w:type="dxa"/>
                  <w:vAlign w:val="center"/>
                </w:tcPr>
                <w:p w14:paraId="71017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诊室</w:t>
                  </w:r>
                </w:p>
              </w:tc>
              <w:tc>
                <w:tcPr>
                  <w:tcW w:w="2364" w:type="dxa"/>
                  <w:shd w:val="clear" w:color="auto" w:fill="auto"/>
                  <w:vAlign w:val="center"/>
                </w:tcPr>
                <w:p w14:paraId="32EE42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kern w:val="0"/>
                      <w:sz w:val="21"/>
                      <w:szCs w:val="21"/>
                      <w:lang w:val="en-US" w:eastAsia="zh-CN"/>
                    </w:rPr>
                  </w:pPr>
                  <w:r>
                    <w:rPr>
                      <w:rFonts w:hint="eastAsia" w:ascii="Times New Roman" w:hAnsi="Times New Roman" w:eastAsia="宋体"/>
                      <w:color w:val="auto"/>
                      <w:sz w:val="21"/>
                      <w:lang w:eastAsia="zh-CN"/>
                    </w:rPr>
                    <w:t>全数字兽用彩色超声诊断系统</w:t>
                  </w:r>
                </w:p>
              </w:tc>
              <w:tc>
                <w:tcPr>
                  <w:tcW w:w="1893" w:type="dxa"/>
                  <w:shd w:val="clear" w:color="auto" w:fill="auto"/>
                  <w:vAlign w:val="center"/>
                </w:tcPr>
                <w:p w14:paraId="6BA3BD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kern w:val="0"/>
                      <w:sz w:val="21"/>
                      <w:szCs w:val="21"/>
                      <w:lang w:val="en-US" w:eastAsia="zh-CN"/>
                    </w:rPr>
                  </w:pPr>
                  <w:r>
                    <w:rPr>
                      <w:rFonts w:hint="default" w:ascii="Times New Roman" w:hAnsi="Times New Roman" w:eastAsia="宋体"/>
                      <w:color w:val="auto"/>
                      <w:sz w:val="21"/>
                      <w:lang w:val="en-US" w:eastAsia="zh-CN"/>
                    </w:rPr>
                    <w:t>vetus5-vet</w:t>
                  </w:r>
                </w:p>
              </w:tc>
              <w:tc>
                <w:tcPr>
                  <w:tcW w:w="824" w:type="dxa"/>
                  <w:shd w:val="clear" w:color="auto" w:fill="auto"/>
                  <w:vAlign w:val="center"/>
                </w:tcPr>
                <w:p w14:paraId="0C45CE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6367C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03D16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740A1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7110AB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r>
                    <w:rPr>
                      <w:rFonts w:hint="eastAsia" w:cs="Times New Roman"/>
                      <w:b w:val="0"/>
                      <w:bCs/>
                      <w:color w:val="auto"/>
                      <w:sz w:val="21"/>
                      <w:szCs w:val="21"/>
                      <w:highlight w:val="none"/>
                      <w:vertAlign w:val="baseline"/>
                      <w:lang w:val="en-US" w:eastAsia="zh-CN"/>
                    </w:rPr>
                    <w:t>4</w:t>
                  </w:r>
                </w:p>
              </w:tc>
              <w:tc>
                <w:tcPr>
                  <w:tcW w:w="845" w:type="dxa"/>
                  <w:vMerge w:val="restart"/>
                  <w:vAlign w:val="center"/>
                </w:tcPr>
                <w:p w14:paraId="758E17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手术室</w:t>
                  </w:r>
                </w:p>
              </w:tc>
              <w:tc>
                <w:tcPr>
                  <w:tcW w:w="2364" w:type="dxa"/>
                  <w:shd w:val="clear" w:color="auto" w:fill="auto"/>
                  <w:vAlign w:val="center"/>
                </w:tcPr>
                <w:p w14:paraId="4A8535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 w:val="21"/>
                      <w:lang w:eastAsia="zh-CN"/>
                    </w:rPr>
                    <w:t>监护仪ICU</w:t>
                  </w:r>
                </w:p>
              </w:tc>
              <w:tc>
                <w:tcPr>
                  <w:tcW w:w="1893" w:type="dxa"/>
                  <w:shd w:val="clear" w:color="auto" w:fill="auto"/>
                  <w:vAlign w:val="center"/>
                </w:tcPr>
                <w:p w14:paraId="111366A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QqPET</w:t>
                  </w:r>
                </w:p>
              </w:tc>
              <w:tc>
                <w:tcPr>
                  <w:tcW w:w="824" w:type="dxa"/>
                  <w:shd w:val="clear" w:color="auto" w:fill="auto"/>
                  <w:vAlign w:val="center"/>
                </w:tcPr>
                <w:p w14:paraId="06896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029D9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471775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现有</w:t>
                  </w:r>
                </w:p>
              </w:tc>
            </w:tr>
            <w:tr w14:paraId="4CF9C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03D2A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w:t>
                  </w:r>
                </w:p>
              </w:tc>
              <w:tc>
                <w:tcPr>
                  <w:tcW w:w="845" w:type="dxa"/>
                  <w:vMerge w:val="continue"/>
                  <w:vAlign w:val="center"/>
                </w:tcPr>
                <w:p w14:paraId="5E210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1F20D9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sz w:val="21"/>
                      <w:lang w:eastAsia="zh-CN"/>
                    </w:rPr>
                    <w:t>多参数监护仪</w:t>
                  </w:r>
                </w:p>
              </w:tc>
              <w:tc>
                <w:tcPr>
                  <w:tcW w:w="1893" w:type="dxa"/>
                  <w:shd w:val="clear" w:color="auto" w:fill="auto"/>
                  <w:vAlign w:val="center"/>
                </w:tcPr>
                <w:p w14:paraId="154957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sz w:val="21"/>
                      <w:lang w:val="en-US" w:eastAsia="zh-CN"/>
                    </w:rPr>
                    <w:t>迈瑞</w:t>
                  </w:r>
                  <w:r>
                    <w:rPr>
                      <w:rFonts w:hint="default" w:ascii="Times New Roman" w:hAnsi="Times New Roman" w:eastAsia="宋体"/>
                      <w:color w:val="auto"/>
                      <w:sz w:val="21"/>
                      <w:lang w:val="en-US" w:eastAsia="zh-CN"/>
                    </w:rPr>
                    <w:t>uMEC</w:t>
                  </w:r>
                  <w:r>
                    <w:rPr>
                      <w:rFonts w:hint="eastAsia" w:ascii="Times New Roman" w:hAnsi="Times New Roman" w:eastAsia="宋体"/>
                      <w:color w:val="auto"/>
                      <w:sz w:val="21"/>
                      <w:lang w:val="en-US" w:eastAsia="zh-CN"/>
                    </w:rPr>
                    <w:t>12vet</w:t>
                  </w:r>
                </w:p>
              </w:tc>
              <w:tc>
                <w:tcPr>
                  <w:tcW w:w="824" w:type="dxa"/>
                  <w:shd w:val="clear" w:color="auto" w:fill="auto"/>
                  <w:vAlign w:val="center"/>
                </w:tcPr>
                <w:p w14:paraId="65B6A0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套</w:t>
                  </w:r>
                </w:p>
              </w:tc>
              <w:tc>
                <w:tcPr>
                  <w:tcW w:w="796" w:type="dxa"/>
                  <w:shd w:val="clear" w:color="auto" w:fill="auto"/>
                  <w:vAlign w:val="center"/>
                </w:tcPr>
                <w:p w14:paraId="33C0D0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359E16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新增</w:t>
                  </w:r>
                </w:p>
              </w:tc>
            </w:tr>
            <w:tr w14:paraId="4FF46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7102A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16</w:t>
                  </w:r>
                </w:p>
              </w:tc>
              <w:tc>
                <w:tcPr>
                  <w:tcW w:w="845" w:type="dxa"/>
                  <w:vMerge w:val="continue"/>
                  <w:vAlign w:val="center"/>
                </w:tcPr>
                <w:p w14:paraId="3D6000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627DB6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sz w:val="21"/>
                      <w:lang w:eastAsia="zh-CN"/>
                    </w:rPr>
                    <w:t>动物麻醉机</w:t>
                  </w:r>
                </w:p>
              </w:tc>
              <w:tc>
                <w:tcPr>
                  <w:tcW w:w="1893" w:type="dxa"/>
                  <w:shd w:val="clear" w:color="auto" w:fill="auto"/>
                  <w:vAlign w:val="center"/>
                </w:tcPr>
                <w:p w14:paraId="49CB5C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sz w:val="21"/>
                      <w:lang w:val="en-US" w:eastAsia="zh-CN"/>
                    </w:rPr>
                    <w:t>mai迈瑞</w:t>
                  </w:r>
                  <w:r>
                    <w:rPr>
                      <w:rFonts w:hint="default" w:ascii="Times New Roman" w:hAnsi="Times New Roman" w:eastAsia="宋体"/>
                      <w:color w:val="auto"/>
                      <w:sz w:val="21"/>
                      <w:lang w:val="en-US" w:eastAsia="zh-CN"/>
                    </w:rPr>
                    <w:t>veta5</w:t>
                  </w:r>
                </w:p>
              </w:tc>
              <w:tc>
                <w:tcPr>
                  <w:tcW w:w="824" w:type="dxa"/>
                  <w:shd w:val="clear" w:color="auto" w:fill="auto"/>
                  <w:vAlign w:val="center"/>
                </w:tcPr>
                <w:p w14:paraId="76824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1DADFD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294BC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新增</w:t>
                  </w:r>
                </w:p>
              </w:tc>
            </w:tr>
            <w:tr w14:paraId="4E250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25A9F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17</w:t>
                  </w:r>
                </w:p>
              </w:tc>
              <w:tc>
                <w:tcPr>
                  <w:tcW w:w="845" w:type="dxa"/>
                  <w:vMerge w:val="continue"/>
                  <w:vAlign w:val="center"/>
                </w:tcPr>
                <w:p w14:paraId="2FFC8F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7E6A6F97">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手术器械</w:t>
                  </w:r>
                </w:p>
              </w:tc>
              <w:tc>
                <w:tcPr>
                  <w:tcW w:w="1893" w:type="dxa"/>
                  <w:shd w:val="clear" w:color="auto" w:fill="auto"/>
                  <w:vAlign w:val="center"/>
                </w:tcPr>
                <w:p w14:paraId="4BEB86E0">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w:t>
                  </w:r>
                </w:p>
              </w:tc>
              <w:tc>
                <w:tcPr>
                  <w:tcW w:w="824" w:type="dxa"/>
                  <w:shd w:val="clear" w:color="auto" w:fill="auto"/>
                  <w:vAlign w:val="center"/>
                </w:tcPr>
                <w:p w14:paraId="1467E3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套</w:t>
                  </w:r>
                </w:p>
              </w:tc>
              <w:tc>
                <w:tcPr>
                  <w:tcW w:w="796" w:type="dxa"/>
                  <w:shd w:val="clear" w:color="auto" w:fill="auto"/>
                  <w:vAlign w:val="center"/>
                </w:tcPr>
                <w:p w14:paraId="227695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28D36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新增</w:t>
                  </w:r>
                </w:p>
              </w:tc>
            </w:tr>
            <w:tr w14:paraId="1FBC5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5D2B89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18</w:t>
                  </w:r>
                </w:p>
              </w:tc>
              <w:tc>
                <w:tcPr>
                  <w:tcW w:w="845" w:type="dxa"/>
                  <w:vMerge w:val="continue"/>
                  <w:vAlign w:val="center"/>
                </w:tcPr>
                <w:p w14:paraId="65040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69A85390">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手术台</w:t>
                  </w:r>
                </w:p>
              </w:tc>
              <w:tc>
                <w:tcPr>
                  <w:tcW w:w="1893" w:type="dxa"/>
                  <w:shd w:val="clear" w:color="auto" w:fill="auto"/>
                  <w:vAlign w:val="center"/>
                </w:tcPr>
                <w:p w14:paraId="4B40B427">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824" w:type="dxa"/>
                  <w:shd w:val="clear" w:color="auto" w:fill="auto"/>
                  <w:vAlign w:val="center"/>
                </w:tcPr>
                <w:p w14:paraId="2F14EF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2434A8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372546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5D95E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576964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19</w:t>
                  </w:r>
                </w:p>
              </w:tc>
              <w:tc>
                <w:tcPr>
                  <w:tcW w:w="845" w:type="dxa"/>
                  <w:vMerge w:val="continue"/>
                  <w:vAlign w:val="center"/>
                </w:tcPr>
                <w:p w14:paraId="2985A3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385B6DB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无影灯</w:t>
                  </w:r>
                </w:p>
              </w:tc>
              <w:tc>
                <w:tcPr>
                  <w:tcW w:w="1893" w:type="dxa"/>
                  <w:shd w:val="clear" w:color="auto" w:fill="auto"/>
                  <w:vAlign w:val="center"/>
                </w:tcPr>
                <w:p w14:paraId="541CB94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SHADDWLESSOPERATING LAMP</w:t>
                  </w:r>
                </w:p>
              </w:tc>
              <w:tc>
                <w:tcPr>
                  <w:tcW w:w="824" w:type="dxa"/>
                  <w:shd w:val="clear" w:color="auto" w:fill="auto"/>
                  <w:vAlign w:val="center"/>
                </w:tcPr>
                <w:p w14:paraId="64B164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2958DC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3E76D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7768B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697C96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w:t>
                  </w:r>
                </w:p>
              </w:tc>
              <w:tc>
                <w:tcPr>
                  <w:tcW w:w="845" w:type="dxa"/>
                  <w:vMerge w:val="continue"/>
                  <w:vAlign w:val="center"/>
                </w:tcPr>
                <w:p w14:paraId="7D372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0FAEDE42">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手提式压力蒸汽灭菌器</w:t>
                  </w:r>
                </w:p>
              </w:tc>
              <w:tc>
                <w:tcPr>
                  <w:tcW w:w="1893" w:type="dxa"/>
                  <w:shd w:val="clear" w:color="auto" w:fill="auto"/>
                  <w:vAlign w:val="center"/>
                </w:tcPr>
                <w:p w14:paraId="4A891876">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JX-</w:t>
                  </w:r>
                  <w:r>
                    <w:rPr>
                      <w:rFonts w:hint="eastAsia"/>
                      <w:color w:val="auto"/>
                      <w:kern w:val="0"/>
                      <w:sz w:val="21"/>
                      <w:szCs w:val="21"/>
                      <w:lang w:val="en-US" w:eastAsia="zh-CN"/>
                    </w:rPr>
                    <w:t>24</w:t>
                  </w:r>
                  <w:r>
                    <w:rPr>
                      <w:rFonts w:hint="eastAsia" w:ascii="Times New Roman" w:hAnsi="Times New Roman" w:eastAsia="宋体"/>
                      <w:color w:val="auto"/>
                      <w:kern w:val="0"/>
                      <w:sz w:val="21"/>
                      <w:szCs w:val="21"/>
                      <w:lang w:eastAsia="zh-CN"/>
                    </w:rPr>
                    <w:t>B</w:t>
                  </w:r>
                </w:p>
              </w:tc>
              <w:tc>
                <w:tcPr>
                  <w:tcW w:w="824" w:type="dxa"/>
                  <w:shd w:val="clear" w:color="auto" w:fill="auto"/>
                  <w:vAlign w:val="center"/>
                </w:tcPr>
                <w:p w14:paraId="77B2B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383ABE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3B87A8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15B09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5" w:type="dxa"/>
                  <w:vAlign w:val="center"/>
                </w:tcPr>
                <w:p w14:paraId="1DD3EC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w:t>
                  </w:r>
                  <w:r>
                    <w:rPr>
                      <w:rFonts w:hint="eastAsia" w:cs="Times New Roman"/>
                      <w:b w:val="0"/>
                      <w:bCs/>
                      <w:color w:val="auto"/>
                      <w:sz w:val="21"/>
                      <w:szCs w:val="21"/>
                      <w:highlight w:val="none"/>
                      <w:vertAlign w:val="baseline"/>
                      <w:lang w:val="en-US" w:eastAsia="zh-CN"/>
                    </w:rPr>
                    <w:t>1</w:t>
                  </w:r>
                </w:p>
              </w:tc>
              <w:tc>
                <w:tcPr>
                  <w:tcW w:w="845" w:type="dxa"/>
                  <w:vMerge w:val="continue"/>
                  <w:vAlign w:val="center"/>
                </w:tcPr>
                <w:p w14:paraId="49629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01855E1E">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消毒柜</w:t>
                  </w:r>
                </w:p>
              </w:tc>
              <w:tc>
                <w:tcPr>
                  <w:tcW w:w="1893" w:type="dxa"/>
                  <w:shd w:val="clear" w:color="auto" w:fill="auto"/>
                  <w:vAlign w:val="center"/>
                </w:tcPr>
                <w:p w14:paraId="6BCC580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824" w:type="dxa"/>
                  <w:shd w:val="clear" w:color="auto" w:fill="auto"/>
                  <w:vAlign w:val="center"/>
                </w:tcPr>
                <w:p w14:paraId="34B2E5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17630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3456D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5F89F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6F8530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w:t>
                  </w:r>
                  <w:r>
                    <w:rPr>
                      <w:rFonts w:hint="eastAsia" w:cs="Times New Roman"/>
                      <w:b w:val="0"/>
                      <w:bCs/>
                      <w:color w:val="auto"/>
                      <w:sz w:val="21"/>
                      <w:szCs w:val="21"/>
                      <w:highlight w:val="none"/>
                      <w:vertAlign w:val="baseline"/>
                      <w:lang w:val="en-US" w:eastAsia="zh-CN"/>
                    </w:rPr>
                    <w:t>2</w:t>
                  </w:r>
                </w:p>
              </w:tc>
              <w:tc>
                <w:tcPr>
                  <w:tcW w:w="845" w:type="dxa"/>
                  <w:vMerge w:val="continue"/>
                  <w:vAlign w:val="center"/>
                </w:tcPr>
                <w:p w14:paraId="32BEFD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4BC7D9F9">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1</w:t>
                  </w:r>
                  <w:r>
                    <w:rPr>
                      <w:rFonts w:hint="eastAsia" w:ascii="Times New Roman" w:hAnsi="Times New Roman" w:eastAsia="宋体"/>
                      <w:color w:val="auto"/>
                      <w:kern w:val="0"/>
                      <w:sz w:val="21"/>
                      <w:szCs w:val="21"/>
                      <w:lang w:val="en-US" w:eastAsia="zh-CN"/>
                    </w:rPr>
                    <w:t>#消毒设施</w:t>
                  </w:r>
                </w:p>
              </w:tc>
              <w:tc>
                <w:tcPr>
                  <w:tcW w:w="1893" w:type="dxa"/>
                  <w:shd w:val="clear" w:color="auto" w:fill="auto"/>
                  <w:vAlign w:val="center"/>
                </w:tcPr>
                <w:p w14:paraId="5BFB9CC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50L</w:t>
                  </w:r>
                </w:p>
              </w:tc>
              <w:tc>
                <w:tcPr>
                  <w:tcW w:w="824" w:type="dxa"/>
                  <w:shd w:val="clear" w:color="auto" w:fill="auto"/>
                  <w:vAlign w:val="center"/>
                </w:tcPr>
                <w:p w14:paraId="367629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6A0C1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4278A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4ED41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7420B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23</w:t>
                  </w:r>
                </w:p>
              </w:tc>
              <w:tc>
                <w:tcPr>
                  <w:tcW w:w="845" w:type="dxa"/>
                  <w:vMerge w:val="restart"/>
                  <w:vAlign w:val="center"/>
                </w:tcPr>
                <w:p w14:paraId="51FB57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美容室</w:t>
                  </w:r>
                </w:p>
              </w:tc>
              <w:tc>
                <w:tcPr>
                  <w:tcW w:w="2364" w:type="dxa"/>
                  <w:shd w:val="clear" w:color="auto" w:fill="auto"/>
                  <w:vAlign w:val="center"/>
                </w:tcPr>
                <w:p w14:paraId="726FAF28">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洗浴池</w:t>
                  </w:r>
                </w:p>
              </w:tc>
              <w:tc>
                <w:tcPr>
                  <w:tcW w:w="1893" w:type="dxa"/>
                  <w:shd w:val="clear" w:color="auto" w:fill="auto"/>
                  <w:vAlign w:val="center"/>
                </w:tcPr>
                <w:p w14:paraId="18DCE2D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824" w:type="dxa"/>
                  <w:shd w:val="clear" w:color="auto" w:fill="auto"/>
                  <w:vAlign w:val="center"/>
                </w:tcPr>
                <w:p w14:paraId="0D721B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个</w:t>
                  </w:r>
                </w:p>
              </w:tc>
              <w:tc>
                <w:tcPr>
                  <w:tcW w:w="796" w:type="dxa"/>
                  <w:shd w:val="clear" w:color="auto" w:fill="auto"/>
                  <w:vAlign w:val="center"/>
                </w:tcPr>
                <w:p w14:paraId="4A926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816" w:type="dxa"/>
                  <w:shd w:val="clear" w:color="auto" w:fill="auto"/>
                  <w:vAlign w:val="center"/>
                </w:tcPr>
                <w:p w14:paraId="5AD337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30FC2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46622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24</w:t>
                  </w:r>
                </w:p>
              </w:tc>
              <w:tc>
                <w:tcPr>
                  <w:tcW w:w="845" w:type="dxa"/>
                  <w:vMerge w:val="continue"/>
                  <w:vAlign w:val="center"/>
                </w:tcPr>
                <w:p w14:paraId="76462A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3AB34074">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宠物烘干机</w:t>
                  </w:r>
                </w:p>
              </w:tc>
              <w:tc>
                <w:tcPr>
                  <w:tcW w:w="1893" w:type="dxa"/>
                  <w:shd w:val="clear" w:color="auto" w:fill="auto"/>
                  <w:vAlign w:val="center"/>
                </w:tcPr>
                <w:p w14:paraId="09E39E4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w:t>
                  </w:r>
                </w:p>
              </w:tc>
              <w:tc>
                <w:tcPr>
                  <w:tcW w:w="824" w:type="dxa"/>
                  <w:shd w:val="clear" w:color="auto" w:fill="auto"/>
                  <w:vAlign w:val="center"/>
                </w:tcPr>
                <w:p w14:paraId="654E7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个</w:t>
                  </w:r>
                </w:p>
              </w:tc>
              <w:tc>
                <w:tcPr>
                  <w:tcW w:w="796" w:type="dxa"/>
                  <w:shd w:val="clear" w:color="auto" w:fill="auto"/>
                  <w:vAlign w:val="center"/>
                </w:tcPr>
                <w:p w14:paraId="49D7E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lang w:val="en-US" w:eastAsia="zh-CN"/>
                    </w:rPr>
                  </w:pPr>
                  <w:r>
                    <w:rPr>
                      <w:rFonts w:hint="eastAsia"/>
                      <w:color w:val="auto"/>
                      <w:sz w:val="21"/>
                      <w:lang w:val="en-US" w:eastAsia="zh-CN"/>
                    </w:rPr>
                    <w:t>2</w:t>
                  </w:r>
                </w:p>
              </w:tc>
              <w:tc>
                <w:tcPr>
                  <w:tcW w:w="816" w:type="dxa"/>
                  <w:shd w:val="clear" w:color="auto" w:fill="auto"/>
                  <w:vAlign w:val="center"/>
                </w:tcPr>
                <w:p w14:paraId="44E3AF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77F59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0675B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25</w:t>
                  </w:r>
                </w:p>
              </w:tc>
              <w:tc>
                <w:tcPr>
                  <w:tcW w:w="845" w:type="dxa"/>
                  <w:vMerge w:val="continue"/>
                  <w:vAlign w:val="center"/>
                </w:tcPr>
                <w:p w14:paraId="632830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1150DA20">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热水器</w:t>
                  </w:r>
                </w:p>
              </w:tc>
              <w:tc>
                <w:tcPr>
                  <w:tcW w:w="1893" w:type="dxa"/>
                  <w:shd w:val="clear" w:color="auto" w:fill="auto"/>
                  <w:vAlign w:val="center"/>
                </w:tcPr>
                <w:p w14:paraId="5CEF032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w:t>
                  </w:r>
                </w:p>
              </w:tc>
              <w:tc>
                <w:tcPr>
                  <w:tcW w:w="824" w:type="dxa"/>
                  <w:shd w:val="clear" w:color="auto" w:fill="auto"/>
                  <w:vAlign w:val="center"/>
                </w:tcPr>
                <w:p w14:paraId="1BF666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796" w:type="dxa"/>
                  <w:shd w:val="clear" w:color="auto" w:fill="auto"/>
                  <w:vAlign w:val="center"/>
                </w:tcPr>
                <w:p w14:paraId="408066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w:t>
                  </w:r>
                </w:p>
              </w:tc>
              <w:tc>
                <w:tcPr>
                  <w:tcW w:w="816" w:type="dxa"/>
                  <w:shd w:val="clear" w:color="auto" w:fill="auto"/>
                  <w:vAlign w:val="center"/>
                </w:tcPr>
                <w:p w14:paraId="468D6F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0C1B4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7D6FA9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26</w:t>
                  </w:r>
                </w:p>
              </w:tc>
              <w:tc>
                <w:tcPr>
                  <w:tcW w:w="845" w:type="dxa"/>
                  <w:vMerge w:val="restart"/>
                  <w:vAlign w:val="center"/>
                </w:tcPr>
                <w:p w14:paraId="4A9A3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其他</w:t>
                  </w:r>
                </w:p>
              </w:tc>
              <w:tc>
                <w:tcPr>
                  <w:tcW w:w="2364" w:type="dxa"/>
                  <w:shd w:val="clear" w:color="auto" w:fill="auto"/>
                  <w:vAlign w:val="center"/>
                </w:tcPr>
                <w:p w14:paraId="57E9C21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冰箱</w:t>
                  </w:r>
                </w:p>
              </w:tc>
              <w:tc>
                <w:tcPr>
                  <w:tcW w:w="1893" w:type="dxa"/>
                  <w:shd w:val="clear" w:color="auto" w:fill="auto"/>
                  <w:vAlign w:val="center"/>
                </w:tcPr>
                <w:p w14:paraId="654C739B">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w:t>
                  </w:r>
                </w:p>
              </w:tc>
              <w:tc>
                <w:tcPr>
                  <w:tcW w:w="824" w:type="dxa"/>
                  <w:shd w:val="clear" w:color="auto" w:fill="auto"/>
                  <w:vAlign w:val="center"/>
                </w:tcPr>
                <w:p w14:paraId="3127B0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个</w:t>
                  </w:r>
                </w:p>
              </w:tc>
              <w:tc>
                <w:tcPr>
                  <w:tcW w:w="796" w:type="dxa"/>
                  <w:shd w:val="clear" w:color="auto" w:fill="auto"/>
                  <w:vAlign w:val="center"/>
                </w:tcPr>
                <w:p w14:paraId="7C8D0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1</w:t>
                  </w:r>
                </w:p>
              </w:tc>
              <w:tc>
                <w:tcPr>
                  <w:tcW w:w="816" w:type="dxa"/>
                  <w:shd w:val="clear" w:color="auto" w:fill="auto"/>
                  <w:vAlign w:val="center"/>
                </w:tcPr>
                <w:p w14:paraId="394165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3B6D3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5" w:type="dxa"/>
                  <w:vAlign w:val="center"/>
                </w:tcPr>
                <w:p w14:paraId="39BC0E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27</w:t>
                  </w:r>
                </w:p>
              </w:tc>
              <w:tc>
                <w:tcPr>
                  <w:tcW w:w="845" w:type="dxa"/>
                  <w:vMerge w:val="continue"/>
                  <w:vAlign w:val="center"/>
                </w:tcPr>
                <w:p w14:paraId="094B32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2364" w:type="dxa"/>
                  <w:shd w:val="clear" w:color="auto" w:fill="auto"/>
                  <w:vAlign w:val="center"/>
                </w:tcPr>
                <w:p w14:paraId="0212572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洗衣机</w:t>
                  </w:r>
                </w:p>
              </w:tc>
              <w:tc>
                <w:tcPr>
                  <w:tcW w:w="1893" w:type="dxa"/>
                  <w:shd w:val="clear" w:color="auto" w:fill="auto"/>
                  <w:vAlign w:val="center"/>
                </w:tcPr>
                <w:p w14:paraId="08B3AC1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824" w:type="dxa"/>
                  <w:shd w:val="clear" w:color="auto" w:fill="auto"/>
                  <w:vAlign w:val="center"/>
                </w:tcPr>
                <w:p w14:paraId="7DF8F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个</w:t>
                  </w:r>
                </w:p>
              </w:tc>
              <w:tc>
                <w:tcPr>
                  <w:tcW w:w="796" w:type="dxa"/>
                  <w:shd w:val="clear" w:color="auto" w:fill="auto"/>
                  <w:vAlign w:val="center"/>
                </w:tcPr>
                <w:p w14:paraId="28FA82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816" w:type="dxa"/>
                  <w:shd w:val="clear" w:color="auto" w:fill="auto"/>
                  <w:vAlign w:val="center"/>
                </w:tcPr>
                <w:p w14:paraId="5A4133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现有</w:t>
                  </w:r>
                </w:p>
              </w:tc>
            </w:tr>
          </w:tbl>
          <w:p w14:paraId="056B0EA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ascii="Times New Roman" w:hAnsi="Times New Roman" w:cs="Times New Roman"/>
                <w:b/>
                <w:bCs w:val="0"/>
                <w:color w:val="auto"/>
                <w:sz w:val="24"/>
                <w:szCs w:val="24"/>
                <w:highlight w:val="none"/>
                <w:vertAlign w:val="baseline"/>
                <w:lang w:val="en-US" w:eastAsia="zh-CN"/>
              </w:rPr>
            </w:pPr>
            <w:r>
              <w:rPr>
                <w:rFonts w:hint="eastAsia"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4</w:t>
            </w:r>
            <w:r>
              <w:rPr>
                <w:rFonts w:hint="eastAsia" w:ascii="Times New Roman" w:hAnsi="Times New Roman" w:cs="Times New Roman"/>
                <w:b/>
                <w:bCs w:val="0"/>
                <w:color w:val="auto"/>
                <w:sz w:val="24"/>
                <w:szCs w:val="24"/>
                <w:highlight w:val="none"/>
                <w:vertAlign w:val="baseline"/>
                <w:lang w:val="en-US" w:eastAsia="zh-CN"/>
              </w:rPr>
              <w:t>主要原辅材料</w:t>
            </w:r>
          </w:p>
          <w:p w14:paraId="35D03D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本项目使用的医疗耗材、药品均通过正规医药公司、医药机构正规渠道购买，符合国家药品标准。宠物住院期间由医护人员喂食宠物饲料。</w:t>
            </w:r>
            <w:r>
              <w:rPr>
                <w:rFonts w:hint="default" w:ascii="Times New Roman" w:hAnsi="Times New Roman" w:cs="Times New Roman"/>
                <w:b w:val="0"/>
                <w:bCs/>
                <w:color w:val="auto"/>
                <w:sz w:val="24"/>
                <w:szCs w:val="24"/>
                <w:highlight w:val="none"/>
                <w:vertAlign w:val="baseline"/>
                <w:lang w:val="en-US" w:eastAsia="zh-CN"/>
              </w:rPr>
              <w:t>项目主要原辅材料详见</w:t>
            </w:r>
            <w:r>
              <w:rPr>
                <w:rFonts w:hint="eastAsia" w:cs="Times New Roman"/>
                <w:b w:val="0"/>
                <w:bCs/>
                <w:color w:val="auto"/>
                <w:sz w:val="24"/>
                <w:szCs w:val="24"/>
                <w:highlight w:val="none"/>
                <w:vertAlign w:val="baseline"/>
                <w:lang w:val="en-US" w:eastAsia="zh-CN"/>
              </w:rPr>
              <w:t>表</w:t>
            </w:r>
            <w:r>
              <w:rPr>
                <w:rFonts w:hint="default" w:ascii="Times New Roman" w:hAnsi="Times New Roman" w:cs="Times New Roman"/>
                <w:b w:val="0"/>
                <w:bCs/>
                <w:color w:val="auto"/>
                <w:sz w:val="24"/>
                <w:szCs w:val="24"/>
                <w:highlight w:val="none"/>
                <w:vertAlign w:val="baseline"/>
                <w:lang w:val="en-US" w:eastAsia="zh-CN"/>
              </w:rPr>
              <w:t>2.</w:t>
            </w:r>
            <w:r>
              <w:rPr>
                <w:rFonts w:hint="eastAsia" w:cs="Times New Roman"/>
                <w:b w:val="0"/>
                <w:bCs/>
                <w:color w:val="auto"/>
                <w:sz w:val="24"/>
                <w:szCs w:val="24"/>
                <w:highlight w:val="none"/>
                <w:vertAlign w:val="baseline"/>
                <w:lang w:val="en-US" w:eastAsia="zh-CN"/>
              </w:rPr>
              <w:t>4</w:t>
            </w:r>
            <w:r>
              <w:rPr>
                <w:rFonts w:hint="default" w:ascii="Times New Roman" w:hAnsi="Times New Roman" w:cs="Times New Roman"/>
                <w:b w:val="0"/>
                <w:bCs/>
                <w:color w:val="auto"/>
                <w:sz w:val="24"/>
                <w:szCs w:val="24"/>
                <w:highlight w:val="none"/>
                <w:vertAlign w:val="baseline"/>
                <w:lang w:val="en-US" w:eastAsia="zh-CN"/>
              </w:rPr>
              <w:t>-1。</w:t>
            </w:r>
          </w:p>
          <w:p w14:paraId="0B8D6E3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表2.</w:t>
            </w:r>
            <w:r>
              <w:rPr>
                <w:rFonts w:hint="eastAsia" w:cs="Times New Roman"/>
                <w:b w:val="0"/>
                <w:bCs/>
                <w:color w:val="auto"/>
                <w:sz w:val="21"/>
                <w:szCs w:val="21"/>
                <w:highlight w:val="none"/>
                <w:vertAlign w:val="baseline"/>
                <w:lang w:val="en-US" w:eastAsia="zh-CN"/>
              </w:rPr>
              <w:t>4</w:t>
            </w:r>
            <w:r>
              <w:rPr>
                <w:rFonts w:hint="default" w:ascii="Times New Roman" w:hAnsi="Times New Roman" w:cs="Times New Roman"/>
                <w:b w:val="0"/>
                <w:bCs/>
                <w:color w:val="auto"/>
                <w:sz w:val="21"/>
                <w:szCs w:val="21"/>
                <w:highlight w:val="none"/>
                <w:vertAlign w:val="baseline"/>
                <w:lang w:val="en-US" w:eastAsia="zh-CN"/>
              </w:rPr>
              <w:t>-1项目主要原辅材料一览表</w:t>
            </w:r>
          </w:p>
          <w:tbl>
            <w:tblPr>
              <w:tblStyle w:val="22"/>
              <w:tblW w:w="824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24"/>
              <w:gridCol w:w="848"/>
              <w:gridCol w:w="2200"/>
              <w:gridCol w:w="847"/>
              <w:gridCol w:w="1512"/>
              <w:gridCol w:w="859"/>
              <w:gridCol w:w="682"/>
              <w:gridCol w:w="973"/>
            </w:tblGrid>
            <w:tr w14:paraId="272DEA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tcBorders>
                    <w:tl2br w:val="nil"/>
                    <w:tr2bl w:val="nil"/>
                  </w:tcBorders>
                  <w:vAlign w:val="center"/>
                </w:tcPr>
                <w:p w14:paraId="78B4C73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类别</w:t>
                  </w:r>
                </w:p>
              </w:tc>
              <w:tc>
                <w:tcPr>
                  <w:tcW w:w="2200" w:type="dxa"/>
                  <w:tcBorders>
                    <w:tl2br w:val="nil"/>
                    <w:tr2bl w:val="nil"/>
                  </w:tcBorders>
                  <w:vAlign w:val="center"/>
                </w:tcPr>
                <w:p w14:paraId="683784E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名称</w:t>
                  </w:r>
                </w:p>
              </w:tc>
              <w:tc>
                <w:tcPr>
                  <w:tcW w:w="847" w:type="dxa"/>
                  <w:tcBorders>
                    <w:tl2br w:val="nil"/>
                    <w:tr2bl w:val="nil"/>
                  </w:tcBorders>
                  <w:vAlign w:val="center"/>
                </w:tcPr>
                <w:p w14:paraId="5F2639A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年用量</w:t>
                  </w:r>
                </w:p>
              </w:tc>
              <w:tc>
                <w:tcPr>
                  <w:tcW w:w="1512" w:type="dxa"/>
                  <w:tcBorders>
                    <w:tl2br w:val="nil"/>
                    <w:tr2bl w:val="nil"/>
                  </w:tcBorders>
                  <w:vAlign w:val="center"/>
                </w:tcPr>
                <w:p w14:paraId="20096E6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规格/型号</w:t>
                  </w:r>
                </w:p>
              </w:tc>
              <w:tc>
                <w:tcPr>
                  <w:tcW w:w="859" w:type="dxa"/>
                  <w:tcBorders>
                    <w:tl2br w:val="nil"/>
                    <w:tr2bl w:val="nil"/>
                  </w:tcBorders>
                  <w:vAlign w:val="center"/>
                </w:tcPr>
                <w:p w14:paraId="5B02D9E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暂存量</w:t>
                  </w:r>
                </w:p>
              </w:tc>
              <w:tc>
                <w:tcPr>
                  <w:tcW w:w="682" w:type="dxa"/>
                  <w:tcBorders>
                    <w:tl2br w:val="nil"/>
                    <w:tr2bl w:val="nil"/>
                  </w:tcBorders>
                  <w:vAlign w:val="center"/>
                </w:tcPr>
                <w:p w14:paraId="2B045B5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位置</w:t>
                  </w:r>
                </w:p>
              </w:tc>
              <w:tc>
                <w:tcPr>
                  <w:tcW w:w="973" w:type="dxa"/>
                  <w:tcBorders>
                    <w:tl2br w:val="nil"/>
                    <w:tr2bl w:val="nil"/>
                  </w:tcBorders>
                  <w:vAlign w:val="center"/>
                </w:tcPr>
                <w:p w14:paraId="77513FB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备注</w:t>
                  </w:r>
                </w:p>
              </w:tc>
            </w:tr>
            <w:tr w14:paraId="1361E1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restart"/>
                  <w:tcBorders>
                    <w:tl2br w:val="nil"/>
                    <w:tr2bl w:val="nil"/>
                  </w:tcBorders>
                  <w:vAlign w:val="center"/>
                </w:tcPr>
                <w:p w14:paraId="1ECDFFA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医疗器械</w:t>
                  </w:r>
                </w:p>
              </w:tc>
              <w:tc>
                <w:tcPr>
                  <w:tcW w:w="2200" w:type="dxa"/>
                  <w:tcBorders>
                    <w:tl2br w:val="nil"/>
                    <w:tr2bl w:val="nil"/>
                  </w:tcBorders>
                  <w:shd w:val="clear" w:color="auto" w:fill="auto"/>
                  <w:vAlign w:val="center"/>
                </w:tcPr>
                <w:p w14:paraId="5853A66D">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棉球</w:t>
                  </w:r>
                </w:p>
              </w:tc>
              <w:tc>
                <w:tcPr>
                  <w:tcW w:w="847" w:type="dxa"/>
                  <w:tcBorders>
                    <w:tl2br w:val="nil"/>
                    <w:tr2bl w:val="nil"/>
                  </w:tcBorders>
                  <w:shd w:val="clear" w:color="auto" w:fill="auto"/>
                  <w:vAlign w:val="center"/>
                </w:tcPr>
                <w:p w14:paraId="6DCE07E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512" w:type="dxa"/>
                  <w:tcBorders>
                    <w:tl2br w:val="nil"/>
                    <w:tr2bl w:val="nil"/>
                  </w:tcBorders>
                  <w:shd w:val="clear" w:color="auto" w:fill="auto"/>
                  <w:vAlign w:val="center"/>
                </w:tcPr>
                <w:p w14:paraId="1B257B9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包</w:t>
                  </w:r>
                </w:p>
              </w:tc>
              <w:tc>
                <w:tcPr>
                  <w:tcW w:w="859" w:type="dxa"/>
                  <w:tcBorders>
                    <w:tl2br w:val="nil"/>
                    <w:tr2bl w:val="nil"/>
                  </w:tcBorders>
                  <w:shd w:val="clear" w:color="auto" w:fill="auto"/>
                  <w:vAlign w:val="center"/>
                </w:tcPr>
                <w:p w14:paraId="25F4231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682" w:type="dxa"/>
                  <w:vMerge w:val="restart"/>
                  <w:tcBorders>
                    <w:tl2br w:val="nil"/>
                    <w:tr2bl w:val="nil"/>
                  </w:tcBorders>
                  <w:vAlign w:val="center"/>
                </w:tcPr>
                <w:p w14:paraId="0FE8828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药房</w:t>
                  </w:r>
                </w:p>
              </w:tc>
              <w:tc>
                <w:tcPr>
                  <w:tcW w:w="973" w:type="dxa"/>
                  <w:tcBorders>
                    <w:tl2br w:val="nil"/>
                    <w:tr2bl w:val="nil"/>
                  </w:tcBorders>
                  <w:shd w:val="clear" w:color="auto" w:fill="auto"/>
                  <w:vAlign w:val="center"/>
                </w:tcPr>
                <w:p w14:paraId="15FEA13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39ABDE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vAlign w:val="center"/>
                </w:tcPr>
                <w:p w14:paraId="3B297E3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2200" w:type="dxa"/>
                  <w:tcBorders>
                    <w:tl2br w:val="nil"/>
                    <w:tr2bl w:val="nil"/>
                  </w:tcBorders>
                  <w:shd w:val="clear" w:color="auto" w:fill="auto"/>
                  <w:vAlign w:val="center"/>
                </w:tcPr>
                <w:p w14:paraId="77E94AB0">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注射器</w:t>
                  </w:r>
                </w:p>
              </w:tc>
              <w:tc>
                <w:tcPr>
                  <w:tcW w:w="847" w:type="dxa"/>
                  <w:tcBorders>
                    <w:tl2br w:val="nil"/>
                    <w:tr2bl w:val="nil"/>
                  </w:tcBorders>
                  <w:shd w:val="clear" w:color="auto" w:fill="auto"/>
                  <w:vAlign w:val="center"/>
                </w:tcPr>
                <w:p w14:paraId="6F573AB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512" w:type="dxa"/>
                  <w:tcBorders>
                    <w:tl2br w:val="nil"/>
                    <w:tr2bl w:val="nil"/>
                  </w:tcBorders>
                  <w:shd w:val="clear" w:color="auto" w:fill="auto"/>
                  <w:vAlign w:val="center"/>
                </w:tcPr>
                <w:p w14:paraId="3C861D2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箱</w:t>
                  </w:r>
                </w:p>
              </w:tc>
              <w:tc>
                <w:tcPr>
                  <w:tcW w:w="859" w:type="dxa"/>
                  <w:tcBorders>
                    <w:tl2br w:val="nil"/>
                    <w:tr2bl w:val="nil"/>
                  </w:tcBorders>
                  <w:shd w:val="clear" w:color="auto" w:fill="auto"/>
                  <w:vAlign w:val="center"/>
                </w:tcPr>
                <w:p w14:paraId="20B46C7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682" w:type="dxa"/>
                  <w:vMerge w:val="continue"/>
                  <w:tcBorders>
                    <w:tl2br w:val="nil"/>
                    <w:tr2bl w:val="nil"/>
                  </w:tcBorders>
                  <w:vAlign w:val="center"/>
                </w:tcPr>
                <w:p w14:paraId="119E14B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2628AFE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62A62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vAlign w:val="center"/>
                </w:tcPr>
                <w:p w14:paraId="4369A1F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2200" w:type="dxa"/>
                  <w:tcBorders>
                    <w:tl2br w:val="nil"/>
                    <w:tr2bl w:val="nil"/>
                  </w:tcBorders>
                  <w:shd w:val="clear" w:color="auto" w:fill="auto"/>
                  <w:vAlign w:val="center"/>
                </w:tcPr>
                <w:p w14:paraId="6DA99892">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纱布</w:t>
                  </w:r>
                </w:p>
              </w:tc>
              <w:tc>
                <w:tcPr>
                  <w:tcW w:w="847" w:type="dxa"/>
                  <w:tcBorders>
                    <w:tl2br w:val="nil"/>
                    <w:tr2bl w:val="nil"/>
                  </w:tcBorders>
                  <w:shd w:val="clear" w:color="auto" w:fill="auto"/>
                  <w:vAlign w:val="center"/>
                </w:tcPr>
                <w:p w14:paraId="4B15926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512" w:type="dxa"/>
                  <w:tcBorders>
                    <w:tl2br w:val="nil"/>
                    <w:tr2bl w:val="nil"/>
                  </w:tcBorders>
                  <w:shd w:val="clear" w:color="auto" w:fill="auto"/>
                  <w:vAlign w:val="center"/>
                </w:tcPr>
                <w:p w14:paraId="2D0D708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包</w:t>
                  </w:r>
                </w:p>
              </w:tc>
              <w:tc>
                <w:tcPr>
                  <w:tcW w:w="859" w:type="dxa"/>
                  <w:tcBorders>
                    <w:tl2br w:val="nil"/>
                    <w:tr2bl w:val="nil"/>
                  </w:tcBorders>
                  <w:shd w:val="clear" w:color="auto" w:fill="auto"/>
                  <w:vAlign w:val="center"/>
                </w:tcPr>
                <w:p w14:paraId="1EFA692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682" w:type="dxa"/>
                  <w:vMerge w:val="continue"/>
                  <w:tcBorders>
                    <w:tl2br w:val="nil"/>
                    <w:tr2bl w:val="nil"/>
                  </w:tcBorders>
                  <w:vAlign w:val="center"/>
                </w:tcPr>
                <w:p w14:paraId="660B5C1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77E9BDD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0B7E1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vAlign w:val="center"/>
                </w:tcPr>
                <w:p w14:paraId="559678F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2200" w:type="dxa"/>
                  <w:tcBorders>
                    <w:tl2br w:val="nil"/>
                    <w:tr2bl w:val="nil"/>
                  </w:tcBorders>
                  <w:shd w:val="clear" w:color="auto" w:fill="auto"/>
                  <w:vAlign w:val="center"/>
                </w:tcPr>
                <w:p w14:paraId="3C3F0CF0">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ascii="Times New Roman" w:hAnsi="Times New Roman" w:eastAsia="宋体"/>
                      <w:color w:val="auto"/>
                      <w:kern w:val="0"/>
                      <w:sz w:val="21"/>
                      <w:szCs w:val="21"/>
                    </w:rPr>
                    <w:t>输液袋</w:t>
                  </w:r>
                </w:p>
              </w:tc>
              <w:tc>
                <w:tcPr>
                  <w:tcW w:w="847" w:type="dxa"/>
                  <w:tcBorders>
                    <w:tl2br w:val="nil"/>
                    <w:tr2bl w:val="nil"/>
                  </w:tcBorders>
                  <w:shd w:val="clear" w:color="auto" w:fill="auto"/>
                  <w:vAlign w:val="center"/>
                </w:tcPr>
                <w:p w14:paraId="678AD82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512" w:type="dxa"/>
                  <w:tcBorders>
                    <w:tl2br w:val="nil"/>
                    <w:tr2bl w:val="nil"/>
                  </w:tcBorders>
                  <w:shd w:val="clear" w:color="auto" w:fill="auto"/>
                  <w:vAlign w:val="center"/>
                </w:tcPr>
                <w:p w14:paraId="2D3D908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箱</w:t>
                  </w:r>
                </w:p>
              </w:tc>
              <w:tc>
                <w:tcPr>
                  <w:tcW w:w="859" w:type="dxa"/>
                  <w:tcBorders>
                    <w:tl2br w:val="nil"/>
                    <w:tr2bl w:val="nil"/>
                  </w:tcBorders>
                  <w:shd w:val="clear" w:color="auto" w:fill="auto"/>
                  <w:vAlign w:val="center"/>
                </w:tcPr>
                <w:p w14:paraId="2EA0C50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682" w:type="dxa"/>
                  <w:vMerge w:val="continue"/>
                  <w:tcBorders>
                    <w:tl2br w:val="nil"/>
                    <w:tr2bl w:val="nil"/>
                  </w:tcBorders>
                  <w:vAlign w:val="center"/>
                </w:tcPr>
                <w:p w14:paraId="4DB2EF0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513EE7B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AC77C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restart"/>
                  <w:tcBorders>
                    <w:tl2br w:val="nil"/>
                    <w:tr2bl w:val="nil"/>
                  </w:tcBorders>
                  <w:shd w:val="clear" w:color="auto" w:fill="auto"/>
                  <w:vAlign w:val="center"/>
                </w:tcPr>
                <w:p w14:paraId="675547B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药品</w:t>
                  </w:r>
                </w:p>
              </w:tc>
              <w:tc>
                <w:tcPr>
                  <w:tcW w:w="848" w:type="dxa"/>
                  <w:vMerge w:val="restart"/>
                  <w:tcBorders>
                    <w:tl2br w:val="nil"/>
                    <w:tr2bl w:val="nil"/>
                  </w:tcBorders>
                  <w:shd w:val="clear" w:color="auto" w:fill="auto"/>
                  <w:vAlign w:val="center"/>
                </w:tcPr>
                <w:p w14:paraId="227BC92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抗生素</w:t>
                  </w:r>
                </w:p>
              </w:tc>
              <w:tc>
                <w:tcPr>
                  <w:tcW w:w="2200" w:type="dxa"/>
                  <w:tcBorders>
                    <w:tl2br w:val="nil"/>
                    <w:tr2bl w:val="nil"/>
                  </w:tcBorders>
                  <w:shd w:val="clear" w:color="auto" w:fill="auto"/>
                  <w:vAlign w:val="center"/>
                </w:tcPr>
                <w:p w14:paraId="22B58319">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注射用头孢噻呋钠</w:t>
                  </w:r>
                </w:p>
              </w:tc>
              <w:tc>
                <w:tcPr>
                  <w:tcW w:w="847" w:type="dxa"/>
                  <w:tcBorders>
                    <w:tl2br w:val="nil"/>
                    <w:tr2bl w:val="nil"/>
                  </w:tcBorders>
                  <w:shd w:val="clear" w:color="auto" w:fill="auto"/>
                  <w:vAlign w:val="center"/>
                </w:tcPr>
                <w:p w14:paraId="530E06F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400</w:t>
                  </w:r>
                </w:p>
              </w:tc>
              <w:tc>
                <w:tcPr>
                  <w:tcW w:w="1512" w:type="dxa"/>
                  <w:tcBorders>
                    <w:tl2br w:val="nil"/>
                    <w:tr2bl w:val="nil"/>
                  </w:tcBorders>
                  <w:shd w:val="clear" w:color="auto" w:fill="auto"/>
                  <w:vAlign w:val="center"/>
                </w:tcPr>
                <w:p w14:paraId="28D1F04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支</w:t>
                  </w:r>
                </w:p>
              </w:tc>
              <w:tc>
                <w:tcPr>
                  <w:tcW w:w="859" w:type="dxa"/>
                  <w:tcBorders>
                    <w:tl2br w:val="nil"/>
                    <w:tr2bl w:val="nil"/>
                  </w:tcBorders>
                  <w:shd w:val="clear" w:color="auto" w:fill="auto"/>
                  <w:vAlign w:val="center"/>
                </w:tcPr>
                <w:p w14:paraId="068815C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c>
                <w:tcPr>
                  <w:tcW w:w="682" w:type="dxa"/>
                  <w:vMerge w:val="continue"/>
                  <w:tcBorders>
                    <w:tl2br w:val="nil"/>
                    <w:tr2bl w:val="nil"/>
                  </w:tcBorders>
                  <w:vAlign w:val="center"/>
                </w:tcPr>
                <w:p w14:paraId="376BFC7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1CB2B2E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019E89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6C10A41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vMerge w:val="continue"/>
                  <w:tcBorders>
                    <w:tl2br w:val="nil"/>
                    <w:tr2bl w:val="nil"/>
                  </w:tcBorders>
                  <w:shd w:val="clear" w:color="auto" w:fill="auto"/>
                  <w:vAlign w:val="center"/>
                </w:tcPr>
                <w:p w14:paraId="427A8F88">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1045690D">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恩诺沙星注射液</w:t>
                  </w:r>
                </w:p>
              </w:tc>
              <w:tc>
                <w:tcPr>
                  <w:tcW w:w="847" w:type="dxa"/>
                  <w:tcBorders>
                    <w:tl2br w:val="nil"/>
                    <w:tr2bl w:val="nil"/>
                  </w:tcBorders>
                  <w:shd w:val="clear" w:color="auto" w:fill="auto"/>
                  <w:vAlign w:val="center"/>
                </w:tcPr>
                <w:p w14:paraId="1BC7E99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w:t>
                  </w:r>
                </w:p>
              </w:tc>
              <w:tc>
                <w:tcPr>
                  <w:tcW w:w="1512" w:type="dxa"/>
                  <w:tcBorders>
                    <w:tl2br w:val="nil"/>
                    <w:tr2bl w:val="nil"/>
                  </w:tcBorders>
                  <w:shd w:val="clear" w:color="auto" w:fill="auto"/>
                  <w:vAlign w:val="center"/>
                </w:tcPr>
                <w:p w14:paraId="38C9E72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瓶</w:t>
                  </w:r>
                </w:p>
              </w:tc>
              <w:tc>
                <w:tcPr>
                  <w:tcW w:w="859" w:type="dxa"/>
                  <w:tcBorders>
                    <w:tl2br w:val="nil"/>
                    <w:tr2bl w:val="nil"/>
                  </w:tcBorders>
                  <w:shd w:val="clear" w:color="auto" w:fill="auto"/>
                  <w:vAlign w:val="center"/>
                </w:tcPr>
                <w:p w14:paraId="19733FB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w:t>
                  </w:r>
                </w:p>
              </w:tc>
              <w:tc>
                <w:tcPr>
                  <w:tcW w:w="682" w:type="dxa"/>
                  <w:vMerge w:val="continue"/>
                  <w:tcBorders>
                    <w:tl2br w:val="nil"/>
                    <w:tr2bl w:val="nil"/>
                  </w:tcBorders>
                  <w:vAlign w:val="center"/>
                </w:tcPr>
                <w:p w14:paraId="437867B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1BC7D40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1DA981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34E483DD">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vMerge w:val="continue"/>
                  <w:tcBorders>
                    <w:tl2br w:val="nil"/>
                    <w:tr2bl w:val="nil"/>
                  </w:tcBorders>
                  <w:shd w:val="clear" w:color="auto" w:fill="auto"/>
                  <w:vAlign w:val="center"/>
                </w:tcPr>
                <w:p w14:paraId="445B54A2">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5D0C4541">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马坡沙星片</w:t>
                  </w:r>
                </w:p>
              </w:tc>
              <w:tc>
                <w:tcPr>
                  <w:tcW w:w="847" w:type="dxa"/>
                  <w:tcBorders>
                    <w:tl2br w:val="nil"/>
                    <w:tr2bl w:val="nil"/>
                  </w:tcBorders>
                  <w:shd w:val="clear" w:color="auto" w:fill="auto"/>
                  <w:vAlign w:val="center"/>
                </w:tcPr>
                <w:p w14:paraId="3856FCC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100</w:t>
                  </w:r>
                </w:p>
              </w:tc>
              <w:tc>
                <w:tcPr>
                  <w:tcW w:w="1512" w:type="dxa"/>
                  <w:tcBorders>
                    <w:tl2br w:val="nil"/>
                    <w:tr2bl w:val="nil"/>
                  </w:tcBorders>
                  <w:shd w:val="clear" w:color="auto" w:fill="auto"/>
                  <w:vAlign w:val="center"/>
                </w:tcPr>
                <w:p w14:paraId="1614DD7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859" w:type="dxa"/>
                  <w:tcBorders>
                    <w:tl2br w:val="nil"/>
                    <w:tr2bl w:val="nil"/>
                  </w:tcBorders>
                  <w:shd w:val="clear" w:color="auto" w:fill="auto"/>
                  <w:vAlign w:val="center"/>
                </w:tcPr>
                <w:p w14:paraId="027135E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50</w:t>
                  </w:r>
                </w:p>
              </w:tc>
              <w:tc>
                <w:tcPr>
                  <w:tcW w:w="682" w:type="dxa"/>
                  <w:vMerge w:val="continue"/>
                  <w:tcBorders>
                    <w:tl2br w:val="nil"/>
                    <w:tr2bl w:val="nil"/>
                  </w:tcBorders>
                  <w:vAlign w:val="center"/>
                </w:tcPr>
                <w:p w14:paraId="3A240AE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1E9636E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1F4B1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061B5264">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vMerge w:val="continue"/>
                  <w:tcBorders>
                    <w:tl2br w:val="nil"/>
                    <w:tr2bl w:val="nil"/>
                  </w:tcBorders>
                  <w:shd w:val="clear" w:color="auto" w:fill="auto"/>
                  <w:vAlign w:val="center"/>
                </w:tcPr>
                <w:p w14:paraId="5176725B">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58A305DA">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 xml:space="preserve">恩诺沙星片 </w:t>
                  </w:r>
                </w:p>
              </w:tc>
              <w:tc>
                <w:tcPr>
                  <w:tcW w:w="847" w:type="dxa"/>
                  <w:tcBorders>
                    <w:tl2br w:val="nil"/>
                    <w:tr2bl w:val="nil"/>
                  </w:tcBorders>
                  <w:shd w:val="clear" w:color="auto" w:fill="auto"/>
                  <w:vAlign w:val="center"/>
                </w:tcPr>
                <w:p w14:paraId="7BDE7A8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200</w:t>
                  </w:r>
                </w:p>
              </w:tc>
              <w:tc>
                <w:tcPr>
                  <w:tcW w:w="1512" w:type="dxa"/>
                  <w:tcBorders>
                    <w:tl2br w:val="nil"/>
                    <w:tr2bl w:val="nil"/>
                  </w:tcBorders>
                  <w:shd w:val="clear" w:color="auto" w:fill="auto"/>
                  <w:vAlign w:val="center"/>
                </w:tcPr>
                <w:p w14:paraId="3ED45F8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859" w:type="dxa"/>
                  <w:tcBorders>
                    <w:tl2br w:val="nil"/>
                    <w:tr2bl w:val="nil"/>
                  </w:tcBorders>
                  <w:shd w:val="clear" w:color="auto" w:fill="auto"/>
                  <w:vAlign w:val="center"/>
                </w:tcPr>
                <w:p w14:paraId="3B65CA2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25</w:t>
                  </w:r>
                </w:p>
              </w:tc>
              <w:tc>
                <w:tcPr>
                  <w:tcW w:w="682" w:type="dxa"/>
                  <w:vMerge w:val="continue"/>
                  <w:tcBorders>
                    <w:tl2br w:val="nil"/>
                    <w:tr2bl w:val="nil"/>
                  </w:tcBorders>
                  <w:vAlign w:val="center"/>
                </w:tcPr>
                <w:p w14:paraId="7D79C7E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5AA8E61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01E954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5ED40BCA">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vMerge w:val="continue"/>
                  <w:tcBorders>
                    <w:tl2br w:val="nil"/>
                    <w:tr2bl w:val="nil"/>
                  </w:tcBorders>
                  <w:shd w:val="clear" w:color="auto" w:fill="auto"/>
                  <w:vAlign w:val="center"/>
                </w:tcPr>
                <w:p w14:paraId="76782FD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2456AEAB">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盐酸多西环素片</w:t>
                  </w:r>
                </w:p>
              </w:tc>
              <w:tc>
                <w:tcPr>
                  <w:tcW w:w="847" w:type="dxa"/>
                  <w:tcBorders>
                    <w:tl2br w:val="nil"/>
                    <w:tr2bl w:val="nil"/>
                  </w:tcBorders>
                  <w:shd w:val="clear" w:color="auto" w:fill="auto"/>
                  <w:vAlign w:val="center"/>
                </w:tcPr>
                <w:p w14:paraId="53C1BFC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400</w:t>
                  </w:r>
                </w:p>
              </w:tc>
              <w:tc>
                <w:tcPr>
                  <w:tcW w:w="1512" w:type="dxa"/>
                  <w:tcBorders>
                    <w:tl2br w:val="nil"/>
                    <w:tr2bl w:val="nil"/>
                  </w:tcBorders>
                  <w:shd w:val="clear" w:color="auto" w:fill="auto"/>
                  <w:vAlign w:val="center"/>
                </w:tcPr>
                <w:p w14:paraId="24A19CA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eastAsia="zh-CN"/>
                    </w:rPr>
                  </w:pPr>
                  <w:r>
                    <w:rPr>
                      <w:rFonts w:hint="eastAsia"/>
                      <w:color w:val="auto"/>
                      <w:sz w:val="21"/>
                      <w:szCs w:val="21"/>
                      <w:lang w:val="en-US" w:eastAsia="zh-CN"/>
                    </w:rPr>
                    <w:t>片</w:t>
                  </w:r>
                </w:p>
              </w:tc>
              <w:tc>
                <w:tcPr>
                  <w:tcW w:w="859" w:type="dxa"/>
                  <w:tcBorders>
                    <w:tl2br w:val="nil"/>
                    <w:tr2bl w:val="nil"/>
                  </w:tcBorders>
                  <w:shd w:val="clear" w:color="auto" w:fill="auto"/>
                  <w:vAlign w:val="center"/>
                </w:tcPr>
                <w:p w14:paraId="4039D1E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r>
                    <w:rPr>
                      <w:rFonts w:hint="eastAsia"/>
                      <w:color w:val="auto"/>
                      <w:sz w:val="21"/>
                      <w:szCs w:val="21"/>
                      <w:lang w:val="en-US" w:eastAsia="zh-CN"/>
                    </w:rPr>
                    <w:t>100</w:t>
                  </w:r>
                </w:p>
              </w:tc>
              <w:tc>
                <w:tcPr>
                  <w:tcW w:w="682" w:type="dxa"/>
                  <w:vMerge w:val="continue"/>
                  <w:tcBorders>
                    <w:tl2br w:val="nil"/>
                    <w:tr2bl w:val="nil"/>
                  </w:tcBorders>
                  <w:vAlign w:val="center"/>
                </w:tcPr>
                <w:p w14:paraId="1CD2FA2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022A066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02791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740162C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vMerge w:val="continue"/>
                  <w:tcBorders>
                    <w:tl2br w:val="nil"/>
                    <w:tr2bl w:val="nil"/>
                  </w:tcBorders>
                  <w:shd w:val="clear" w:color="auto" w:fill="auto"/>
                  <w:vAlign w:val="center"/>
                </w:tcPr>
                <w:p w14:paraId="08C0A61A">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5CA7EB1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甲硝唑片</w:t>
                  </w:r>
                </w:p>
              </w:tc>
              <w:tc>
                <w:tcPr>
                  <w:tcW w:w="847" w:type="dxa"/>
                  <w:tcBorders>
                    <w:tl2br w:val="nil"/>
                    <w:tr2bl w:val="nil"/>
                  </w:tcBorders>
                  <w:shd w:val="clear" w:color="auto" w:fill="auto"/>
                  <w:vAlign w:val="center"/>
                </w:tcPr>
                <w:p w14:paraId="1B2AC43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300</w:t>
                  </w:r>
                </w:p>
              </w:tc>
              <w:tc>
                <w:tcPr>
                  <w:tcW w:w="1512" w:type="dxa"/>
                  <w:tcBorders>
                    <w:tl2br w:val="nil"/>
                    <w:tr2bl w:val="nil"/>
                  </w:tcBorders>
                  <w:shd w:val="clear" w:color="auto" w:fill="auto"/>
                  <w:vAlign w:val="center"/>
                </w:tcPr>
                <w:p w14:paraId="7C4E3FA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859" w:type="dxa"/>
                  <w:tcBorders>
                    <w:tl2br w:val="nil"/>
                    <w:tr2bl w:val="nil"/>
                  </w:tcBorders>
                  <w:shd w:val="clear" w:color="auto" w:fill="auto"/>
                  <w:vAlign w:val="center"/>
                </w:tcPr>
                <w:p w14:paraId="0F345DC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100</w:t>
                  </w:r>
                </w:p>
              </w:tc>
              <w:tc>
                <w:tcPr>
                  <w:tcW w:w="682" w:type="dxa"/>
                  <w:vMerge w:val="continue"/>
                  <w:tcBorders>
                    <w:tl2br w:val="nil"/>
                    <w:tr2bl w:val="nil"/>
                  </w:tcBorders>
                  <w:vAlign w:val="center"/>
                </w:tcPr>
                <w:p w14:paraId="44C6743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2BF3E10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B395B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1441D221">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vMerge w:val="restart"/>
                  <w:tcBorders>
                    <w:tl2br w:val="nil"/>
                    <w:tr2bl w:val="nil"/>
                  </w:tcBorders>
                  <w:shd w:val="clear" w:color="auto" w:fill="auto"/>
                  <w:vAlign w:val="center"/>
                </w:tcPr>
                <w:p w14:paraId="6F218CD9">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消炎</w:t>
                  </w:r>
                </w:p>
              </w:tc>
              <w:tc>
                <w:tcPr>
                  <w:tcW w:w="2200" w:type="dxa"/>
                  <w:tcBorders>
                    <w:tl2br w:val="nil"/>
                    <w:tr2bl w:val="nil"/>
                  </w:tcBorders>
                  <w:shd w:val="clear" w:color="auto" w:fill="auto"/>
                  <w:vAlign w:val="center"/>
                </w:tcPr>
                <w:p w14:paraId="284D0CD3">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color w:val="auto"/>
                      <w:highlight w:val="none"/>
                      <w:lang w:val="en-US" w:eastAsia="zh-CN"/>
                    </w:rPr>
                    <w:t>美洛昔康注射液</w:t>
                  </w:r>
                </w:p>
              </w:tc>
              <w:tc>
                <w:tcPr>
                  <w:tcW w:w="847" w:type="dxa"/>
                  <w:tcBorders>
                    <w:tl2br w:val="nil"/>
                    <w:tr2bl w:val="nil"/>
                  </w:tcBorders>
                  <w:shd w:val="clear" w:color="auto" w:fill="auto"/>
                  <w:vAlign w:val="center"/>
                </w:tcPr>
                <w:p w14:paraId="61CBC92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w:t>
                  </w:r>
                </w:p>
              </w:tc>
              <w:tc>
                <w:tcPr>
                  <w:tcW w:w="1512" w:type="dxa"/>
                  <w:tcBorders>
                    <w:tl2br w:val="nil"/>
                    <w:tr2bl w:val="nil"/>
                  </w:tcBorders>
                  <w:shd w:val="clear" w:color="auto" w:fill="auto"/>
                  <w:vAlign w:val="center"/>
                </w:tcPr>
                <w:p w14:paraId="0C2E135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瓶</w:t>
                  </w:r>
                </w:p>
              </w:tc>
              <w:tc>
                <w:tcPr>
                  <w:tcW w:w="859" w:type="dxa"/>
                  <w:tcBorders>
                    <w:tl2br w:val="nil"/>
                    <w:tr2bl w:val="nil"/>
                  </w:tcBorders>
                  <w:shd w:val="clear" w:color="auto" w:fill="auto"/>
                  <w:vAlign w:val="center"/>
                </w:tcPr>
                <w:p w14:paraId="13ECB26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w:t>
                  </w:r>
                </w:p>
              </w:tc>
              <w:tc>
                <w:tcPr>
                  <w:tcW w:w="682" w:type="dxa"/>
                  <w:vMerge w:val="continue"/>
                  <w:tcBorders>
                    <w:tl2br w:val="nil"/>
                    <w:tr2bl w:val="nil"/>
                  </w:tcBorders>
                  <w:vAlign w:val="center"/>
                </w:tcPr>
                <w:p w14:paraId="7A7DC43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514BF1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D46D1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3E0CB1C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vMerge w:val="continue"/>
                  <w:tcBorders>
                    <w:tl2br w:val="nil"/>
                    <w:tr2bl w:val="nil"/>
                  </w:tcBorders>
                  <w:shd w:val="clear" w:color="auto" w:fill="auto"/>
                  <w:vAlign w:val="center"/>
                </w:tcPr>
                <w:p w14:paraId="72F503F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2DF9D4A7">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color w:val="auto"/>
                      <w:highlight w:val="none"/>
                      <w:lang w:val="en-US" w:eastAsia="zh-CN"/>
                    </w:rPr>
                    <w:t>美洛昔康片</w:t>
                  </w:r>
                </w:p>
              </w:tc>
              <w:tc>
                <w:tcPr>
                  <w:tcW w:w="847" w:type="dxa"/>
                  <w:tcBorders>
                    <w:tl2br w:val="nil"/>
                    <w:tr2bl w:val="nil"/>
                  </w:tcBorders>
                  <w:shd w:val="clear" w:color="auto" w:fill="auto"/>
                  <w:vAlign w:val="center"/>
                </w:tcPr>
                <w:p w14:paraId="1439A8D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100</w:t>
                  </w:r>
                </w:p>
              </w:tc>
              <w:tc>
                <w:tcPr>
                  <w:tcW w:w="1512" w:type="dxa"/>
                  <w:tcBorders>
                    <w:tl2br w:val="nil"/>
                    <w:tr2bl w:val="nil"/>
                  </w:tcBorders>
                  <w:shd w:val="clear" w:color="auto" w:fill="auto"/>
                  <w:vAlign w:val="center"/>
                </w:tcPr>
                <w:p w14:paraId="1CC2571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859" w:type="dxa"/>
                  <w:tcBorders>
                    <w:tl2br w:val="nil"/>
                    <w:tr2bl w:val="nil"/>
                  </w:tcBorders>
                  <w:shd w:val="clear" w:color="auto" w:fill="auto"/>
                  <w:vAlign w:val="center"/>
                </w:tcPr>
                <w:p w14:paraId="1939F7C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20</w:t>
                  </w:r>
                </w:p>
              </w:tc>
              <w:tc>
                <w:tcPr>
                  <w:tcW w:w="682" w:type="dxa"/>
                  <w:vMerge w:val="continue"/>
                  <w:tcBorders>
                    <w:tl2br w:val="nil"/>
                    <w:tr2bl w:val="nil"/>
                  </w:tcBorders>
                  <w:vAlign w:val="center"/>
                </w:tcPr>
                <w:p w14:paraId="524D243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35431EC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40CC3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4" w:type="dxa"/>
                  <w:vMerge w:val="continue"/>
                  <w:tcBorders>
                    <w:tl2br w:val="nil"/>
                    <w:tr2bl w:val="nil"/>
                  </w:tcBorders>
                  <w:shd w:val="clear" w:color="auto" w:fill="auto"/>
                  <w:vAlign w:val="center"/>
                </w:tcPr>
                <w:p w14:paraId="4F48938F">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848" w:type="dxa"/>
                  <w:tcBorders>
                    <w:tl2br w:val="nil"/>
                    <w:tr2bl w:val="nil"/>
                  </w:tcBorders>
                  <w:shd w:val="clear" w:color="auto" w:fill="auto"/>
                  <w:vAlign w:val="center"/>
                </w:tcPr>
                <w:p w14:paraId="384599B3">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麻醉剂</w:t>
                  </w:r>
                </w:p>
              </w:tc>
              <w:tc>
                <w:tcPr>
                  <w:tcW w:w="2200" w:type="dxa"/>
                  <w:tcBorders>
                    <w:tl2br w:val="nil"/>
                    <w:tr2bl w:val="nil"/>
                  </w:tcBorders>
                  <w:shd w:val="clear" w:color="auto" w:fill="auto"/>
                  <w:vAlign w:val="center"/>
                </w:tcPr>
                <w:p w14:paraId="1E29E184">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color w:val="auto"/>
                      <w:lang w:val="en-US" w:eastAsia="zh-CN"/>
                    </w:rPr>
                  </w:pPr>
                  <w:r>
                    <w:rPr>
                      <w:rFonts w:hint="eastAsia"/>
                      <w:color w:val="auto"/>
                      <w:lang w:val="en-US" w:eastAsia="zh-CN"/>
                    </w:rPr>
                    <w:t>异氟烷</w:t>
                  </w:r>
                </w:p>
              </w:tc>
              <w:tc>
                <w:tcPr>
                  <w:tcW w:w="847" w:type="dxa"/>
                  <w:tcBorders>
                    <w:tl2br w:val="nil"/>
                    <w:tr2bl w:val="nil"/>
                  </w:tcBorders>
                  <w:shd w:val="clear" w:color="auto" w:fill="auto"/>
                  <w:vAlign w:val="center"/>
                </w:tcPr>
                <w:p w14:paraId="7C2B9D90">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lang w:val="en-US" w:eastAsia="zh-CN"/>
                    </w:rPr>
                  </w:pPr>
                  <w:r>
                    <w:rPr>
                      <w:rFonts w:hint="eastAsia"/>
                      <w:color w:val="auto"/>
                      <w:sz w:val="21"/>
                      <w:lang w:val="en-US" w:eastAsia="zh-CN"/>
                    </w:rPr>
                    <w:t>20</w:t>
                  </w:r>
                </w:p>
              </w:tc>
              <w:tc>
                <w:tcPr>
                  <w:tcW w:w="1512" w:type="dxa"/>
                  <w:tcBorders>
                    <w:tl2br w:val="nil"/>
                    <w:tr2bl w:val="nil"/>
                  </w:tcBorders>
                  <w:shd w:val="clear" w:color="auto" w:fill="auto"/>
                  <w:vAlign w:val="center"/>
                </w:tcPr>
                <w:p w14:paraId="6735394A">
                  <w:pPr>
                    <w:keepNext w:val="0"/>
                    <w:keepLines w:val="0"/>
                    <w:pageBreakBefore w:val="0"/>
                    <w:kinsoku/>
                    <w:wordWrap/>
                    <w:overflowPunct/>
                    <w:topLinePunct w:val="0"/>
                    <w:autoSpaceDE/>
                    <w:autoSpaceDN/>
                    <w:bidi w:val="0"/>
                    <w:spacing w:line="240" w:lineRule="auto"/>
                    <w:jc w:val="center"/>
                    <w:rPr>
                      <w:rFonts w:hint="eastAsia"/>
                      <w:color w:val="auto"/>
                      <w:sz w:val="21"/>
                      <w:szCs w:val="21"/>
                      <w:lang w:val="en-US" w:eastAsia="zh-CN"/>
                    </w:rPr>
                  </w:pPr>
                  <w:r>
                    <w:rPr>
                      <w:rFonts w:hint="eastAsia"/>
                      <w:color w:val="auto"/>
                      <w:sz w:val="21"/>
                      <w:lang w:val="en-US" w:eastAsia="zh-CN"/>
                    </w:rPr>
                    <w:t>瓶</w:t>
                  </w:r>
                </w:p>
              </w:tc>
              <w:tc>
                <w:tcPr>
                  <w:tcW w:w="859" w:type="dxa"/>
                  <w:tcBorders>
                    <w:tl2br w:val="nil"/>
                    <w:tr2bl w:val="nil"/>
                  </w:tcBorders>
                  <w:shd w:val="clear" w:color="auto" w:fill="auto"/>
                  <w:vAlign w:val="center"/>
                </w:tcPr>
                <w:p w14:paraId="0D10127D">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lang w:val="en-US" w:eastAsia="zh-CN"/>
                    </w:rPr>
                  </w:pPr>
                  <w:r>
                    <w:rPr>
                      <w:rFonts w:hint="eastAsia"/>
                      <w:color w:val="auto"/>
                      <w:sz w:val="21"/>
                      <w:lang w:val="en-US" w:eastAsia="zh-CN"/>
                    </w:rPr>
                    <w:t>5</w:t>
                  </w:r>
                </w:p>
              </w:tc>
              <w:tc>
                <w:tcPr>
                  <w:tcW w:w="682" w:type="dxa"/>
                  <w:vMerge w:val="continue"/>
                  <w:tcBorders>
                    <w:tl2br w:val="nil"/>
                    <w:tr2bl w:val="nil"/>
                  </w:tcBorders>
                  <w:vAlign w:val="center"/>
                </w:tcPr>
                <w:p w14:paraId="479A70A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4222A72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1B77AE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restart"/>
                  <w:tcBorders>
                    <w:tl2br w:val="nil"/>
                    <w:tr2bl w:val="nil"/>
                  </w:tcBorders>
                  <w:shd w:val="clear" w:color="auto" w:fill="auto"/>
                  <w:vAlign w:val="center"/>
                </w:tcPr>
                <w:p w14:paraId="433AA0A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检测试纸</w:t>
                  </w:r>
                </w:p>
              </w:tc>
              <w:tc>
                <w:tcPr>
                  <w:tcW w:w="2200" w:type="dxa"/>
                  <w:tcBorders>
                    <w:tl2br w:val="nil"/>
                    <w:tr2bl w:val="nil"/>
                  </w:tcBorders>
                  <w:shd w:val="clear" w:color="auto" w:fill="auto"/>
                  <w:vAlign w:val="center"/>
                </w:tcPr>
                <w:p w14:paraId="5DAB21FC">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 xml:space="preserve">细小病毒检测盒 </w:t>
                  </w:r>
                </w:p>
              </w:tc>
              <w:tc>
                <w:tcPr>
                  <w:tcW w:w="847" w:type="dxa"/>
                  <w:tcBorders>
                    <w:tl2br w:val="nil"/>
                    <w:tr2bl w:val="nil"/>
                  </w:tcBorders>
                  <w:shd w:val="clear" w:color="auto" w:fill="auto"/>
                  <w:vAlign w:val="center"/>
                </w:tcPr>
                <w:p w14:paraId="138B6DB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100</w:t>
                  </w:r>
                </w:p>
              </w:tc>
              <w:tc>
                <w:tcPr>
                  <w:tcW w:w="1512" w:type="dxa"/>
                  <w:tcBorders>
                    <w:tl2br w:val="nil"/>
                    <w:tr2bl w:val="nil"/>
                  </w:tcBorders>
                  <w:shd w:val="clear" w:color="auto" w:fill="auto"/>
                  <w:vAlign w:val="center"/>
                </w:tcPr>
                <w:p w14:paraId="454097A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7248DAF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20</w:t>
                  </w:r>
                </w:p>
              </w:tc>
              <w:tc>
                <w:tcPr>
                  <w:tcW w:w="682" w:type="dxa"/>
                  <w:vMerge w:val="restart"/>
                  <w:tcBorders>
                    <w:tl2br w:val="nil"/>
                    <w:tr2bl w:val="nil"/>
                  </w:tcBorders>
                  <w:vAlign w:val="center"/>
                </w:tcPr>
                <w:p w14:paraId="08D149D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化验室</w:t>
                  </w:r>
                </w:p>
              </w:tc>
              <w:tc>
                <w:tcPr>
                  <w:tcW w:w="973" w:type="dxa"/>
                  <w:tcBorders>
                    <w:tl2br w:val="nil"/>
                    <w:tr2bl w:val="nil"/>
                  </w:tcBorders>
                  <w:shd w:val="clear" w:color="auto" w:fill="auto"/>
                  <w:vAlign w:val="center"/>
                </w:tcPr>
                <w:p w14:paraId="40BB251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D3C6D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24A4EAED">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2907830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lang w:val="en-US" w:eastAsia="zh-CN"/>
                    </w:rPr>
                    <w:t>犬瘟病毒检测盒</w:t>
                  </w:r>
                </w:p>
              </w:tc>
              <w:tc>
                <w:tcPr>
                  <w:tcW w:w="847" w:type="dxa"/>
                  <w:tcBorders>
                    <w:tl2br w:val="nil"/>
                    <w:tr2bl w:val="nil"/>
                  </w:tcBorders>
                  <w:shd w:val="clear" w:color="auto" w:fill="auto"/>
                  <w:vAlign w:val="center"/>
                </w:tcPr>
                <w:p w14:paraId="292F1ED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w:t>
                  </w:r>
                </w:p>
              </w:tc>
              <w:tc>
                <w:tcPr>
                  <w:tcW w:w="1512" w:type="dxa"/>
                  <w:tcBorders>
                    <w:tl2br w:val="nil"/>
                    <w:tr2bl w:val="nil"/>
                  </w:tcBorders>
                  <w:shd w:val="clear" w:color="auto" w:fill="auto"/>
                  <w:vAlign w:val="center"/>
                </w:tcPr>
                <w:p w14:paraId="747CC4F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5DD80B1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682" w:type="dxa"/>
                  <w:vMerge w:val="continue"/>
                  <w:tcBorders>
                    <w:tl2br w:val="nil"/>
                    <w:tr2bl w:val="nil"/>
                  </w:tcBorders>
                  <w:vAlign w:val="center"/>
                </w:tcPr>
                <w:p w14:paraId="23AD757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40E20D2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4D608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49FA73F6">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38679780">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color w:val="auto"/>
                      <w:sz w:val="21"/>
                      <w:szCs w:val="21"/>
                      <w:lang w:val="en-US" w:eastAsia="zh-CN"/>
                    </w:rPr>
                  </w:pPr>
                  <w:r>
                    <w:rPr>
                      <w:rFonts w:hint="eastAsia"/>
                      <w:color w:val="auto"/>
                      <w:lang w:val="en-US" w:eastAsia="zh-CN"/>
                    </w:rPr>
                    <w:t>猫瘟病毒检测盒</w:t>
                  </w:r>
                </w:p>
              </w:tc>
              <w:tc>
                <w:tcPr>
                  <w:tcW w:w="847" w:type="dxa"/>
                  <w:tcBorders>
                    <w:tl2br w:val="nil"/>
                    <w:tr2bl w:val="nil"/>
                  </w:tcBorders>
                  <w:shd w:val="clear" w:color="auto" w:fill="auto"/>
                  <w:vAlign w:val="center"/>
                </w:tcPr>
                <w:p w14:paraId="41AEA8B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150</w:t>
                  </w:r>
                </w:p>
              </w:tc>
              <w:tc>
                <w:tcPr>
                  <w:tcW w:w="1512" w:type="dxa"/>
                  <w:tcBorders>
                    <w:tl2br w:val="nil"/>
                    <w:tr2bl w:val="nil"/>
                  </w:tcBorders>
                  <w:shd w:val="clear" w:color="auto" w:fill="auto"/>
                  <w:vAlign w:val="center"/>
                </w:tcPr>
                <w:p w14:paraId="5D63C22C">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6CD6462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682" w:type="dxa"/>
                  <w:vMerge w:val="continue"/>
                  <w:tcBorders>
                    <w:tl2br w:val="nil"/>
                    <w:tr2bl w:val="nil"/>
                  </w:tcBorders>
                  <w:vAlign w:val="center"/>
                </w:tcPr>
                <w:p w14:paraId="26D97A0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4DEA312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2536F7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0F97D18D">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463FCC19">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color w:val="auto"/>
                      <w:sz w:val="21"/>
                      <w:szCs w:val="21"/>
                      <w:lang w:val="en-US" w:eastAsia="zh-CN"/>
                    </w:rPr>
                  </w:pPr>
                  <w:r>
                    <w:rPr>
                      <w:rFonts w:hint="eastAsia"/>
                      <w:color w:val="auto"/>
                      <w:lang w:val="en-US" w:eastAsia="zh-CN"/>
                    </w:rPr>
                    <w:t>血常规检测盒</w:t>
                  </w:r>
                </w:p>
              </w:tc>
              <w:tc>
                <w:tcPr>
                  <w:tcW w:w="847" w:type="dxa"/>
                  <w:tcBorders>
                    <w:tl2br w:val="nil"/>
                    <w:tr2bl w:val="nil"/>
                  </w:tcBorders>
                  <w:shd w:val="clear" w:color="auto" w:fill="auto"/>
                  <w:vAlign w:val="center"/>
                </w:tcPr>
                <w:p w14:paraId="1801128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500</w:t>
                  </w:r>
                </w:p>
              </w:tc>
              <w:tc>
                <w:tcPr>
                  <w:tcW w:w="1512" w:type="dxa"/>
                  <w:tcBorders>
                    <w:tl2br w:val="nil"/>
                    <w:tr2bl w:val="nil"/>
                  </w:tcBorders>
                  <w:shd w:val="clear" w:color="auto" w:fill="auto"/>
                  <w:vAlign w:val="center"/>
                </w:tcPr>
                <w:p w14:paraId="3A5C7DB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250C5D0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50</w:t>
                  </w:r>
                </w:p>
              </w:tc>
              <w:tc>
                <w:tcPr>
                  <w:tcW w:w="682" w:type="dxa"/>
                  <w:vMerge w:val="continue"/>
                  <w:tcBorders>
                    <w:tl2br w:val="nil"/>
                    <w:tr2bl w:val="nil"/>
                  </w:tcBorders>
                  <w:vAlign w:val="center"/>
                </w:tcPr>
                <w:p w14:paraId="66508F8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16D949F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71F25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1F41C23D">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1689068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lang w:val="en-US" w:eastAsia="zh-CN"/>
                    </w:rPr>
                    <w:t>显微镜玻片</w:t>
                  </w:r>
                </w:p>
              </w:tc>
              <w:tc>
                <w:tcPr>
                  <w:tcW w:w="847" w:type="dxa"/>
                  <w:tcBorders>
                    <w:tl2br w:val="nil"/>
                    <w:tr2bl w:val="nil"/>
                  </w:tcBorders>
                  <w:shd w:val="clear" w:color="auto" w:fill="auto"/>
                  <w:vAlign w:val="center"/>
                </w:tcPr>
                <w:p w14:paraId="7D7335A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200</w:t>
                  </w:r>
                </w:p>
              </w:tc>
              <w:tc>
                <w:tcPr>
                  <w:tcW w:w="1512" w:type="dxa"/>
                  <w:tcBorders>
                    <w:tl2br w:val="nil"/>
                    <w:tr2bl w:val="nil"/>
                  </w:tcBorders>
                  <w:shd w:val="clear" w:color="auto" w:fill="auto"/>
                  <w:vAlign w:val="center"/>
                </w:tcPr>
                <w:p w14:paraId="56C0101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5A9A074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100</w:t>
                  </w:r>
                </w:p>
              </w:tc>
              <w:tc>
                <w:tcPr>
                  <w:tcW w:w="682" w:type="dxa"/>
                  <w:vMerge w:val="continue"/>
                  <w:tcBorders>
                    <w:tl2br w:val="nil"/>
                    <w:tr2bl w:val="nil"/>
                  </w:tcBorders>
                  <w:vAlign w:val="center"/>
                </w:tcPr>
                <w:p w14:paraId="5A782C9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115333B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058004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6ADA749B">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1F32949A">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生化</w:t>
                  </w:r>
                  <w:r>
                    <w:rPr>
                      <w:rFonts w:hint="eastAsia"/>
                      <w:color w:val="auto"/>
                      <w:lang w:val="en-US" w:eastAsia="zh-CN"/>
                    </w:rPr>
                    <w:t>检测盒</w:t>
                  </w:r>
                </w:p>
              </w:tc>
              <w:tc>
                <w:tcPr>
                  <w:tcW w:w="847" w:type="dxa"/>
                  <w:tcBorders>
                    <w:tl2br w:val="nil"/>
                    <w:tr2bl w:val="nil"/>
                  </w:tcBorders>
                  <w:shd w:val="clear" w:color="auto" w:fill="auto"/>
                  <w:vAlign w:val="center"/>
                </w:tcPr>
                <w:p w14:paraId="1EAF9BA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400</w:t>
                  </w:r>
                </w:p>
              </w:tc>
              <w:tc>
                <w:tcPr>
                  <w:tcW w:w="1512" w:type="dxa"/>
                  <w:tcBorders>
                    <w:tl2br w:val="nil"/>
                    <w:tr2bl w:val="nil"/>
                  </w:tcBorders>
                  <w:shd w:val="clear" w:color="auto" w:fill="auto"/>
                  <w:vAlign w:val="center"/>
                </w:tcPr>
                <w:p w14:paraId="699A4DDD">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67C171E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50</w:t>
                  </w:r>
                </w:p>
              </w:tc>
              <w:tc>
                <w:tcPr>
                  <w:tcW w:w="682" w:type="dxa"/>
                  <w:vMerge w:val="continue"/>
                  <w:tcBorders>
                    <w:tl2br w:val="nil"/>
                    <w:tr2bl w:val="nil"/>
                  </w:tcBorders>
                  <w:vAlign w:val="center"/>
                </w:tcPr>
                <w:p w14:paraId="59798AD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1B30A20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C0B72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1DBC0F6A">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5BE7EB73">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核酸</w:t>
                  </w:r>
                  <w:r>
                    <w:rPr>
                      <w:rFonts w:hint="eastAsia"/>
                      <w:color w:val="auto"/>
                      <w:lang w:val="en-US" w:eastAsia="zh-CN"/>
                    </w:rPr>
                    <w:t>检测盒</w:t>
                  </w:r>
                </w:p>
              </w:tc>
              <w:tc>
                <w:tcPr>
                  <w:tcW w:w="847" w:type="dxa"/>
                  <w:tcBorders>
                    <w:tl2br w:val="nil"/>
                    <w:tr2bl w:val="nil"/>
                  </w:tcBorders>
                  <w:shd w:val="clear" w:color="auto" w:fill="auto"/>
                  <w:vAlign w:val="center"/>
                </w:tcPr>
                <w:p w14:paraId="15C911A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200</w:t>
                  </w:r>
                </w:p>
              </w:tc>
              <w:tc>
                <w:tcPr>
                  <w:tcW w:w="1512" w:type="dxa"/>
                  <w:tcBorders>
                    <w:tl2br w:val="nil"/>
                    <w:tr2bl w:val="nil"/>
                  </w:tcBorders>
                  <w:shd w:val="clear" w:color="auto" w:fill="auto"/>
                  <w:vAlign w:val="center"/>
                </w:tcPr>
                <w:p w14:paraId="6DD0C61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57CB26E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20</w:t>
                  </w:r>
                </w:p>
              </w:tc>
              <w:tc>
                <w:tcPr>
                  <w:tcW w:w="682" w:type="dxa"/>
                  <w:vMerge w:val="continue"/>
                  <w:tcBorders>
                    <w:tl2br w:val="nil"/>
                    <w:tr2bl w:val="nil"/>
                  </w:tcBorders>
                  <w:vAlign w:val="center"/>
                </w:tcPr>
                <w:p w14:paraId="315D091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3867152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05091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7080A2DE">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24EF18B6">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Saa</w:t>
                  </w:r>
                  <w:r>
                    <w:rPr>
                      <w:rFonts w:hint="eastAsia"/>
                      <w:color w:val="auto"/>
                      <w:lang w:val="en-US" w:eastAsia="zh-CN"/>
                    </w:rPr>
                    <w:t>检测盒</w:t>
                  </w:r>
                </w:p>
              </w:tc>
              <w:tc>
                <w:tcPr>
                  <w:tcW w:w="847" w:type="dxa"/>
                  <w:tcBorders>
                    <w:tl2br w:val="nil"/>
                    <w:tr2bl w:val="nil"/>
                  </w:tcBorders>
                  <w:shd w:val="clear" w:color="auto" w:fill="auto"/>
                  <w:vAlign w:val="center"/>
                </w:tcPr>
                <w:p w14:paraId="7FCD1FD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500</w:t>
                  </w:r>
                </w:p>
              </w:tc>
              <w:tc>
                <w:tcPr>
                  <w:tcW w:w="1512" w:type="dxa"/>
                  <w:tcBorders>
                    <w:tl2br w:val="nil"/>
                    <w:tr2bl w:val="nil"/>
                  </w:tcBorders>
                  <w:shd w:val="clear" w:color="auto" w:fill="auto"/>
                  <w:vAlign w:val="center"/>
                </w:tcPr>
                <w:p w14:paraId="41AE9CC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59E62FA8">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150</w:t>
                  </w:r>
                </w:p>
              </w:tc>
              <w:tc>
                <w:tcPr>
                  <w:tcW w:w="682" w:type="dxa"/>
                  <w:vMerge w:val="continue"/>
                  <w:tcBorders>
                    <w:tl2br w:val="nil"/>
                    <w:tr2bl w:val="nil"/>
                  </w:tcBorders>
                  <w:vAlign w:val="center"/>
                </w:tcPr>
                <w:p w14:paraId="50E7D9A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108AAE0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4139D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4A7967DE">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2200" w:type="dxa"/>
                  <w:tcBorders>
                    <w:tl2br w:val="nil"/>
                    <w:tr2bl w:val="nil"/>
                  </w:tcBorders>
                  <w:shd w:val="clear" w:color="auto" w:fill="auto"/>
                  <w:vAlign w:val="center"/>
                </w:tcPr>
                <w:p w14:paraId="58474ADC">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Crp</w:t>
                  </w:r>
                  <w:r>
                    <w:rPr>
                      <w:rFonts w:hint="eastAsia"/>
                      <w:color w:val="auto"/>
                      <w:lang w:val="en-US" w:eastAsia="zh-CN"/>
                    </w:rPr>
                    <w:t>检测盒</w:t>
                  </w:r>
                </w:p>
              </w:tc>
              <w:tc>
                <w:tcPr>
                  <w:tcW w:w="847" w:type="dxa"/>
                  <w:tcBorders>
                    <w:tl2br w:val="nil"/>
                    <w:tr2bl w:val="nil"/>
                  </w:tcBorders>
                  <w:shd w:val="clear" w:color="auto" w:fill="auto"/>
                  <w:vAlign w:val="center"/>
                </w:tcPr>
                <w:p w14:paraId="3257BB4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300</w:t>
                  </w:r>
                </w:p>
              </w:tc>
              <w:tc>
                <w:tcPr>
                  <w:tcW w:w="1512" w:type="dxa"/>
                  <w:tcBorders>
                    <w:tl2br w:val="nil"/>
                    <w:tr2bl w:val="nil"/>
                  </w:tcBorders>
                  <w:shd w:val="clear" w:color="auto" w:fill="auto"/>
                  <w:vAlign w:val="center"/>
                </w:tcPr>
                <w:p w14:paraId="7E75E4C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859" w:type="dxa"/>
                  <w:tcBorders>
                    <w:tl2br w:val="nil"/>
                    <w:tr2bl w:val="nil"/>
                  </w:tcBorders>
                  <w:shd w:val="clear" w:color="auto" w:fill="auto"/>
                  <w:vAlign w:val="center"/>
                </w:tcPr>
                <w:p w14:paraId="52A26CB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80</w:t>
                  </w:r>
                </w:p>
              </w:tc>
              <w:tc>
                <w:tcPr>
                  <w:tcW w:w="682" w:type="dxa"/>
                  <w:vMerge w:val="continue"/>
                  <w:tcBorders>
                    <w:tl2br w:val="nil"/>
                    <w:tr2bl w:val="nil"/>
                  </w:tcBorders>
                  <w:vAlign w:val="center"/>
                </w:tcPr>
                <w:p w14:paraId="15AB1B6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7C26D2C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54C6A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restart"/>
                  <w:tcBorders>
                    <w:tl2br w:val="nil"/>
                    <w:tr2bl w:val="nil"/>
                  </w:tcBorders>
                  <w:shd w:val="clear" w:color="auto" w:fill="auto"/>
                  <w:vAlign w:val="center"/>
                </w:tcPr>
                <w:p w14:paraId="078F9F2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消毒剂</w:t>
                  </w:r>
                </w:p>
              </w:tc>
              <w:tc>
                <w:tcPr>
                  <w:tcW w:w="2200" w:type="dxa"/>
                  <w:tcBorders>
                    <w:tl2br w:val="nil"/>
                    <w:tr2bl w:val="nil"/>
                  </w:tcBorders>
                  <w:shd w:val="clear" w:color="auto" w:fill="auto"/>
                  <w:vAlign w:val="center"/>
                </w:tcPr>
                <w:p w14:paraId="62C5EA8E">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医用酒精</w:t>
                  </w:r>
                </w:p>
              </w:tc>
              <w:tc>
                <w:tcPr>
                  <w:tcW w:w="847" w:type="dxa"/>
                  <w:tcBorders>
                    <w:tl2br w:val="nil"/>
                    <w:tr2bl w:val="nil"/>
                  </w:tcBorders>
                  <w:shd w:val="clear" w:color="auto" w:fill="auto"/>
                  <w:vAlign w:val="center"/>
                </w:tcPr>
                <w:p w14:paraId="432CECF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80</w:t>
                  </w:r>
                </w:p>
              </w:tc>
              <w:tc>
                <w:tcPr>
                  <w:tcW w:w="1512" w:type="dxa"/>
                  <w:tcBorders>
                    <w:tl2br w:val="nil"/>
                    <w:tr2bl w:val="nil"/>
                  </w:tcBorders>
                  <w:shd w:val="clear" w:color="auto" w:fill="auto"/>
                  <w:vAlign w:val="center"/>
                </w:tcPr>
                <w:p w14:paraId="1004D57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859" w:type="dxa"/>
                  <w:tcBorders>
                    <w:tl2br w:val="nil"/>
                    <w:tr2bl w:val="nil"/>
                  </w:tcBorders>
                  <w:shd w:val="clear" w:color="auto" w:fill="auto"/>
                  <w:vAlign w:val="center"/>
                </w:tcPr>
                <w:p w14:paraId="70BB1AE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682" w:type="dxa"/>
                  <w:vMerge w:val="restart"/>
                  <w:tcBorders>
                    <w:tl2br w:val="nil"/>
                    <w:tr2bl w:val="nil"/>
                  </w:tcBorders>
                  <w:vAlign w:val="center"/>
                </w:tcPr>
                <w:p w14:paraId="1CB0E59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药房</w:t>
                  </w:r>
                </w:p>
              </w:tc>
              <w:tc>
                <w:tcPr>
                  <w:tcW w:w="973" w:type="dxa"/>
                  <w:tcBorders>
                    <w:tl2br w:val="nil"/>
                    <w:tr2bl w:val="nil"/>
                  </w:tcBorders>
                  <w:shd w:val="clear" w:color="auto" w:fill="auto"/>
                  <w:vAlign w:val="center"/>
                </w:tcPr>
                <w:p w14:paraId="5AAA123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249C44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14E3F61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2200" w:type="dxa"/>
                  <w:tcBorders>
                    <w:tl2br w:val="nil"/>
                    <w:tr2bl w:val="nil"/>
                  </w:tcBorders>
                  <w:shd w:val="clear" w:color="auto" w:fill="auto"/>
                  <w:vAlign w:val="center"/>
                </w:tcPr>
                <w:p w14:paraId="405FD2D9">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碘伏</w:t>
                  </w:r>
                </w:p>
              </w:tc>
              <w:tc>
                <w:tcPr>
                  <w:tcW w:w="847" w:type="dxa"/>
                  <w:tcBorders>
                    <w:tl2br w:val="nil"/>
                    <w:tr2bl w:val="nil"/>
                  </w:tcBorders>
                  <w:shd w:val="clear" w:color="auto" w:fill="auto"/>
                  <w:vAlign w:val="center"/>
                </w:tcPr>
                <w:p w14:paraId="4DF1770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1512" w:type="dxa"/>
                  <w:tcBorders>
                    <w:tl2br w:val="nil"/>
                    <w:tr2bl w:val="nil"/>
                  </w:tcBorders>
                  <w:shd w:val="clear" w:color="auto" w:fill="auto"/>
                  <w:vAlign w:val="center"/>
                </w:tcPr>
                <w:p w14:paraId="5937B7A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859" w:type="dxa"/>
                  <w:tcBorders>
                    <w:tl2br w:val="nil"/>
                    <w:tr2bl w:val="nil"/>
                  </w:tcBorders>
                  <w:shd w:val="clear" w:color="auto" w:fill="auto"/>
                  <w:vAlign w:val="center"/>
                </w:tcPr>
                <w:p w14:paraId="682E449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682" w:type="dxa"/>
                  <w:vMerge w:val="continue"/>
                  <w:tcBorders>
                    <w:tl2br w:val="nil"/>
                    <w:tr2bl w:val="nil"/>
                  </w:tcBorders>
                  <w:vAlign w:val="center"/>
                </w:tcPr>
                <w:p w14:paraId="7BC63B4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5242CCB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468D5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7CC58987">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2200" w:type="dxa"/>
                  <w:tcBorders>
                    <w:tl2br w:val="nil"/>
                    <w:tr2bl w:val="nil"/>
                  </w:tcBorders>
                  <w:shd w:val="clear" w:color="auto" w:fill="auto"/>
                  <w:vAlign w:val="center"/>
                </w:tcPr>
                <w:p w14:paraId="74E148E7">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新洁尔灭</w:t>
                  </w:r>
                </w:p>
              </w:tc>
              <w:tc>
                <w:tcPr>
                  <w:tcW w:w="847" w:type="dxa"/>
                  <w:tcBorders>
                    <w:tl2br w:val="nil"/>
                    <w:tr2bl w:val="nil"/>
                  </w:tcBorders>
                  <w:shd w:val="clear" w:color="auto" w:fill="auto"/>
                  <w:vAlign w:val="center"/>
                </w:tcPr>
                <w:p w14:paraId="383BEBE6">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512" w:type="dxa"/>
                  <w:tcBorders>
                    <w:tl2br w:val="nil"/>
                    <w:tr2bl w:val="nil"/>
                  </w:tcBorders>
                  <w:shd w:val="clear" w:color="auto" w:fill="auto"/>
                  <w:vAlign w:val="center"/>
                </w:tcPr>
                <w:p w14:paraId="216D0FA1">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859" w:type="dxa"/>
                  <w:tcBorders>
                    <w:tl2br w:val="nil"/>
                    <w:tr2bl w:val="nil"/>
                  </w:tcBorders>
                  <w:shd w:val="clear" w:color="auto" w:fill="auto"/>
                  <w:vAlign w:val="center"/>
                </w:tcPr>
                <w:p w14:paraId="7EAFB3D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682" w:type="dxa"/>
                  <w:vMerge w:val="continue"/>
                  <w:tcBorders>
                    <w:tl2br w:val="nil"/>
                    <w:tr2bl w:val="nil"/>
                  </w:tcBorders>
                  <w:vAlign w:val="center"/>
                </w:tcPr>
                <w:p w14:paraId="3578B2E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336CF00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2EC0D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2BB7043C">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2200" w:type="dxa"/>
                  <w:tcBorders>
                    <w:tl2br w:val="nil"/>
                    <w:tr2bl w:val="nil"/>
                  </w:tcBorders>
                  <w:shd w:val="clear" w:color="auto" w:fill="auto"/>
                  <w:vAlign w:val="center"/>
                </w:tcPr>
                <w:p w14:paraId="4C7AD730">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color w:val="auto"/>
                      <w:sz w:val="21"/>
                      <w:lang w:val="en-US" w:eastAsia="zh-CN" w:bidi="ar-SA"/>
                    </w:rPr>
                    <w:t>84消毒液</w:t>
                  </w:r>
                </w:p>
              </w:tc>
              <w:tc>
                <w:tcPr>
                  <w:tcW w:w="847" w:type="dxa"/>
                  <w:tcBorders>
                    <w:tl2br w:val="nil"/>
                    <w:tr2bl w:val="nil"/>
                  </w:tcBorders>
                  <w:shd w:val="clear" w:color="auto" w:fill="auto"/>
                  <w:vAlign w:val="center"/>
                </w:tcPr>
                <w:p w14:paraId="2D369DA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50</w:t>
                  </w:r>
                </w:p>
              </w:tc>
              <w:tc>
                <w:tcPr>
                  <w:tcW w:w="1512" w:type="dxa"/>
                  <w:tcBorders>
                    <w:tl2br w:val="nil"/>
                    <w:tr2bl w:val="nil"/>
                  </w:tcBorders>
                  <w:shd w:val="clear" w:color="auto" w:fill="auto"/>
                  <w:vAlign w:val="center"/>
                </w:tcPr>
                <w:p w14:paraId="7138C5A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500ml/瓶，次氯酸钠</w:t>
                  </w:r>
                </w:p>
              </w:tc>
              <w:tc>
                <w:tcPr>
                  <w:tcW w:w="859" w:type="dxa"/>
                  <w:tcBorders>
                    <w:tl2br w:val="nil"/>
                    <w:tr2bl w:val="nil"/>
                  </w:tcBorders>
                  <w:shd w:val="clear" w:color="auto" w:fill="auto"/>
                  <w:vAlign w:val="center"/>
                </w:tcPr>
                <w:p w14:paraId="7AFCABE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682" w:type="dxa"/>
                  <w:vMerge w:val="continue"/>
                  <w:tcBorders>
                    <w:tl2br w:val="nil"/>
                    <w:tr2bl w:val="nil"/>
                  </w:tcBorders>
                  <w:vAlign w:val="center"/>
                </w:tcPr>
                <w:p w14:paraId="70DF131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40E28E6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0ACCC3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shd w:val="clear" w:color="auto" w:fill="auto"/>
                  <w:vAlign w:val="center"/>
                </w:tcPr>
                <w:p w14:paraId="4E8A0935">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2200" w:type="dxa"/>
                  <w:tcBorders>
                    <w:tl2br w:val="nil"/>
                    <w:tr2bl w:val="nil"/>
                  </w:tcBorders>
                  <w:shd w:val="clear" w:color="auto" w:fill="auto"/>
                  <w:vAlign w:val="center"/>
                </w:tcPr>
                <w:p w14:paraId="096173A4">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rPr>
                      <w:rFonts w:hint="default" w:ascii="Times New Roman" w:hAnsi="Times New Roman" w:eastAsia="宋体" w:cs="Times New Roman"/>
                      <w:b w:val="0"/>
                      <w:color w:val="auto"/>
                      <w:sz w:val="21"/>
                      <w:lang w:val="en-US" w:eastAsia="zh-CN" w:bidi="ar-SA"/>
                    </w:rPr>
                  </w:pPr>
                  <w:r>
                    <w:rPr>
                      <w:rFonts w:hint="eastAsia" w:ascii="Times New Roman" w:hAnsi="Times New Roman" w:cs="Times New Roman"/>
                      <w:b w:val="0"/>
                      <w:color w:val="auto"/>
                      <w:sz w:val="21"/>
                      <w:lang w:val="en-US" w:eastAsia="zh-CN" w:bidi="ar-SA"/>
                    </w:rPr>
                    <w:t>二氧化氯消毒片</w:t>
                  </w:r>
                </w:p>
              </w:tc>
              <w:tc>
                <w:tcPr>
                  <w:tcW w:w="847" w:type="dxa"/>
                  <w:tcBorders>
                    <w:tl2br w:val="nil"/>
                    <w:tr2bl w:val="nil"/>
                  </w:tcBorders>
                  <w:shd w:val="clear" w:color="auto" w:fill="auto"/>
                  <w:vAlign w:val="center"/>
                </w:tcPr>
                <w:p w14:paraId="68B1F02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lang w:val="en-US" w:eastAsia="zh-CN" w:bidi="ar-SA"/>
                    </w:rPr>
                  </w:pPr>
                  <w:r>
                    <w:rPr>
                      <w:rFonts w:hint="eastAsia" w:cs="Times New Roman"/>
                      <w:snapToGrid w:val="0"/>
                      <w:color w:val="auto"/>
                      <w:kern w:val="2"/>
                      <w:sz w:val="21"/>
                      <w:szCs w:val="21"/>
                      <w:highlight w:val="none"/>
                      <w:lang w:val="en-US" w:eastAsia="zh-CN" w:bidi="ar-SA"/>
                    </w:rPr>
                    <w:t>5</w:t>
                  </w:r>
                </w:p>
              </w:tc>
              <w:tc>
                <w:tcPr>
                  <w:tcW w:w="1512" w:type="dxa"/>
                  <w:tcBorders>
                    <w:tl2br w:val="nil"/>
                    <w:tr2bl w:val="nil"/>
                  </w:tcBorders>
                  <w:shd w:val="clear" w:color="auto" w:fill="auto"/>
                  <w:vAlign w:val="center"/>
                </w:tcPr>
                <w:p w14:paraId="1E880D40">
                  <w:pPr>
                    <w:pStyle w:val="52"/>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snapToGrid w:val="0"/>
                      <w:color w:val="auto"/>
                      <w:kern w:val="2"/>
                      <w:sz w:val="21"/>
                      <w:szCs w:val="21"/>
                      <w:highlight w:val="none"/>
                      <w:lang w:val="en-US" w:eastAsia="zh-CN" w:bidi="ar-SA"/>
                    </w:rPr>
                    <w:t>袋，</w:t>
                  </w:r>
                  <w:r>
                    <w:rPr>
                      <w:rFonts w:hint="eastAsia" w:ascii="Times New Roman" w:hAnsi="Times New Roman" w:eastAsia="宋体" w:cs="Times New Roman"/>
                      <w:snapToGrid w:val="0"/>
                      <w:color w:val="auto"/>
                      <w:kern w:val="2"/>
                      <w:sz w:val="21"/>
                      <w:szCs w:val="21"/>
                      <w:highlight w:val="none"/>
                      <w:lang w:val="en-US" w:eastAsia="zh-CN" w:bidi="ar-SA"/>
                    </w:rPr>
                    <w:t>2kg/袋</w:t>
                  </w:r>
                </w:p>
              </w:tc>
              <w:tc>
                <w:tcPr>
                  <w:tcW w:w="859" w:type="dxa"/>
                  <w:tcBorders>
                    <w:tl2br w:val="nil"/>
                    <w:tr2bl w:val="nil"/>
                  </w:tcBorders>
                  <w:shd w:val="clear" w:color="auto" w:fill="auto"/>
                  <w:vAlign w:val="center"/>
                </w:tcPr>
                <w:p w14:paraId="11EF882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lang w:val="en-US" w:eastAsia="zh-CN" w:bidi="ar-SA"/>
                    </w:rPr>
                  </w:pPr>
                  <w:r>
                    <w:rPr>
                      <w:rFonts w:hint="eastAsia" w:cs="Times New Roman"/>
                      <w:snapToGrid w:val="0"/>
                      <w:color w:val="auto"/>
                      <w:kern w:val="2"/>
                      <w:sz w:val="21"/>
                      <w:szCs w:val="21"/>
                      <w:highlight w:val="none"/>
                      <w:lang w:val="en-US" w:eastAsia="zh-CN" w:bidi="ar-SA"/>
                    </w:rPr>
                    <w:t>1</w:t>
                  </w:r>
                </w:p>
              </w:tc>
              <w:tc>
                <w:tcPr>
                  <w:tcW w:w="682" w:type="dxa"/>
                  <w:vMerge w:val="continue"/>
                  <w:tcBorders>
                    <w:tl2br w:val="nil"/>
                    <w:tr2bl w:val="nil"/>
                  </w:tcBorders>
                  <w:vAlign w:val="center"/>
                </w:tcPr>
                <w:p w14:paraId="6EC5B86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shd w:val="clear" w:color="auto" w:fill="auto"/>
                  <w:vAlign w:val="center"/>
                </w:tcPr>
                <w:p w14:paraId="0494BD7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39620E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restart"/>
                  <w:tcBorders>
                    <w:tl2br w:val="nil"/>
                    <w:tr2bl w:val="nil"/>
                  </w:tcBorders>
                  <w:vAlign w:val="center"/>
                </w:tcPr>
                <w:p w14:paraId="1698BB9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住院动物</w:t>
                  </w:r>
                </w:p>
              </w:tc>
              <w:tc>
                <w:tcPr>
                  <w:tcW w:w="2200" w:type="dxa"/>
                  <w:tcBorders>
                    <w:tl2br w:val="nil"/>
                    <w:tr2bl w:val="nil"/>
                  </w:tcBorders>
                  <w:shd w:val="clear" w:color="auto" w:fill="auto"/>
                  <w:vAlign w:val="center"/>
                </w:tcPr>
                <w:p w14:paraId="1E9D8156">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val="en-US" w:eastAsia="zh-CN"/>
                    </w:rPr>
                    <w:t>猫砂</w:t>
                  </w:r>
                </w:p>
              </w:tc>
              <w:tc>
                <w:tcPr>
                  <w:tcW w:w="847" w:type="dxa"/>
                  <w:tcBorders>
                    <w:tl2br w:val="nil"/>
                    <w:tr2bl w:val="nil"/>
                  </w:tcBorders>
                  <w:shd w:val="clear" w:color="auto" w:fill="auto"/>
                  <w:vAlign w:val="center"/>
                </w:tcPr>
                <w:p w14:paraId="35360B1C">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w:t>
                  </w:r>
                </w:p>
              </w:tc>
              <w:tc>
                <w:tcPr>
                  <w:tcW w:w="1512" w:type="dxa"/>
                  <w:tcBorders>
                    <w:tl2br w:val="nil"/>
                    <w:tr2bl w:val="nil"/>
                  </w:tcBorders>
                  <w:shd w:val="clear" w:color="auto" w:fill="auto"/>
                  <w:vAlign w:val="center"/>
                </w:tcPr>
                <w:p w14:paraId="6FAD439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kg</w:t>
                  </w:r>
                </w:p>
              </w:tc>
              <w:tc>
                <w:tcPr>
                  <w:tcW w:w="859" w:type="dxa"/>
                  <w:tcBorders>
                    <w:tl2br w:val="nil"/>
                    <w:tr2bl w:val="nil"/>
                  </w:tcBorders>
                  <w:shd w:val="clear" w:color="auto" w:fill="auto"/>
                  <w:vAlign w:val="center"/>
                </w:tcPr>
                <w:p w14:paraId="53A6659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682" w:type="dxa"/>
                  <w:vMerge w:val="restart"/>
                  <w:tcBorders>
                    <w:tl2br w:val="nil"/>
                    <w:tr2bl w:val="nil"/>
                  </w:tcBorders>
                  <w:vAlign w:val="center"/>
                </w:tcPr>
                <w:p w14:paraId="78B3E88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接待区</w:t>
                  </w:r>
                </w:p>
              </w:tc>
              <w:tc>
                <w:tcPr>
                  <w:tcW w:w="973" w:type="dxa"/>
                  <w:tcBorders>
                    <w:tl2br w:val="nil"/>
                    <w:tr2bl w:val="nil"/>
                  </w:tcBorders>
                  <w:vAlign w:val="center"/>
                </w:tcPr>
                <w:p w14:paraId="403A2AE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3AC6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vAlign w:val="center"/>
                </w:tcPr>
                <w:p w14:paraId="65B2FC10">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2200" w:type="dxa"/>
                  <w:tcBorders>
                    <w:tl2br w:val="nil"/>
                    <w:tr2bl w:val="nil"/>
                  </w:tcBorders>
                  <w:shd w:val="clear" w:color="auto" w:fill="auto"/>
                  <w:vAlign w:val="center"/>
                </w:tcPr>
                <w:p w14:paraId="02CF672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尿垫</w:t>
                  </w:r>
                </w:p>
              </w:tc>
              <w:tc>
                <w:tcPr>
                  <w:tcW w:w="847" w:type="dxa"/>
                  <w:tcBorders>
                    <w:tl2br w:val="nil"/>
                    <w:tr2bl w:val="nil"/>
                  </w:tcBorders>
                  <w:shd w:val="clear" w:color="auto" w:fill="auto"/>
                  <w:vAlign w:val="center"/>
                </w:tcPr>
                <w:p w14:paraId="574AF2B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2000</w:t>
                  </w:r>
                </w:p>
              </w:tc>
              <w:tc>
                <w:tcPr>
                  <w:tcW w:w="1512" w:type="dxa"/>
                  <w:tcBorders>
                    <w:tl2br w:val="nil"/>
                    <w:tr2bl w:val="nil"/>
                  </w:tcBorders>
                  <w:shd w:val="clear" w:color="auto" w:fill="auto"/>
                  <w:vAlign w:val="center"/>
                </w:tcPr>
                <w:p w14:paraId="6D7F137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张</w:t>
                  </w:r>
                </w:p>
              </w:tc>
              <w:tc>
                <w:tcPr>
                  <w:tcW w:w="859" w:type="dxa"/>
                  <w:tcBorders>
                    <w:tl2br w:val="nil"/>
                    <w:tr2bl w:val="nil"/>
                  </w:tcBorders>
                  <w:shd w:val="clear" w:color="auto" w:fill="auto"/>
                  <w:vAlign w:val="center"/>
                </w:tcPr>
                <w:p w14:paraId="71F2643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p>
              </w:tc>
              <w:tc>
                <w:tcPr>
                  <w:tcW w:w="682" w:type="dxa"/>
                  <w:vMerge w:val="continue"/>
                  <w:tcBorders>
                    <w:tl2br w:val="nil"/>
                    <w:tr2bl w:val="nil"/>
                  </w:tcBorders>
                  <w:vAlign w:val="center"/>
                </w:tcPr>
                <w:p w14:paraId="14B741D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vAlign w:val="center"/>
                </w:tcPr>
                <w:p w14:paraId="3D42384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6B7855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vMerge w:val="continue"/>
                  <w:tcBorders>
                    <w:tl2br w:val="nil"/>
                    <w:tr2bl w:val="nil"/>
                  </w:tcBorders>
                  <w:vAlign w:val="center"/>
                </w:tcPr>
                <w:p w14:paraId="5B2670DD">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2200" w:type="dxa"/>
                  <w:tcBorders>
                    <w:tl2br w:val="nil"/>
                    <w:tr2bl w:val="nil"/>
                  </w:tcBorders>
                  <w:shd w:val="clear" w:color="auto" w:fill="auto"/>
                  <w:vAlign w:val="center"/>
                </w:tcPr>
                <w:p w14:paraId="2381B788">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宠物饲料</w:t>
                  </w:r>
                </w:p>
              </w:tc>
              <w:tc>
                <w:tcPr>
                  <w:tcW w:w="847" w:type="dxa"/>
                  <w:tcBorders>
                    <w:tl2br w:val="nil"/>
                    <w:tr2bl w:val="nil"/>
                  </w:tcBorders>
                  <w:shd w:val="clear" w:color="auto" w:fill="auto"/>
                  <w:vAlign w:val="center"/>
                </w:tcPr>
                <w:p w14:paraId="4FF0D26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900</w:t>
                  </w:r>
                </w:p>
              </w:tc>
              <w:tc>
                <w:tcPr>
                  <w:tcW w:w="1512" w:type="dxa"/>
                  <w:tcBorders>
                    <w:tl2br w:val="nil"/>
                    <w:tr2bl w:val="nil"/>
                  </w:tcBorders>
                  <w:shd w:val="clear" w:color="auto" w:fill="auto"/>
                  <w:vAlign w:val="center"/>
                </w:tcPr>
                <w:p w14:paraId="0C00E1F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kg</w:t>
                  </w:r>
                </w:p>
              </w:tc>
              <w:tc>
                <w:tcPr>
                  <w:tcW w:w="859" w:type="dxa"/>
                  <w:tcBorders>
                    <w:tl2br w:val="nil"/>
                    <w:tr2bl w:val="nil"/>
                  </w:tcBorders>
                  <w:shd w:val="clear" w:color="auto" w:fill="auto"/>
                  <w:vAlign w:val="center"/>
                </w:tcPr>
                <w:p w14:paraId="129379EB">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w:t>
                  </w:r>
                </w:p>
              </w:tc>
              <w:tc>
                <w:tcPr>
                  <w:tcW w:w="682" w:type="dxa"/>
                  <w:vMerge w:val="continue"/>
                  <w:tcBorders>
                    <w:tl2br w:val="nil"/>
                    <w:tr2bl w:val="nil"/>
                  </w:tcBorders>
                  <w:vAlign w:val="center"/>
                </w:tcPr>
                <w:p w14:paraId="783F7A8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973" w:type="dxa"/>
                  <w:tcBorders>
                    <w:tl2br w:val="nil"/>
                    <w:tr2bl w:val="nil"/>
                  </w:tcBorders>
                  <w:vAlign w:val="center"/>
                </w:tcPr>
                <w:p w14:paraId="7BA9F63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B355D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172" w:type="dxa"/>
                  <w:gridSpan w:val="2"/>
                  <w:tcBorders>
                    <w:tl2br w:val="nil"/>
                    <w:tr2bl w:val="nil"/>
                  </w:tcBorders>
                  <w:vAlign w:val="center"/>
                </w:tcPr>
                <w:p w14:paraId="403814B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2200" w:type="dxa"/>
                  <w:tcBorders>
                    <w:tl2br w:val="nil"/>
                    <w:tr2bl w:val="nil"/>
                  </w:tcBorders>
                  <w:shd w:val="clear" w:color="auto" w:fill="auto"/>
                  <w:vAlign w:val="center"/>
                </w:tcPr>
                <w:p w14:paraId="2B78E9AE">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氧气瓶</w:t>
                  </w:r>
                </w:p>
              </w:tc>
              <w:tc>
                <w:tcPr>
                  <w:tcW w:w="847" w:type="dxa"/>
                  <w:tcBorders>
                    <w:tl2br w:val="nil"/>
                    <w:tr2bl w:val="nil"/>
                  </w:tcBorders>
                  <w:shd w:val="clear" w:color="auto" w:fill="auto"/>
                  <w:vAlign w:val="center"/>
                </w:tcPr>
                <w:p w14:paraId="368EC0B9">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lang w:val="en-US" w:eastAsia="zh-CN"/>
                    </w:rPr>
                    <w:t>2</w:t>
                  </w:r>
                </w:p>
              </w:tc>
              <w:tc>
                <w:tcPr>
                  <w:tcW w:w="1512" w:type="dxa"/>
                  <w:tcBorders>
                    <w:tl2br w:val="nil"/>
                    <w:tr2bl w:val="nil"/>
                  </w:tcBorders>
                  <w:shd w:val="clear" w:color="auto" w:fill="auto"/>
                  <w:vAlign w:val="center"/>
                </w:tcPr>
                <w:p w14:paraId="3963EECA">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40L/</w:t>
                  </w:r>
                  <w:r>
                    <w:rPr>
                      <w:rFonts w:hint="eastAsia" w:ascii="Times New Roman" w:hAnsi="Times New Roman"/>
                      <w:color w:val="auto"/>
                      <w:sz w:val="21"/>
                      <w:szCs w:val="21"/>
                      <w:lang w:val="en-US" w:eastAsia="zh-CN"/>
                    </w:rPr>
                    <w:t>罐</w:t>
                  </w:r>
                </w:p>
              </w:tc>
              <w:tc>
                <w:tcPr>
                  <w:tcW w:w="859" w:type="dxa"/>
                  <w:tcBorders>
                    <w:tl2br w:val="nil"/>
                    <w:tr2bl w:val="nil"/>
                  </w:tcBorders>
                  <w:shd w:val="clear" w:color="auto" w:fill="auto"/>
                  <w:vAlign w:val="center"/>
                </w:tcPr>
                <w:p w14:paraId="15F1A4A1">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w:t>
                  </w:r>
                </w:p>
              </w:tc>
              <w:tc>
                <w:tcPr>
                  <w:tcW w:w="682" w:type="dxa"/>
                  <w:tcBorders>
                    <w:tl2br w:val="nil"/>
                    <w:tr2bl w:val="nil"/>
                  </w:tcBorders>
                  <w:vAlign w:val="center"/>
                </w:tcPr>
                <w:p w14:paraId="45C5149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手术室</w:t>
                  </w:r>
                </w:p>
              </w:tc>
              <w:tc>
                <w:tcPr>
                  <w:tcW w:w="973" w:type="dxa"/>
                  <w:tcBorders>
                    <w:tl2br w:val="nil"/>
                    <w:tr2bl w:val="nil"/>
                  </w:tcBorders>
                  <w:vAlign w:val="center"/>
                </w:tcPr>
                <w:p w14:paraId="7DC639B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1用1备</w:t>
                  </w:r>
                </w:p>
              </w:tc>
            </w:tr>
          </w:tbl>
          <w:p w14:paraId="4E7D553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表 2.</w:t>
            </w:r>
            <w:r>
              <w:rPr>
                <w:rFonts w:hint="eastAsia" w:cs="Times New Roman"/>
                <w:b w:val="0"/>
                <w:bCs/>
                <w:color w:val="auto"/>
                <w:sz w:val="21"/>
                <w:szCs w:val="21"/>
                <w:highlight w:val="none"/>
                <w:vertAlign w:val="baseline"/>
                <w:lang w:val="en-US" w:eastAsia="zh-CN"/>
              </w:rPr>
              <w:t>4</w:t>
            </w:r>
            <w:r>
              <w:rPr>
                <w:rFonts w:hint="default" w:ascii="Times New Roman" w:hAnsi="Times New Roman" w:cs="Times New Roman"/>
                <w:b w:val="0"/>
                <w:bCs/>
                <w:color w:val="auto"/>
                <w:sz w:val="21"/>
                <w:szCs w:val="21"/>
                <w:highlight w:val="none"/>
                <w:vertAlign w:val="baseline"/>
                <w:lang w:val="en-US" w:eastAsia="zh-CN"/>
              </w:rPr>
              <w:t>-2主要能源消耗情况表</w:t>
            </w:r>
          </w:p>
          <w:tbl>
            <w:tblPr>
              <w:tblStyle w:val="22"/>
              <w:tblW w:w="82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650"/>
              <w:gridCol w:w="1651"/>
              <w:gridCol w:w="1651"/>
              <w:gridCol w:w="1651"/>
            </w:tblGrid>
            <w:tr w14:paraId="52F08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0" w:type="dxa"/>
                  <w:tcBorders>
                    <w:tl2br w:val="nil"/>
                    <w:tr2bl w:val="nil"/>
                  </w:tcBorders>
                  <w:vAlign w:val="center"/>
                </w:tcPr>
                <w:p w14:paraId="7352A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序号</w:t>
                  </w:r>
                </w:p>
              </w:tc>
              <w:tc>
                <w:tcPr>
                  <w:tcW w:w="1650" w:type="dxa"/>
                  <w:tcBorders>
                    <w:tl2br w:val="nil"/>
                    <w:tr2bl w:val="nil"/>
                  </w:tcBorders>
                  <w:vAlign w:val="center"/>
                </w:tcPr>
                <w:p w14:paraId="6AC86A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名称</w:t>
                  </w:r>
                </w:p>
              </w:tc>
              <w:tc>
                <w:tcPr>
                  <w:tcW w:w="1651" w:type="dxa"/>
                  <w:tcBorders>
                    <w:tl2br w:val="nil"/>
                    <w:tr2bl w:val="nil"/>
                  </w:tcBorders>
                  <w:vAlign w:val="center"/>
                </w:tcPr>
                <w:p w14:paraId="2F13F7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单位</w:t>
                  </w:r>
                </w:p>
              </w:tc>
              <w:tc>
                <w:tcPr>
                  <w:tcW w:w="1651" w:type="dxa"/>
                  <w:tcBorders>
                    <w:tl2br w:val="nil"/>
                    <w:tr2bl w:val="nil"/>
                  </w:tcBorders>
                  <w:vAlign w:val="center"/>
                </w:tcPr>
                <w:p w14:paraId="0BDF7D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年消耗量</w:t>
                  </w:r>
                </w:p>
              </w:tc>
              <w:tc>
                <w:tcPr>
                  <w:tcW w:w="1651" w:type="dxa"/>
                  <w:tcBorders>
                    <w:tl2br w:val="nil"/>
                    <w:tr2bl w:val="nil"/>
                  </w:tcBorders>
                  <w:vAlign w:val="center"/>
                </w:tcPr>
                <w:p w14:paraId="72A555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备注</w:t>
                  </w:r>
                </w:p>
              </w:tc>
            </w:tr>
            <w:tr w14:paraId="0DC26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0" w:type="dxa"/>
                  <w:tcBorders>
                    <w:tl2br w:val="nil"/>
                    <w:tr2bl w:val="nil"/>
                  </w:tcBorders>
                  <w:vAlign w:val="center"/>
                </w:tcPr>
                <w:p w14:paraId="2A4189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1650" w:type="dxa"/>
                  <w:tcBorders>
                    <w:tl2br w:val="nil"/>
                    <w:tr2bl w:val="nil"/>
                  </w:tcBorders>
                  <w:vAlign w:val="center"/>
                </w:tcPr>
                <w:p w14:paraId="686C0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水</w:t>
                  </w:r>
                </w:p>
              </w:tc>
              <w:tc>
                <w:tcPr>
                  <w:tcW w:w="1651" w:type="dxa"/>
                  <w:tcBorders>
                    <w:tl2br w:val="nil"/>
                    <w:tr2bl w:val="nil"/>
                  </w:tcBorders>
                  <w:vAlign w:val="center"/>
                </w:tcPr>
                <w:p w14:paraId="298127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t</w:t>
                  </w:r>
                </w:p>
              </w:tc>
              <w:tc>
                <w:tcPr>
                  <w:tcW w:w="1651" w:type="dxa"/>
                  <w:tcBorders>
                    <w:tl2br w:val="nil"/>
                    <w:tr2bl w:val="nil"/>
                  </w:tcBorders>
                  <w:vAlign w:val="center"/>
                </w:tcPr>
                <w:p w14:paraId="377AE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r>
                    <w:rPr>
                      <w:rFonts w:hint="eastAsia" w:cs="Times New Roman"/>
                      <w:i w:val="0"/>
                      <w:iCs w:val="0"/>
                      <w:color w:val="auto"/>
                      <w:kern w:val="0"/>
                      <w:sz w:val="21"/>
                      <w:szCs w:val="21"/>
                      <w:u w:val="none"/>
                      <w:lang w:val="en-US" w:eastAsia="zh-CN" w:bidi="ar"/>
                    </w:rPr>
                    <w:t>74.895</w:t>
                  </w:r>
                </w:p>
              </w:tc>
              <w:tc>
                <w:tcPr>
                  <w:tcW w:w="1651" w:type="dxa"/>
                  <w:tcBorders>
                    <w:tl2br w:val="nil"/>
                    <w:tr2bl w:val="nil"/>
                  </w:tcBorders>
                  <w:vAlign w:val="center"/>
                </w:tcPr>
                <w:p w14:paraId="0BF911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市政</w:t>
                  </w:r>
                </w:p>
              </w:tc>
            </w:tr>
            <w:tr w14:paraId="4A7FA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0" w:type="dxa"/>
                  <w:tcBorders>
                    <w:tl2br w:val="nil"/>
                    <w:tr2bl w:val="nil"/>
                  </w:tcBorders>
                  <w:vAlign w:val="center"/>
                </w:tcPr>
                <w:p w14:paraId="74285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1650" w:type="dxa"/>
                  <w:tcBorders>
                    <w:tl2br w:val="nil"/>
                    <w:tr2bl w:val="nil"/>
                  </w:tcBorders>
                  <w:vAlign w:val="center"/>
                </w:tcPr>
                <w:p w14:paraId="5677D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电</w:t>
                  </w:r>
                </w:p>
              </w:tc>
              <w:tc>
                <w:tcPr>
                  <w:tcW w:w="1651" w:type="dxa"/>
                  <w:tcBorders>
                    <w:tl2br w:val="nil"/>
                    <w:tr2bl w:val="nil"/>
                  </w:tcBorders>
                  <w:vAlign w:val="center"/>
                </w:tcPr>
                <w:p w14:paraId="28FE83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万kwh</w:t>
                  </w:r>
                </w:p>
              </w:tc>
              <w:tc>
                <w:tcPr>
                  <w:tcW w:w="1651" w:type="dxa"/>
                  <w:tcBorders>
                    <w:tl2br w:val="nil"/>
                    <w:tr2bl w:val="nil"/>
                  </w:tcBorders>
                  <w:vAlign w:val="center"/>
                </w:tcPr>
                <w:p w14:paraId="3FDEAF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w:t>
                  </w:r>
                </w:p>
              </w:tc>
              <w:tc>
                <w:tcPr>
                  <w:tcW w:w="1651" w:type="dxa"/>
                  <w:tcBorders>
                    <w:tl2br w:val="nil"/>
                    <w:tr2bl w:val="nil"/>
                  </w:tcBorders>
                  <w:vAlign w:val="center"/>
                </w:tcPr>
                <w:p w14:paraId="66D676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市政</w:t>
                  </w:r>
                </w:p>
              </w:tc>
            </w:tr>
          </w:tbl>
          <w:p w14:paraId="42DCC99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表 2.</w:t>
            </w:r>
            <w:r>
              <w:rPr>
                <w:rFonts w:hint="eastAsia" w:ascii="Times New Roman" w:hAnsi="Times New Roman" w:eastAsia="宋体" w:cs="Times New Roman"/>
                <w:b w:val="0"/>
                <w:bCs/>
                <w:color w:val="auto"/>
                <w:sz w:val="21"/>
                <w:szCs w:val="21"/>
                <w:highlight w:val="none"/>
                <w:vertAlign w:val="baseline"/>
                <w:lang w:val="en-US" w:eastAsia="zh-CN"/>
              </w:rPr>
              <w:t>4</w:t>
            </w:r>
            <w:r>
              <w:rPr>
                <w:rFonts w:hint="default" w:ascii="Times New Roman" w:hAnsi="Times New Roman" w:eastAsia="宋体" w:cs="Times New Roman"/>
                <w:b w:val="0"/>
                <w:bCs/>
                <w:color w:val="auto"/>
                <w:sz w:val="21"/>
                <w:szCs w:val="21"/>
                <w:highlight w:val="none"/>
                <w:vertAlign w:val="baseline"/>
                <w:lang w:val="en-US" w:eastAsia="zh-CN"/>
              </w:rPr>
              <w:t>-3 原辅材料主要成分及理化性质</w:t>
            </w:r>
          </w:p>
          <w:tbl>
            <w:tblPr>
              <w:tblStyle w:val="22"/>
              <w:tblW w:w="8253"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24"/>
              <w:gridCol w:w="7129"/>
            </w:tblGrid>
            <w:tr w14:paraId="447601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124" w:type="dxa"/>
                  <w:tcBorders>
                    <w:tl2br w:val="nil"/>
                    <w:tr2bl w:val="nil"/>
                  </w:tcBorders>
                  <w:vAlign w:val="center"/>
                </w:tcPr>
                <w:p w14:paraId="726DAA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名称</w:t>
                  </w:r>
                </w:p>
              </w:tc>
              <w:tc>
                <w:tcPr>
                  <w:tcW w:w="7129" w:type="dxa"/>
                  <w:tcBorders>
                    <w:tl2br w:val="nil"/>
                    <w:tr2bl w:val="nil"/>
                  </w:tcBorders>
                  <w:vAlign w:val="center"/>
                </w:tcPr>
                <w:p w14:paraId="181A0E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理化性质</w:t>
                  </w:r>
                </w:p>
              </w:tc>
            </w:tr>
            <w:tr w14:paraId="42A5CA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124" w:type="dxa"/>
                  <w:tcBorders>
                    <w:tl2br w:val="nil"/>
                    <w:tr2bl w:val="nil"/>
                  </w:tcBorders>
                  <w:vAlign w:val="center"/>
                </w:tcPr>
                <w:p w14:paraId="3EA1A0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异氟烷</w:t>
                  </w:r>
                </w:p>
              </w:tc>
              <w:tc>
                <w:tcPr>
                  <w:tcW w:w="7129" w:type="dxa"/>
                  <w:tcBorders>
                    <w:tl2br w:val="nil"/>
                    <w:tr2bl w:val="nil"/>
                  </w:tcBorders>
                  <w:vAlign w:val="center"/>
                </w:tcPr>
                <w:p w14:paraId="54980E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卤代醚类吸入性麻醉剂，</w:t>
                  </w:r>
                  <w:r>
                    <w:rPr>
                      <w:rFonts w:hint="eastAsia" w:cs="Times New Roman"/>
                      <w:b w:val="0"/>
                      <w:bCs/>
                      <w:color w:val="auto"/>
                      <w:sz w:val="21"/>
                      <w:szCs w:val="21"/>
                      <w:highlight w:val="none"/>
                      <w:vertAlign w:val="baseline"/>
                      <w:lang w:val="en-US" w:eastAsia="zh-CN"/>
                    </w:rPr>
                    <w:t>为</w:t>
                  </w:r>
                  <w:r>
                    <w:rPr>
                      <w:rFonts w:hint="default" w:ascii="Times New Roman" w:hAnsi="Times New Roman" w:eastAsia="宋体" w:cs="Times New Roman"/>
                      <w:b w:val="0"/>
                      <w:bCs/>
                      <w:color w:val="auto"/>
                      <w:sz w:val="21"/>
                      <w:szCs w:val="21"/>
                      <w:highlight w:val="none"/>
                      <w:vertAlign w:val="baseline"/>
                      <w:lang w:val="en-US" w:eastAsia="zh-CN"/>
                    </w:rPr>
                    <w:t>无色的澄明液体，具有辛辣和发霉气味，易挥发。多用于动物麻醉，能引起中枢神经系统抑制。</w:t>
                  </w:r>
                </w:p>
              </w:tc>
            </w:tr>
            <w:tr w14:paraId="7A9D45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124" w:type="dxa"/>
                  <w:tcBorders>
                    <w:tl2br w:val="nil"/>
                    <w:tr2bl w:val="nil"/>
                  </w:tcBorders>
                  <w:vAlign w:val="center"/>
                </w:tcPr>
                <w:p w14:paraId="13E720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ascii="Times New Roman" w:hAnsi="Times New Roman" w:eastAsia="宋体"/>
                      <w:color w:val="auto"/>
                      <w:kern w:val="0"/>
                      <w:sz w:val="21"/>
                      <w:szCs w:val="21"/>
                    </w:rPr>
                    <w:t>医用酒精</w:t>
                  </w:r>
                </w:p>
              </w:tc>
              <w:tc>
                <w:tcPr>
                  <w:tcW w:w="7129" w:type="dxa"/>
                  <w:tcBorders>
                    <w:tl2br w:val="nil"/>
                    <w:tr2bl w:val="nil"/>
                  </w:tcBorders>
                  <w:vAlign w:val="center"/>
                </w:tcPr>
                <w:p w14:paraId="06B876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14:paraId="1BAE74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124" w:type="dxa"/>
                  <w:tcBorders>
                    <w:tl2br w:val="nil"/>
                    <w:tr2bl w:val="nil"/>
                  </w:tcBorders>
                  <w:vAlign w:val="center"/>
                </w:tcPr>
                <w:p w14:paraId="18F732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碘伏</w:t>
                  </w:r>
                </w:p>
              </w:tc>
              <w:tc>
                <w:tcPr>
                  <w:tcW w:w="7129" w:type="dxa"/>
                  <w:tcBorders>
                    <w:tl2br w:val="nil"/>
                    <w:tr2bl w:val="nil"/>
                  </w:tcBorders>
                  <w:vAlign w:val="center"/>
                </w:tcPr>
                <w:p w14:paraId="261002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碘伏是单质碘与聚乙烯吡咯烷酮的不定型结合物。医用碘伏通常浓度较低</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1%或以下</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，呈现浅棕色。碘伏具有广谱杀菌作用，可杀灭细菌繁殖体真菌、原虫和部分病毒。在医疗上用作杀菌消毒剂，可用于皮肤、</w:t>
                  </w:r>
                  <w:r>
                    <w:rPr>
                      <w:rFonts w:hint="eastAsia" w:cs="Times New Roman"/>
                      <w:b w:val="0"/>
                      <w:bCs/>
                      <w:color w:val="auto"/>
                      <w:sz w:val="21"/>
                      <w:szCs w:val="21"/>
                      <w:highlight w:val="none"/>
                      <w:vertAlign w:val="baseline"/>
                      <w:lang w:val="en-US" w:eastAsia="zh-CN"/>
                    </w:rPr>
                    <w:t>黏</w:t>
                  </w:r>
                  <w:r>
                    <w:rPr>
                      <w:rFonts w:hint="default" w:ascii="Times New Roman" w:hAnsi="Times New Roman" w:eastAsia="宋体" w:cs="Times New Roman"/>
                      <w:b w:val="0"/>
                      <w:bCs/>
                      <w:color w:val="auto"/>
                      <w:sz w:val="21"/>
                      <w:szCs w:val="21"/>
                      <w:highlight w:val="none"/>
                      <w:vertAlign w:val="baseline"/>
                      <w:lang w:val="en-US" w:eastAsia="zh-CN"/>
                    </w:rPr>
                    <w:t>膜的消毒，可用于手术前和</w:t>
                  </w:r>
                  <w:r>
                    <w:rPr>
                      <w:rFonts w:hint="eastAsia" w:cs="Times New Roman"/>
                      <w:b w:val="0"/>
                      <w:bCs/>
                      <w:color w:val="auto"/>
                      <w:sz w:val="21"/>
                      <w:szCs w:val="21"/>
                      <w:highlight w:val="none"/>
                      <w:vertAlign w:val="baseline"/>
                      <w:lang w:val="en-US" w:eastAsia="zh-CN"/>
                    </w:rPr>
                    <w:t>其他</w:t>
                  </w:r>
                  <w:r>
                    <w:rPr>
                      <w:rFonts w:hint="default" w:ascii="Times New Roman" w:hAnsi="Times New Roman" w:eastAsia="宋体" w:cs="Times New Roman"/>
                      <w:b w:val="0"/>
                      <w:bCs/>
                      <w:color w:val="auto"/>
                      <w:sz w:val="21"/>
                      <w:szCs w:val="21"/>
                      <w:highlight w:val="none"/>
                      <w:vertAlign w:val="baseline"/>
                      <w:lang w:val="en-US" w:eastAsia="zh-CN"/>
                    </w:rPr>
                    <w:t>皮肤的消毒、各种注射部位皮肤消毒、器械浸泡消毒等。</w:t>
                  </w:r>
                </w:p>
              </w:tc>
            </w:tr>
            <w:tr w14:paraId="0944B8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124" w:type="dxa"/>
                  <w:tcBorders>
                    <w:tl2br w:val="nil"/>
                    <w:tr2bl w:val="nil"/>
                  </w:tcBorders>
                  <w:vAlign w:val="center"/>
                </w:tcPr>
                <w:p w14:paraId="2AF844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新洁尔灭</w:t>
                  </w:r>
                </w:p>
              </w:tc>
              <w:tc>
                <w:tcPr>
                  <w:tcW w:w="7129" w:type="dxa"/>
                  <w:tcBorders>
                    <w:tl2br w:val="nil"/>
                    <w:tr2bl w:val="nil"/>
                  </w:tcBorders>
                  <w:vAlign w:val="center"/>
                </w:tcPr>
                <w:p w14:paraId="7AA1A1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白色</w:t>
                  </w:r>
                  <w:r>
                    <w:rPr>
                      <w:rFonts w:hint="eastAsia" w:cs="Times New Roman"/>
                      <w:b w:val="0"/>
                      <w:bCs/>
                      <w:color w:val="auto"/>
                      <w:sz w:val="21"/>
                      <w:szCs w:val="21"/>
                      <w:highlight w:val="none"/>
                      <w:vertAlign w:val="baseline"/>
                      <w:lang w:val="en-US" w:eastAsia="zh-CN"/>
                    </w:rPr>
                    <w:t>蜡状</w:t>
                  </w:r>
                  <w:r>
                    <w:rPr>
                      <w:rFonts w:hint="default" w:ascii="Times New Roman" w:hAnsi="Times New Roman" w:eastAsia="宋体" w:cs="Times New Roman"/>
                      <w:b w:val="0"/>
                      <w:bCs/>
                      <w:color w:val="auto"/>
                      <w:sz w:val="21"/>
                      <w:szCs w:val="21"/>
                      <w:highlight w:val="none"/>
                      <w:vertAlign w:val="baseline"/>
                      <w:lang w:val="en-US" w:eastAsia="zh-CN"/>
                    </w:rPr>
                    <w:t>固体或黄色胶状体。熔点46-48℃，闪点大于110℃</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易溶于水或乙醇，有芳香味，味极苦。强力振摇时产生大量泡沫。新洁尔灭用途</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常用的季铵盐阳离子表面活性剂，具有优异的杀菌力和去污力。</w:t>
                  </w:r>
                </w:p>
              </w:tc>
            </w:tr>
            <w:tr w14:paraId="3DEB23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124" w:type="dxa"/>
                  <w:tcBorders>
                    <w:tl2br w:val="nil"/>
                    <w:tr2bl w:val="nil"/>
                  </w:tcBorders>
                  <w:shd w:val="clear" w:color="auto" w:fill="auto"/>
                  <w:vAlign w:val="center"/>
                </w:tcPr>
                <w:p w14:paraId="0268E3CF">
                  <w:pPr>
                    <w:pStyle w:val="5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二氧化氯</w:t>
                  </w:r>
                </w:p>
                <w:p w14:paraId="023D6F1F">
                  <w:pPr>
                    <w:pStyle w:val="5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消毒片</w:t>
                  </w:r>
                </w:p>
              </w:tc>
              <w:tc>
                <w:tcPr>
                  <w:tcW w:w="7129" w:type="dxa"/>
                  <w:tcBorders>
                    <w:tl2br w:val="nil"/>
                    <w:tr2bl w:val="nil"/>
                  </w:tcBorders>
                  <w:shd w:val="clear" w:color="auto" w:fill="auto"/>
                  <w:vAlign w:val="center"/>
                </w:tcPr>
                <w:p w14:paraId="395C515B">
                  <w:pPr>
                    <w:pStyle w:val="5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白色粒状固体</w:t>
                  </w:r>
                  <w:r>
                    <w:rPr>
                      <w:rFonts w:hint="default" w:ascii="Times New Roman" w:hAnsi="Times New Roman" w:eastAsia="宋体" w:cs="Times New Roman"/>
                      <w:b w:val="0"/>
                      <w:bCs w:val="0"/>
                      <w:color w:val="auto"/>
                      <w:kern w:val="2"/>
                      <w:sz w:val="21"/>
                      <w:szCs w:val="21"/>
                      <w:highlight w:val="none"/>
                      <w:lang w:val="en-US" w:eastAsia="zh-CN" w:bidi="ar-SA"/>
                    </w:rPr>
                    <w:t>，主要成分为二氧化氯，又被称作为二氧化氯泡腾片，属于一种安全环保的消毒片，杀菌能力不受pH值影响，具有消毒和杀菌的作用，在日常生活中应用比较广泛，可以作用于医疗器械、医院病房、传染病房、手术室，可以直接作用于室内消毒等。本项目主要用于医疗废水消毒。</w:t>
                  </w:r>
                </w:p>
              </w:tc>
            </w:tr>
            <w:tr w14:paraId="04D670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124" w:type="dxa"/>
                  <w:tcBorders>
                    <w:tl2br w:val="nil"/>
                    <w:tr2bl w:val="nil"/>
                  </w:tcBorders>
                  <w:shd w:val="clear" w:color="auto" w:fill="auto"/>
                  <w:vAlign w:val="center"/>
                </w:tcPr>
                <w:p w14:paraId="1AFFB7CA">
                  <w:pPr>
                    <w:pStyle w:val="5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84消毒液</w:t>
                  </w:r>
                </w:p>
              </w:tc>
              <w:tc>
                <w:tcPr>
                  <w:tcW w:w="7129" w:type="dxa"/>
                  <w:tcBorders>
                    <w:tl2br w:val="nil"/>
                    <w:tr2bl w:val="nil"/>
                  </w:tcBorders>
                  <w:shd w:val="clear" w:color="auto" w:fill="auto"/>
                  <w:vAlign w:val="center"/>
                </w:tcPr>
                <w:p w14:paraId="13179E68">
                  <w:pPr>
                    <w:pStyle w:val="5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无色或淡黄色液体</w:t>
                  </w:r>
                  <w:r>
                    <w:rPr>
                      <w:rFonts w:hint="eastAsia"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是一种以</w:t>
                  </w:r>
                  <w:r>
                    <w:rPr>
                      <w:rFonts w:hint="default" w:ascii="Times New Roman" w:hAnsi="Times New Roman" w:eastAsia="宋体" w:cs="Times New Roman"/>
                      <w:b w:val="0"/>
                      <w:bCs w:val="0"/>
                      <w:color w:val="auto"/>
                      <w:kern w:val="2"/>
                      <w:sz w:val="21"/>
                      <w:szCs w:val="21"/>
                      <w:highlight w:val="none"/>
                      <w:lang w:val="en-US" w:eastAsia="zh-CN" w:bidi="ar-SA"/>
                    </w:rPr>
                    <w:fldChar w:fldCharType="begin"/>
                  </w:r>
                  <w:r>
                    <w:rPr>
                      <w:rFonts w:hint="default" w:ascii="Times New Roman" w:hAnsi="Times New Roman" w:eastAsia="宋体" w:cs="Times New Roman"/>
                      <w:b w:val="0"/>
                      <w:bCs w:val="0"/>
                      <w:color w:val="auto"/>
                      <w:kern w:val="2"/>
                      <w:sz w:val="21"/>
                      <w:szCs w:val="21"/>
                      <w:highlight w:val="none"/>
                      <w:lang w:val="en-US" w:eastAsia="zh-CN" w:bidi="ar-SA"/>
                    </w:rPr>
                    <w:instrText xml:space="preserve"> HYPERLINK "https://baike.baidu.com/item/%E6%AC%A1%E6%B0%AF%E9%85%B8%E9%92%A0/2512464?fromModule=lemma_inlink" \t "https://baike.baidu.com/item/84%E6%B6%88%E6%AF%92%E6%B6%B2/_blank" </w:instrText>
                  </w:r>
                  <w:r>
                    <w:rPr>
                      <w:rFonts w:hint="default" w:ascii="Times New Roman" w:hAnsi="Times New Roman" w:eastAsia="宋体" w:cs="Times New Roman"/>
                      <w:b w:val="0"/>
                      <w:bCs w:val="0"/>
                      <w:color w:val="auto"/>
                      <w:kern w:val="2"/>
                      <w:sz w:val="21"/>
                      <w:szCs w:val="21"/>
                      <w:highlight w:val="none"/>
                      <w:lang w:val="en-US" w:eastAsia="zh-CN" w:bidi="ar-SA"/>
                    </w:rPr>
                    <w:fldChar w:fldCharType="separate"/>
                  </w:r>
                  <w:r>
                    <w:rPr>
                      <w:rFonts w:hint="default" w:ascii="Times New Roman" w:hAnsi="Times New Roman" w:eastAsia="宋体" w:cs="Times New Roman"/>
                      <w:b w:val="0"/>
                      <w:bCs w:val="0"/>
                      <w:color w:val="auto"/>
                      <w:kern w:val="2"/>
                      <w:sz w:val="21"/>
                      <w:szCs w:val="21"/>
                      <w:highlight w:val="none"/>
                      <w:lang w:val="en-US" w:eastAsia="zh-CN" w:bidi="ar-SA"/>
                    </w:rPr>
                    <w:t>次氯酸钠</w:t>
                  </w:r>
                  <w:r>
                    <w:rPr>
                      <w:rFonts w:hint="default" w:ascii="Times New Roman" w:hAnsi="Times New Roman" w:eastAsia="宋体" w:cs="Times New Roman"/>
                      <w:b w:val="0"/>
                      <w:bCs w:val="0"/>
                      <w:color w:val="auto"/>
                      <w:kern w:val="2"/>
                      <w:sz w:val="21"/>
                      <w:szCs w:val="21"/>
                      <w:highlight w:val="none"/>
                      <w:lang w:val="en-US" w:eastAsia="zh-CN" w:bidi="ar-SA"/>
                    </w:rPr>
                    <w:fldChar w:fldCharType="end"/>
                  </w:r>
                  <w:r>
                    <w:rPr>
                      <w:rFonts w:hint="default" w:ascii="Times New Roman" w:hAnsi="Times New Roman" w:eastAsia="宋体" w:cs="Times New Roman"/>
                      <w:b w:val="0"/>
                      <w:bCs w:val="0"/>
                      <w:color w:val="auto"/>
                      <w:kern w:val="2"/>
                      <w:sz w:val="21"/>
                      <w:szCs w:val="21"/>
                      <w:highlight w:val="none"/>
                      <w:lang w:val="en-US" w:eastAsia="zh-CN" w:bidi="ar-SA"/>
                    </w:rPr>
                    <w:t>为主要成分的含氯</w:t>
                  </w:r>
                  <w:r>
                    <w:rPr>
                      <w:rFonts w:hint="default" w:ascii="Times New Roman" w:hAnsi="Times New Roman" w:eastAsia="宋体" w:cs="Times New Roman"/>
                      <w:b w:val="0"/>
                      <w:bCs w:val="0"/>
                      <w:color w:val="auto"/>
                      <w:kern w:val="2"/>
                      <w:sz w:val="21"/>
                      <w:szCs w:val="21"/>
                      <w:highlight w:val="none"/>
                      <w:lang w:val="en-US" w:eastAsia="zh-CN" w:bidi="ar-SA"/>
                    </w:rPr>
                    <w:fldChar w:fldCharType="begin"/>
                  </w:r>
                  <w:r>
                    <w:rPr>
                      <w:rFonts w:hint="default" w:ascii="Times New Roman" w:hAnsi="Times New Roman" w:eastAsia="宋体" w:cs="Times New Roman"/>
                      <w:b w:val="0"/>
                      <w:bCs w:val="0"/>
                      <w:color w:val="auto"/>
                      <w:kern w:val="2"/>
                      <w:sz w:val="21"/>
                      <w:szCs w:val="21"/>
                      <w:highlight w:val="none"/>
                      <w:lang w:val="en-US" w:eastAsia="zh-CN" w:bidi="ar-SA"/>
                    </w:rPr>
                    <w:instrText xml:space="preserve"> HYPERLINK "https://baike.baidu.com/item/%E6%B6%88%E6%AF%92%E5%89%82/7903794?fromModule=lemma_inlink" \t "https://baike.baidu.com/item/84%E6%B6%88%E6%AF%92%E6%B6%B2/_blank" </w:instrText>
                  </w:r>
                  <w:r>
                    <w:rPr>
                      <w:rFonts w:hint="default" w:ascii="Times New Roman" w:hAnsi="Times New Roman" w:eastAsia="宋体" w:cs="Times New Roman"/>
                      <w:b w:val="0"/>
                      <w:bCs w:val="0"/>
                      <w:color w:val="auto"/>
                      <w:kern w:val="2"/>
                      <w:sz w:val="21"/>
                      <w:szCs w:val="21"/>
                      <w:highlight w:val="none"/>
                      <w:lang w:val="en-US" w:eastAsia="zh-CN" w:bidi="ar-SA"/>
                    </w:rPr>
                    <w:fldChar w:fldCharType="separate"/>
                  </w:r>
                  <w:r>
                    <w:rPr>
                      <w:rFonts w:hint="default" w:ascii="Times New Roman" w:hAnsi="Times New Roman" w:eastAsia="宋体" w:cs="Times New Roman"/>
                      <w:b w:val="0"/>
                      <w:bCs w:val="0"/>
                      <w:color w:val="auto"/>
                      <w:kern w:val="2"/>
                      <w:sz w:val="21"/>
                      <w:szCs w:val="21"/>
                      <w:highlight w:val="none"/>
                      <w:lang w:val="en-US" w:eastAsia="zh-CN" w:bidi="ar-SA"/>
                    </w:rPr>
                    <w:t>消毒剂</w:t>
                  </w:r>
                  <w:r>
                    <w:rPr>
                      <w:rFonts w:hint="default" w:ascii="Times New Roman" w:hAnsi="Times New Roman" w:eastAsia="宋体" w:cs="Times New Roman"/>
                      <w:b w:val="0"/>
                      <w:bCs w:val="0"/>
                      <w:color w:val="auto"/>
                      <w:kern w:val="2"/>
                      <w:sz w:val="21"/>
                      <w:szCs w:val="21"/>
                      <w:highlight w:val="none"/>
                      <w:lang w:val="en-US" w:eastAsia="zh-CN" w:bidi="ar-SA"/>
                    </w:rPr>
                    <w:fldChar w:fldCharType="end"/>
                  </w:r>
                  <w:r>
                    <w:rPr>
                      <w:rFonts w:hint="default" w:ascii="Times New Roman" w:hAnsi="Times New Roman" w:eastAsia="宋体" w:cs="Times New Roman"/>
                      <w:b w:val="0"/>
                      <w:bCs w:val="0"/>
                      <w:color w:val="auto"/>
                      <w:kern w:val="2"/>
                      <w:sz w:val="21"/>
                      <w:szCs w:val="21"/>
                      <w:highlight w:val="none"/>
                      <w:lang w:val="en-US" w:eastAsia="zh-CN" w:bidi="ar-SA"/>
                    </w:rPr>
                    <w:t>，次氯酸钠具有强氧化性，可水解生成具有强氧化性的次氯酸，能够将具有还原性的物质氧化，使微生物最终丧失机能，无法繁殖或感染。 84消毒液具有刺激性气味，有效氯含量5.5%～6.5%</w:t>
                  </w:r>
                  <w:r>
                    <w:rPr>
                      <w:rFonts w:hint="eastAsia" w:ascii="Times New Roman" w:hAnsi="Times New Roman" w:eastAsia="宋体" w:cs="Times New Roman"/>
                      <w:b w:val="0"/>
                      <w:bCs w:val="0"/>
                      <w:color w:val="auto"/>
                      <w:kern w:val="2"/>
                      <w:sz w:val="21"/>
                      <w:szCs w:val="21"/>
                      <w:highlight w:val="none"/>
                      <w:lang w:val="en-US" w:eastAsia="zh-CN" w:bidi="ar-SA"/>
                    </w:rPr>
                    <w:t>。</w:t>
                  </w:r>
                </w:p>
              </w:tc>
            </w:tr>
          </w:tbl>
          <w:p w14:paraId="290F4FF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ascii="Times New Roman" w:hAnsi="Times New Roman" w:cs="Times New Roman"/>
                <w:b/>
                <w:bCs w:val="0"/>
                <w:color w:val="auto"/>
                <w:sz w:val="24"/>
                <w:szCs w:val="24"/>
                <w:highlight w:val="none"/>
                <w:vertAlign w:val="baseline"/>
                <w:lang w:val="en-US" w:eastAsia="zh-CN"/>
              </w:rPr>
            </w:pPr>
            <w:r>
              <w:rPr>
                <w:rFonts w:hint="eastAsia"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5</w:t>
            </w:r>
            <w:r>
              <w:rPr>
                <w:rFonts w:hint="eastAsia" w:ascii="Times New Roman" w:hAnsi="Times New Roman" w:cs="Times New Roman"/>
                <w:b/>
                <w:bCs w:val="0"/>
                <w:color w:val="auto"/>
                <w:sz w:val="24"/>
                <w:szCs w:val="24"/>
                <w:highlight w:val="none"/>
                <w:vertAlign w:val="baseline"/>
                <w:lang w:val="en-US" w:eastAsia="zh-CN"/>
              </w:rPr>
              <w:t>劳动定员及工作制度</w:t>
            </w:r>
          </w:p>
          <w:p w14:paraId="5D0CD4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劳动定员</w:t>
            </w:r>
            <w:r>
              <w:rPr>
                <w:rFonts w:hint="eastAsia"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vertAlign w:val="baseline"/>
                <w:lang w:val="en-US" w:eastAsia="zh-CN"/>
              </w:rPr>
              <w:t>项目劳动定员</w:t>
            </w:r>
            <w:r>
              <w:rPr>
                <w:rFonts w:hint="eastAsia" w:cs="Times New Roman"/>
                <w:b w:val="0"/>
                <w:bCs/>
                <w:color w:val="auto"/>
                <w:sz w:val="24"/>
                <w:szCs w:val="24"/>
                <w:highlight w:val="none"/>
                <w:vertAlign w:val="baseline"/>
                <w:lang w:val="en-US" w:eastAsia="zh-CN"/>
              </w:rPr>
              <w:t>4</w:t>
            </w:r>
            <w:r>
              <w:rPr>
                <w:rFonts w:hint="default" w:ascii="Times New Roman" w:hAnsi="Times New Roman" w:cs="Times New Roman"/>
                <w:b w:val="0"/>
                <w:bCs/>
                <w:color w:val="auto"/>
                <w:sz w:val="24"/>
                <w:szCs w:val="24"/>
                <w:highlight w:val="none"/>
                <w:vertAlign w:val="baseline"/>
                <w:lang w:val="en-US" w:eastAsia="zh-CN"/>
              </w:rPr>
              <w:t>人，不提供食堂</w:t>
            </w:r>
            <w:r>
              <w:rPr>
                <w:rFonts w:hint="eastAsia" w:cs="Times New Roman"/>
                <w:b w:val="0"/>
                <w:bCs/>
                <w:color w:val="auto"/>
                <w:sz w:val="24"/>
                <w:szCs w:val="24"/>
                <w:highlight w:val="none"/>
                <w:vertAlign w:val="baseline"/>
                <w:lang w:val="en-US" w:eastAsia="zh-CN"/>
              </w:rPr>
              <w:t>和宿舍</w:t>
            </w:r>
            <w:r>
              <w:rPr>
                <w:rFonts w:hint="default" w:ascii="Times New Roman" w:hAnsi="Times New Roman" w:cs="Times New Roman"/>
                <w:b w:val="0"/>
                <w:bCs/>
                <w:color w:val="auto"/>
                <w:sz w:val="24"/>
                <w:szCs w:val="24"/>
                <w:highlight w:val="none"/>
                <w:vertAlign w:val="baseline"/>
                <w:lang w:val="en-US" w:eastAsia="zh-CN"/>
              </w:rPr>
              <w:t>。</w:t>
            </w:r>
          </w:p>
          <w:p w14:paraId="0374EA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工作制度：年工作日为365天，实行两班制，早班9</w:t>
            </w:r>
            <w:r>
              <w:rPr>
                <w:rFonts w:hint="eastAsia" w:cs="Times New Roman"/>
                <w:b w:val="0"/>
                <w:bCs/>
                <w:color w:val="auto"/>
                <w:sz w:val="24"/>
                <w:szCs w:val="24"/>
                <w:highlight w:val="none"/>
                <w:vertAlign w:val="baseline"/>
                <w:lang w:val="en-US" w:eastAsia="zh-CN"/>
              </w:rPr>
              <w:t>:</w:t>
            </w:r>
            <w:r>
              <w:rPr>
                <w:rFonts w:hint="eastAsia" w:ascii="Times New Roman" w:hAnsi="Times New Roman" w:cs="Times New Roman"/>
                <w:b w:val="0"/>
                <w:bCs/>
                <w:color w:val="auto"/>
                <w:sz w:val="24"/>
                <w:szCs w:val="24"/>
                <w:highlight w:val="none"/>
                <w:vertAlign w:val="baseline"/>
                <w:lang w:val="en-US" w:eastAsia="zh-CN"/>
              </w:rPr>
              <w:t>00-18</w:t>
            </w:r>
            <w:r>
              <w:rPr>
                <w:rFonts w:hint="eastAsia" w:cs="Times New Roman"/>
                <w:b w:val="0"/>
                <w:bCs/>
                <w:color w:val="auto"/>
                <w:sz w:val="24"/>
                <w:szCs w:val="24"/>
                <w:highlight w:val="none"/>
                <w:vertAlign w:val="baseline"/>
                <w:lang w:val="en-US" w:eastAsia="zh-CN"/>
              </w:rPr>
              <w:t>:</w:t>
            </w:r>
            <w:r>
              <w:rPr>
                <w:rFonts w:hint="eastAsia" w:ascii="Times New Roman" w:hAnsi="Times New Roman" w:cs="Times New Roman"/>
                <w:b w:val="0"/>
                <w:bCs/>
                <w:color w:val="auto"/>
                <w:sz w:val="24"/>
                <w:szCs w:val="24"/>
                <w:highlight w:val="none"/>
                <w:vertAlign w:val="baseline"/>
                <w:lang w:val="en-US" w:eastAsia="zh-CN"/>
              </w:rPr>
              <w:t>00，晚班</w:t>
            </w:r>
            <w:r>
              <w:rPr>
                <w:rFonts w:hint="eastAsia" w:cs="Times New Roman"/>
                <w:b w:val="0"/>
                <w:bCs/>
                <w:color w:val="auto"/>
                <w:sz w:val="24"/>
                <w:szCs w:val="24"/>
                <w:highlight w:val="none"/>
                <w:vertAlign w:val="baseline"/>
                <w:lang w:val="en-US" w:eastAsia="zh-CN"/>
              </w:rPr>
              <w:t>11:</w:t>
            </w:r>
            <w:r>
              <w:rPr>
                <w:rFonts w:hint="eastAsia" w:ascii="Times New Roman" w:hAnsi="Times New Roman" w:cs="Times New Roman"/>
                <w:b w:val="0"/>
                <w:bCs/>
                <w:color w:val="auto"/>
                <w:sz w:val="24"/>
                <w:szCs w:val="24"/>
                <w:highlight w:val="none"/>
                <w:vertAlign w:val="baseline"/>
                <w:lang w:val="en-US" w:eastAsia="zh-CN"/>
              </w:rPr>
              <w:t>00-2</w:t>
            </w:r>
            <w:r>
              <w:rPr>
                <w:rFonts w:hint="eastAsia" w:cs="Times New Roman"/>
                <w:b w:val="0"/>
                <w:bCs/>
                <w:color w:val="auto"/>
                <w:sz w:val="24"/>
                <w:szCs w:val="24"/>
                <w:highlight w:val="none"/>
                <w:vertAlign w:val="baseline"/>
                <w:lang w:val="en-US" w:eastAsia="zh-CN"/>
              </w:rPr>
              <w:t>0:</w:t>
            </w:r>
            <w:r>
              <w:rPr>
                <w:rFonts w:hint="eastAsia" w:ascii="Times New Roman" w:hAnsi="Times New Roman" w:cs="Times New Roman"/>
                <w:b w:val="0"/>
                <w:bCs/>
                <w:color w:val="auto"/>
                <w:sz w:val="24"/>
                <w:szCs w:val="24"/>
                <w:highlight w:val="none"/>
                <w:vertAlign w:val="baseline"/>
                <w:lang w:val="en-US" w:eastAsia="zh-CN"/>
              </w:rPr>
              <w:t>00。</w:t>
            </w:r>
          </w:p>
          <w:p w14:paraId="58389B4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color w:val="auto"/>
                <w:sz w:val="24"/>
                <w:szCs w:val="24"/>
                <w:highlight w:val="none"/>
                <w:vertAlign w:val="baseline"/>
                <w:lang w:val="en-US" w:eastAsia="zh-CN"/>
              </w:rPr>
            </w:pPr>
            <w:r>
              <w:rPr>
                <w:rFonts w:hint="eastAsia"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6</w:t>
            </w:r>
            <w:r>
              <w:rPr>
                <w:rFonts w:hint="eastAsia" w:ascii="Times New Roman" w:hAnsi="Times New Roman" w:cs="Times New Roman"/>
                <w:b/>
                <w:bCs w:val="0"/>
                <w:color w:val="auto"/>
                <w:sz w:val="24"/>
                <w:szCs w:val="24"/>
                <w:highlight w:val="none"/>
                <w:vertAlign w:val="baseline"/>
                <w:lang w:val="en-US" w:eastAsia="zh-CN"/>
              </w:rPr>
              <w:t>总平面布置</w:t>
            </w:r>
          </w:p>
          <w:p w14:paraId="15243E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（1）</w:t>
            </w:r>
            <w:r>
              <w:rPr>
                <w:rFonts w:hint="default" w:ascii="Times New Roman" w:hAnsi="Times New Roman" w:cs="Times New Roman"/>
                <w:b w:val="0"/>
                <w:bCs/>
                <w:color w:val="auto"/>
                <w:sz w:val="24"/>
                <w:szCs w:val="24"/>
                <w:lang w:val="en-US" w:eastAsia="zh-CN"/>
              </w:rPr>
              <w:t>地理位置</w:t>
            </w:r>
          </w:p>
          <w:p w14:paraId="3E8487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项目位于</w:t>
            </w:r>
            <w:r>
              <w:rPr>
                <w:rFonts w:hint="eastAsia" w:cs="Times New Roman"/>
                <w:b w:val="0"/>
                <w:bCs/>
                <w:color w:val="auto"/>
                <w:sz w:val="24"/>
                <w:szCs w:val="24"/>
                <w:highlight w:val="none"/>
                <w:lang w:val="en-US" w:eastAsia="zh-CN"/>
              </w:rPr>
              <w:t>重庆市九龙坡区华岩镇华福大道北段16号14幢附2-2号、2-3号、2-4号</w:t>
            </w:r>
            <w:r>
              <w:rPr>
                <w:rFonts w:hint="default"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为金科阳光小镇6期商业裙楼，</w:t>
            </w:r>
            <w:r>
              <w:rPr>
                <w:rFonts w:hint="eastAsia" w:cs="Times New Roman"/>
                <w:b w:val="0"/>
                <w:bCs w:val="0"/>
                <w:color w:val="auto"/>
                <w:sz w:val="24"/>
                <w:szCs w:val="24"/>
                <w:highlight w:val="none"/>
                <w:vertAlign w:val="baseline"/>
                <w:lang w:val="en-US" w:eastAsia="zh-CN"/>
              </w:rPr>
              <w:t>共2层，本项目位于2F，</w:t>
            </w:r>
            <w:r>
              <w:rPr>
                <w:rFonts w:hint="default" w:ascii="Times New Roman" w:hAnsi="Times New Roman" w:eastAsia="宋体" w:cs="Times New Roman"/>
                <w:b w:val="0"/>
                <w:bCs w:val="0"/>
                <w:color w:val="auto"/>
                <w:sz w:val="24"/>
                <w:szCs w:val="24"/>
                <w:highlight w:val="none"/>
                <w:vertAlign w:val="baseline"/>
                <w:lang w:val="en-US" w:eastAsia="zh-CN"/>
              </w:rPr>
              <w:t>相邻均为</w:t>
            </w:r>
            <w:r>
              <w:rPr>
                <w:rFonts w:hint="eastAsia" w:cs="Times New Roman"/>
                <w:b w:val="0"/>
                <w:bCs w:val="0"/>
                <w:color w:val="auto"/>
                <w:sz w:val="24"/>
                <w:szCs w:val="24"/>
                <w:highlight w:val="none"/>
                <w:vertAlign w:val="baseline"/>
                <w:lang w:val="en-US" w:eastAsia="zh-CN"/>
              </w:rPr>
              <w:t>商业住宅混合区</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项目</w:t>
            </w:r>
            <w:r>
              <w:rPr>
                <w:rFonts w:hint="eastAsia" w:cs="Times New Roman"/>
                <w:b w:val="0"/>
                <w:bCs/>
                <w:color w:val="auto"/>
                <w:sz w:val="24"/>
                <w:szCs w:val="24"/>
                <w:highlight w:val="none"/>
                <w:lang w:val="en-US" w:eastAsia="zh-CN"/>
              </w:rPr>
              <w:t>南</w:t>
            </w:r>
            <w:r>
              <w:rPr>
                <w:rFonts w:hint="default" w:ascii="Times New Roman" w:hAnsi="Times New Roman" w:cs="Times New Roman"/>
                <w:b w:val="0"/>
                <w:bCs/>
                <w:color w:val="auto"/>
                <w:sz w:val="24"/>
                <w:szCs w:val="24"/>
                <w:highlight w:val="none"/>
                <w:lang w:val="en-US" w:eastAsia="zh-CN"/>
              </w:rPr>
              <w:t>侧面向</w:t>
            </w:r>
            <w:r>
              <w:rPr>
                <w:rFonts w:hint="eastAsia" w:cs="Times New Roman"/>
                <w:color w:val="auto"/>
                <w:sz w:val="24"/>
                <w:lang w:val="en-US" w:eastAsia="zh-CN"/>
              </w:rPr>
              <w:t>华美路</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lang w:val="en-US" w:eastAsia="zh-CN"/>
              </w:rPr>
              <w:t>地理位置优越，交通便捷，所在区域城市建设成熟，供电、供水等设施完善，可以满足项目生产运营需要。</w:t>
            </w:r>
          </w:p>
          <w:p w14:paraId="0CC05A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（2）</w:t>
            </w:r>
            <w:r>
              <w:rPr>
                <w:rFonts w:hint="default" w:ascii="Times New Roman" w:hAnsi="Times New Roman" w:cs="Times New Roman"/>
                <w:b w:val="0"/>
                <w:bCs/>
                <w:color w:val="auto"/>
                <w:sz w:val="24"/>
                <w:szCs w:val="24"/>
                <w:lang w:val="en-US" w:eastAsia="zh-CN"/>
              </w:rPr>
              <w:t>平面布置</w:t>
            </w:r>
          </w:p>
          <w:p w14:paraId="18088E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项目租赁</w:t>
            </w:r>
            <w:r>
              <w:rPr>
                <w:rFonts w:hint="eastAsia" w:cs="Times New Roman"/>
                <w:b w:val="0"/>
                <w:bCs/>
                <w:color w:val="auto"/>
                <w:sz w:val="24"/>
                <w:szCs w:val="24"/>
                <w:highlight w:val="none"/>
                <w:lang w:val="en-US" w:eastAsia="zh-CN"/>
              </w:rPr>
              <w:t>金科阳光小镇6期商业裙楼2F门面</w:t>
            </w:r>
            <w:r>
              <w:rPr>
                <w:rFonts w:hint="eastAsia" w:cs="Times New Roman"/>
                <w:color w:val="auto"/>
                <w:sz w:val="24"/>
                <w:szCs w:val="24"/>
                <w:highlight w:val="none"/>
                <w:lang w:val="en-US" w:eastAsia="zh-CN"/>
              </w:rPr>
              <w:t>，门面呈长方形布置，本项目共设置1个出入口，位于医院北侧，仅供医院使用，不与其他商户共用出入口，符合《动物诊疗机构管理办法》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eastAsia="zh-CN"/>
              </w:rPr>
              <w:t>中华人民共和国农业农村部令2022年第5号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相关要求。</w:t>
            </w:r>
          </w:p>
          <w:p w14:paraId="58FB7B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医院入口处为</w:t>
            </w:r>
            <w:r>
              <w:rPr>
                <w:rFonts w:hint="eastAsia" w:cs="Times New Roman"/>
                <w:b w:val="0"/>
                <w:bCs/>
                <w:color w:val="auto"/>
                <w:sz w:val="24"/>
                <w:szCs w:val="24"/>
                <w:highlight w:val="none"/>
                <w:lang w:val="en-US" w:eastAsia="zh-CN"/>
              </w:rPr>
              <w:t>接待区，医院东侧自北向南依次布置诊室一、诊室二、诊室三；诊室三西侧为雾化区；医院西侧自北向南依次布置美容室、药房、化验室、手术室、RD室、猫住院室、犬住院室、隔离室。</w:t>
            </w:r>
            <w:r>
              <w:rPr>
                <w:rFonts w:hint="eastAsia" w:cs="Times New Roman"/>
                <w:bCs/>
                <w:color w:val="auto"/>
                <w:sz w:val="24"/>
                <w:szCs w:val="24"/>
                <w:highlight w:val="none"/>
                <w:lang w:val="en-US" w:eastAsia="zh-CN"/>
              </w:rPr>
              <w:t>项目分区明确，犬、猫住院室和隔离室分开设置，有效避免交叉感染，采取封闭式管理，非工作人员不得随意进入，可有效防止臭味扩散。</w:t>
            </w:r>
          </w:p>
          <w:p w14:paraId="36FD1D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在DR室和手术室中间的电脑桌下方设置区域安置</w:t>
            </w:r>
            <w:r>
              <w:rPr>
                <w:rFonts w:hint="default" w:ascii="Times New Roman" w:hAnsi="Times New Roman" w:cs="Times New Roman"/>
                <w:b w:val="0"/>
                <w:bCs/>
                <w:color w:val="auto"/>
                <w:sz w:val="24"/>
                <w:szCs w:val="24"/>
                <w:highlight w:val="none"/>
                <w:lang w:val="en-US" w:eastAsia="zh-CN"/>
              </w:rPr>
              <w:t>专用密闭医疗废物收集桶</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收集医疗废物和其他危险废物，避免交叉感染，定期交有资质的单位处置</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设置</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台</w:t>
            </w:r>
            <w:r>
              <w:rPr>
                <w:rFonts w:hint="eastAsia" w:cs="Times New Roman"/>
                <w:b w:val="0"/>
                <w:bCs/>
                <w:color w:val="auto"/>
                <w:sz w:val="24"/>
                <w:szCs w:val="24"/>
                <w:highlight w:val="none"/>
                <w:lang w:val="en-US" w:eastAsia="zh-CN"/>
              </w:rPr>
              <w:t>消毒设施</w:t>
            </w:r>
            <w:r>
              <w:rPr>
                <w:rFonts w:hint="default"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分别</w:t>
            </w:r>
            <w:r>
              <w:rPr>
                <w:rFonts w:hint="default" w:ascii="Times New Roman" w:hAnsi="Times New Roman" w:cs="Times New Roman"/>
                <w:b w:val="0"/>
                <w:bCs/>
                <w:color w:val="auto"/>
                <w:sz w:val="24"/>
                <w:szCs w:val="24"/>
                <w:highlight w:val="none"/>
                <w:lang w:val="en-US" w:eastAsia="zh-CN"/>
              </w:rPr>
              <w:t>位于</w:t>
            </w:r>
            <w:r>
              <w:rPr>
                <w:rFonts w:hint="eastAsia" w:cs="Times New Roman"/>
                <w:b w:val="0"/>
                <w:bCs/>
                <w:color w:val="auto"/>
                <w:sz w:val="24"/>
                <w:szCs w:val="24"/>
                <w:highlight w:val="none"/>
                <w:lang w:val="en-US" w:eastAsia="zh-CN"/>
              </w:rPr>
              <w:t>手术室和化验室</w:t>
            </w:r>
            <w:r>
              <w:rPr>
                <w:rFonts w:hint="default" w:ascii="Times New Roman" w:hAnsi="Times New Roman" w:cs="Times New Roman"/>
                <w:b w:val="0"/>
                <w:bCs/>
                <w:color w:val="auto"/>
                <w:sz w:val="24"/>
                <w:szCs w:val="24"/>
                <w:highlight w:val="none"/>
                <w:lang w:val="en-US" w:eastAsia="zh-CN"/>
              </w:rPr>
              <w:t>。营运期手术废水、手术器械清洗废水收集后进入1#消毒设施</w:t>
            </w:r>
            <w:r>
              <w:rPr>
                <w:rFonts w:hint="eastAsia" w:cs="Times New Roman"/>
                <w:b w:val="0"/>
                <w:bCs/>
                <w:color w:val="auto"/>
                <w:sz w:val="24"/>
                <w:szCs w:val="24"/>
                <w:highlight w:val="none"/>
                <w:lang w:val="en-US" w:eastAsia="zh-CN"/>
              </w:rPr>
              <w:t>预处理；诊疗废水</w:t>
            </w:r>
            <w:r>
              <w:rPr>
                <w:rFonts w:hint="default" w:ascii="Times New Roman" w:hAnsi="Times New Roman" w:cs="Times New Roman"/>
                <w:b w:val="0"/>
                <w:bCs/>
                <w:color w:val="auto"/>
                <w:sz w:val="24"/>
                <w:szCs w:val="24"/>
                <w:highlight w:val="none"/>
                <w:lang w:val="en-US" w:eastAsia="zh-CN"/>
              </w:rPr>
              <w:t>、宠物笼清洗废水</w:t>
            </w:r>
            <w:r>
              <w:rPr>
                <w:rFonts w:hint="eastAsia" w:cs="Times New Roman"/>
                <w:b w:val="0"/>
                <w:bCs/>
                <w:color w:val="auto"/>
                <w:sz w:val="24"/>
                <w:szCs w:val="24"/>
                <w:highlight w:val="none"/>
                <w:lang w:val="en-US" w:eastAsia="zh-CN"/>
              </w:rPr>
              <w:t>收集后进入2#消毒设施预处理，</w:t>
            </w:r>
            <w:r>
              <w:rPr>
                <w:rFonts w:hint="default" w:ascii="Times New Roman" w:hAnsi="Times New Roman" w:cs="Times New Roman"/>
                <w:b w:val="0"/>
                <w:bCs/>
                <w:color w:val="auto"/>
                <w:sz w:val="24"/>
                <w:szCs w:val="24"/>
                <w:highlight w:val="none"/>
                <w:lang w:val="en-US" w:eastAsia="zh-CN"/>
              </w:rPr>
              <w:t>处理</w:t>
            </w:r>
            <w:r>
              <w:rPr>
                <w:rFonts w:hint="eastAsia" w:cs="Times New Roman"/>
                <w:b w:val="0"/>
                <w:bCs/>
                <w:color w:val="auto"/>
                <w:sz w:val="24"/>
                <w:szCs w:val="24"/>
                <w:highlight w:val="none"/>
                <w:lang w:val="en-US" w:eastAsia="zh-CN"/>
              </w:rPr>
              <w:t>达</w:t>
            </w:r>
            <w:r>
              <w:rPr>
                <w:rFonts w:hint="default" w:ascii="Times New Roman" w:hAnsi="Times New Roman" w:cs="Times New Roman"/>
                <w:b w:val="0"/>
                <w:bCs/>
                <w:color w:val="auto"/>
                <w:sz w:val="24"/>
                <w:szCs w:val="24"/>
                <w:highlight w:val="none"/>
                <w:lang w:val="en-US" w:eastAsia="zh-CN"/>
              </w:rPr>
              <w:t>《医疗机构水污染物排放标准》</w:t>
            </w:r>
            <w:r>
              <w:rPr>
                <w:rFonts w:hint="eastAsia" w:cs="Times New Roman"/>
                <w:b w:val="0"/>
                <w:bCs/>
                <w:color w:val="auto"/>
                <w:sz w:val="24"/>
                <w:szCs w:val="24"/>
                <w:highlight w:val="none"/>
                <w:lang w:val="en-US" w:eastAsia="zh-CN"/>
              </w:rPr>
              <w:t>（GB18466-2005）</w:t>
            </w:r>
            <w:r>
              <w:rPr>
                <w:rFonts w:hint="default" w:ascii="Times New Roman" w:hAnsi="Times New Roman" w:cs="Times New Roman"/>
                <w:b w:val="0"/>
                <w:bCs/>
                <w:color w:val="auto"/>
                <w:sz w:val="24"/>
                <w:szCs w:val="24"/>
                <w:highlight w:val="none"/>
                <w:lang w:val="en-US" w:eastAsia="zh-CN"/>
              </w:rPr>
              <w:t>预处理标准</w:t>
            </w:r>
            <w:r>
              <w:rPr>
                <w:rFonts w:hint="eastAsia" w:cs="Times New Roman"/>
                <w:b w:val="0"/>
                <w:bCs/>
                <w:color w:val="auto"/>
                <w:sz w:val="24"/>
                <w:szCs w:val="24"/>
                <w:highlight w:val="none"/>
                <w:lang w:val="en-US" w:eastAsia="zh-CN"/>
              </w:rPr>
              <w:t>后</w:t>
            </w:r>
            <w:r>
              <w:rPr>
                <w:rFonts w:hint="default" w:ascii="Times New Roman" w:hAnsi="Times New Roman" w:cs="Times New Roman"/>
                <w:b w:val="0"/>
                <w:bCs/>
                <w:color w:val="auto"/>
                <w:sz w:val="24"/>
                <w:szCs w:val="24"/>
                <w:highlight w:val="none"/>
                <w:lang w:val="en-US" w:eastAsia="zh-CN"/>
              </w:rPr>
              <w:t>与生活污水</w:t>
            </w:r>
            <w:r>
              <w:rPr>
                <w:rFonts w:hint="eastAsia" w:cs="Times New Roman"/>
                <w:b w:val="0"/>
                <w:bCs/>
                <w:color w:val="auto"/>
                <w:sz w:val="24"/>
                <w:szCs w:val="24"/>
                <w:highlight w:val="none"/>
                <w:lang w:val="en-US" w:eastAsia="zh-CN"/>
              </w:rPr>
              <w:t>、其他废水</w:t>
            </w:r>
            <w:r>
              <w:rPr>
                <w:rFonts w:hint="default" w:ascii="Times New Roman" w:hAnsi="Times New Roman" w:cs="Times New Roman"/>
                <w:b w:val="0"/>
                <w:bCs/>
                <w:color w:val="auto"/>
                <w:sz w:val="24"/>
                <w:szCs w:val="24"/>
                <w:highlight w:val="none"/>
                <w:lang w:val="en-US" w:eastAsia="zh-CN"/>
              </w:rPr>
              <w:t>一起排入生化池进行处理。</w:t>
            </w:r>
          </w:p>
          <w:p w14:paraId="352EBB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综上，项目生产区布置功能区分明确，各功能布局清晰合理，总体布局合理。</w:t>
            </w:r>
          </w:p>
          <w:p w14:paraId="7CBC5D8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sz w:val="24"/>
                <w:szCs w:val="24"/>
                <w:highlight w:val="none"/>
                <w:vertAlign w:val="baseline"/>
                <w:lang w:val="en-US" w:eastAsia="zh-CN"/>
              </w:rPr>
            </w:pPr>
            <w:r>
              <w:rPr>
                <w:rFonts w:hint="eastAsia"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7</w:t>
            </w:r>
            <w:r>
              <w:rPr>
                <w:rFonts w:hint="eastAsia" w:ascii="Times New Roman" w:hAnsi="Times New Roman" w:cs="Times New Roman"/>
                <w:b/>
                <w:bCs w:val="0"/>
                <w:color w:val="auto"/>
                <w:sz w:val="24"/>
                <w:szCs w:val="24"/>
                <w:highlight w:val="none"/>
                <w:vertAlign w:val="baseline"/>
                <w:lang w:val="en-US" w:eastAsia="zh-CN"/>
              </w:rPr>
              <w:t>公用工程</w:t>
            </w:r>
          </w:p>
          <w:p w14:paraId="1B5AFBBA">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val="0"/>
                <w:color w:val="auto"/>
                <w:sz w:val="24"/>
                <w:szCs w:val="24"/>
                <w:highlight w:val="none"/>
                <w:vertAlign w:val="baseline"/>
                <w:lang w:val="en-US" w:eastAsia="zh-CN"/>
              </w:rPr>
            </w:pPr>
            <w:r>
              <w:rPr>
                <w:rFonts w:hint="eastAsia"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7</w:t>
            </w:r>
            <w:r>
              <w:rPr>
                <w:rFonts w:hint="eastAsia" w:ascii="Times New Roman" w:hAnsi="Times New Roman" w:cs="Times New Roman"/>
                <w:b/>
                <w:bCs w:val="0"/>
                <w:color w:val="auto"/>
                <w:sz w:val="24"/>
                <w:szCs w:val="24"/>
                <w:highlight w:val="none"/>
                <w:vertAlign w:val="baseline"/>
                <w:lang w:val="en-US" w:eastAsia="zh-CN"/>
              </w:rPr>
              <w:t>.1</w:t>
            </w:r>
            <w:r>
              <w:rPr>
                <w:rFonts w:hint="eastAsia" w:cs="Times New Roman"/>
                <w:b/>
                <w:bCs w:val="0"/>
                <w:color w:val="auto"/>
                <w:sz w:val="24"/>
                <w:szCs w:val="24"/>
                <w:highlight w:val="none"/>
                <w:vertAlign w:val="baseline"/>
                <w:lang w:val="en-US" w:eastAsia="zh-CN"/>
              </w:rPr>
              <w:t>给排水</w:t>
            </w:r>
          </w:p>
          <w:p w14:paraId="08B6B4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default" w:ascii="Times New Roman" w:hAnsi="Times New Roman" w:eastAsia="宋体" w:cs="Times New Roman"/>
                <w:b w:val="0"/>
                <w:bCs/>
                <w:color w:val="auto"/>
                <w:sz w:val="24"/>
                <w:szCs w:val="24"/>
                <w:highlight w:val="none"/>
                <w:vertAlign w:val="baseline"/>
                <w:lang w:val="en-US" w:eastAsia="zh-CN"/>
              </w:rPr>
              <w:t>（1）给水水源</w:t>
            </w:r>
          </w:p>
          <w:p w14:paraId="679D22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default" w:ascii="Times New Roman" w:hAnsi="Times New Roman" w:eastAsia="宋体" w:cs="Times New Roman"/>
                <w:b w:val="0"/>
                <w:bCs/>
                <w:color w:val="auto"/>
                <w:sz w:val="24"/>
                <w:szCs w:val="24"/>
                <w:highlight w:val="none"/>
                <w:vertAlign w:val="baseline"/>
                <w:lang w:val="en-US" w:eastAsia="zh-CN"/>
              </w:rPr>
              <w:t>项目供水主要来自市政自来水厂，利用市政给水管接口接入。</w:t>
            </w:r>
          </w:p>
          <w:p w14:paraId="7C43AA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default" w:ascii="Times New Roman" w:hAnsi="Times New Roman" w:eastAsia="宋体" w:cs="Times New Roman"/>
                <w:b w:val="0"/>
                <w:bCs/>
                <w:color w:val="auto"/>
                <w:sz w:val="24"/>
                <w:szCs w:val="24"/>
                <w:highlight w:val="none"/>
                <w:vertAlign w:val="baseline"/>
                <w:lang w:val="en-US" w:eastAsia="zh-CN"/>
              </w:rPr>
              <w:t>（2）用</w:t>
            </w:r>
            <w:r>
              <w:rPr>
                <w:rFonts w:hint="eastAsia" w:ascii="Times New Roman" w:hAnsi="Times New Roman" w:eastAsia="宋体" w:cs="Times New Roman"/>
                <w:b w:val="0"/>
                <w:bCs/>
                <w:color w:val="auto"/>
                <w:sz w:val="24"/>
                <w:szCs w:val="24"/>
                <w:highlight w:val="none"/>
                <w:vertAlign w:val="baseline"/>
                <w:lang w:val="en-US" w:eastAsia="zh-CN"/>
              </w:rPr>
              <w:t>、排</w:t>
            </w:r>
            <w:r>
              <w:rPr>
                <w:rFonts w:hint="default" w:ascii="Times New Roman" w:hAnsi="Times New Roman" w:eastAsia="宋体" w:cs="Times New Roman"/>
                <w:b w:val="0"/>
                <w:bCs/>
                <w:color w:val="auto"/>
                <w:sz w:val="24"/>
                <w:szCs w:val="24"/>
                <w:highlight w:val="none"/>
                <w:vertAlign w:val="baseline"/>
                <w:lang w:val="en-US" w:eastAsia="zh-CN"/>
              </w:rPr>
              <w:t>水量</w:t>
            </w:r>
          </w:p>
          <w:p w14:paraId="05807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color w:val="auto"/>
                <w:sz w:val="24"/>
                <w:szCs w:val="24"/>
                <w:highlight w:val="none"/>
                <w:lang w:val="en-US" w:eastAsia="zh-CN"/>
              </w:rPr>
              <w:t>项目不提供食堂</w:t>
            </w:r>
            <w:r>
              <w:rPr>
                <w:rFonts w:hint="eastAsia" w:ascii="Times New Roman" w:hAnsi="Times New Roman" w:eastAsia="宋体" w:cs="Times New Roman"/>
                <w:b w:val="0"/>
                <w:bCs/>
                <w:color w:val="auto"/>
                <w:sz w:val="24"/>
                <w:szCs w:val="24"/>
                <w:highlight w:val="none"/>
                <w:lang w:val="en-US" w:eastAsia="zh-CN"/>
              </w:rPr>
              <w:t>及住宿，无餐饮废水和住宿废水产生；</w:t>
            </w:r>
            <w:r>
              <w:rPr>
                <w:rFonts w:hint="eastAsia" w:ascii="Times New Roman" w:hAnsi="Times New Roman" w:eastAsia="宋体" w:cs="Times New Roman"/>
                <w:color w:val="auto"/>
                <w:sz w:val="24"/>
                <w:szCs w:val="24"/>
                <w:lang w:val="en-US" w:eastAsia="zh-CN"/>
              </w:rPr>
              <w:t>化验室采用各类自动分析仪器进行化验，使用标准配置的试剂盒，无需现场配置化学试剂，使用一次性样品容器，产生的废试剂盒、样品等经收集后暂存于</w:t>
            </w:r>
            <w:r>
              <w:rPr>
                <w:rFonts w:hint="eastAsia" w:cs="Times New Roman"/>
                <w:color w:val="auto"/>
                <w:sz w:val="24"/>
                <w:szCs w:val="24"/>
                <w:lang w:val="en-US" w:eastAsia="zh-CN"/>
              </w:rPr>
              <w:t>医疗废物贮存点</w:t>
            </w:r>
            <w:r>
              <w:rPr>
                <w:rFonts w:hint="eastAsia" w:ascii="Times New Roman" w:hAnsi="Times New Roman" w:eastAsia="宋体" w:cs="Times New Roman"/>
                <w:color w:val="auto"/>
                <w:sz w:val="24"/>
                <w:szCs w:val="24"/>
                <w:lang w:val="en-US" w:eastAsia="zh-CN"/>
              </w:rPr>
              <w:t>作为医疗废物进行处理，无化验废水产生</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本项目服务期间用水主要为医疗用水、其他用水和生活用水。其中，医疗用水主要为手术用水、手术器械清洗用水、诊疗用水、宠物笼清洗用水；其他用水主要为宠物饮水、宠物洗浴用水、地面清洁用水和洗衣用水；生活用水主要为员工生活用水和流动顾客用水。</w:t>
            </w:r>
          </w:p>
          <w:p w14:paraId="0AC21A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①</w:t>
            </w:r>
            <w:r>
              <w:rPr>
                <w:rFonts w:hint="eastAsia" w:ascii="Times New Roman" w:hAnsi="Times New Roman" w:eastAsia="宋体" w:cs="Times New Roman"/>
                <w:b/>
                <w:bCs w:val="0"/>
                <w:color w:val="auto"/>
                <w:sz w:val="24"/>
                <w:szCs w:val="24"/>
                <w:highlight w:val="none"/>
                <w:lang w:val="en-US" w:eastAsia="zh-CN"/>
              </w:rPr>
              <w:t>医疗用水</w:t>
            </w:r>
          </w:p>
          <w:p w14:paraId="4BD34F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手术用水：</w:t>
            </w:r>
            <w:r>
              <w:rPr>
                <w:rFonts w:hint="eastAsia" w:ascii="Times New Roman" w:hAnsi="Times New Roman" w:eastAsia="宋体" w:cs="Times New Roman"/>
                <w:b w:val="0"/>
                <w:bCs w:val="0"/>
                <w:color w:val="auto"/>
                <w:kern w:val="2"/>
                <w:sz w:val="24"/>
                <w:szCs w:val="24"/>
                <w:lang w:val="en-US" w:eastAsia="zh-CN" w:bidi="ar-SA"/>
              </w:rPr>
              <w:t>手术用水主要为医护人员术前术后的洗手用水，术前术后洗手在手术室的洗手槽进行。根据建设单位提供资料及类比同类型宠物医院，手术</w:t>
            </w:r>
            <w:r>
              <w:rPr>
                <w:rFonts w:hint="eastAsia" w:ascii="Times New Roman" w:hAnsi="Times New Roman" w:eastAsia="宋体" w:cs="Times New Roman"/>
                <w:color w:val="auto"/>
                <w:kern w:val="0"/>
                <w:sz w:val="24"/>
                <w:szCs w:val="24"/>
                <w:highlight w:val="none"/>
                <w:lang w:val="en-US" w:eastAsia="zh-CN" w:bidi="ar"/>
              </w:rPr>
              <w:t>用水量按20L/台</w:t>
            </w:r>
            <w:r>
              <w:rPr>
                <w:rFonts w:hint="eastAsia" w:ascii="Times New Roman" w:hAnsi="Times New Roman" w:eastAsia="宋体" w:cs="Times New Roman"/>
                <w:color w:val="auto"/>
                <w:sz w:val="24"/>
                <w:szCs w:val="24"/>
                <w:lang w:val="en-US" w:eastAsia="zh-CN"/>
              </w:rPr>
              <w:t>计，本项目</w:t>
            </w:r>
            <w:r>
              <w:rPr>
                <w:rFonts w:hint="eastAsia" w:ascii="Times New Roman" w:hAnsi="Times New Roman" w:eastAsia="宋体"/>
                <w:color w:val="auto"/>
                <w:sz w:val="24"/>
                <w:szCs w:val="24"/>
                <w:highlight w:val="none"/>
                <w:lang w:val="en-US" w:eastAsia="zh-CN"/>
              </w:rPr>
              <w:t>日最大手术量为</w:t>
            </w:r>
            <w:r>
              <w:rPr>
                <w:rFonts w:hint="eastAsia"/>
                <w:color w:val="auto"/>
                <w:sz w:val="24"/>
                <w:szCs w:val="24"/>
                <w:highlight w:val="none"/>
                <w:lang w:val="en-US" w:eastAsia="zh-CN"/>
              </w:rPr>
              <w:t>5</w:t>
            </w:r>
            <w:r>
              <w:rPr>
                <w:rFonts w:hint="eastAsia" w:ascii="Times New Roman" w:hAnsi="Times New Roman" w:eastAsia="宋体"/>
                <w:color w:val="auto"/>
                <w:sz w:val="24"/>
                <w:szCs w:val="24"/>
                <w:highlight w:val="none"/>
                <w:lang w:val="en-US" w:eastAsia="zh-CN"/>
              </w:rPr>
              <w:t>台</w:t>
            </w:r>
            <w:r>
              <w:rPr>
                <w:rFonts w:hint="eastAsia" w:ascii="Times New Roman" w:hAnsi="Times New Roman" w:eastAsia="宋体" w:cs="Times New Roman"/>
                <w:color w:val="auto"/>
                <w:sz w:val="24"/>
                <w:szCs w:val="24"/>
                <w:lang w:val="en-US" w:eastAsia="zh-CN"/>
              </w:rPr>
              <w:t>，则本项目手术用水量为</w:t>
            </w:r>
            <w:r>
              <w:rPr>
                <w:rFonts w:hint="eastAsia" w:ascii="Times New Roman" w:hAnsi="Times New Roman" w:eastAsia="宋体" w:cs="Times New Roman"/>
                <w:b w:val="0"/>
                <w:bCs w:val="0"/>
                <w:color w:val="auto"/>
                <w:kern w:val="2"/>
                <w:sz w:val="24"/>
                <w:szCs w:val="24"/>
                <w:lang w:val="en-US" w:eastAsia="zh-CN" w:bidi="ar-SA"/>
              </w:rPr>
              <w:t>0.</w:t>
            </w:r>
            <w:r>
              <w:rPr>
                <w:rFonts w:hint="eastAsia" w:cs="Times New Roman"/>
                <w:b w:val="0"/>
                <w:bCs w:val="0"/>
                <w:color w:val="auto"/>
                <w:kern w:val="2"/>
                <w:sz w:val="24"/>
                <w:szCs w:val="24"/>
                <w:lang w:val="en-US" w:eastAsia="zh-CN" w:bidi="ar-SA"/>
              </w:rPr>
              <w:t>1</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r>
              <w:rPr>
                <w:rFonts w:hint="eastAsia" w:cs="Times New Roman"/>
                <w:b w:val="0"/>
                <w:bCs w:val="0"/>
                <w:color w:val="auto"/>
                <w:kern w:val="2"/>
                <w:sz w:val="24"/>
                <w:szCs w:val="24"/>
                <w:lang w:val="en-US" w:eastAsia="zh-CN" w:bidi="ar-SA"/>
              </w:rPr>
              <w:t>36.5</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/a），</w:t>
            </w:r>
            <w:r>
              <w:rPr>
                <w:rFonts w:hint="default" w:ascii="Times New Roman" w:hAnsi="Times New Roman" w:eastAsia="宋体" w:cs="Times New Roman"/>
                <w:color w:val="auto"/>
                <w:sz w:val="24"/>
                <w:szCs w:val="24"/>
              </w:rPr>
              <w:t>产污系数以0.9计，则</w:t>
            </w:r>
            <w:r>
              <w:rPr>
                <w:rFonts w:hint="eastAsia" w:ascii="Times New Roman" w:hAnsi="Times New Roman" w:eastAsia="宋体" w:cs="Times New Roman"/>
                <w:color w:val="auto"/>
                <w:sz w:val="24"/>
                <w:szCs w:val="24"/>
                <w:lang w:val="en-US" w:eastAsia="zh-CN"/>
              </w:rPr>
              <w:t>手术废水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32.85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14:paraId="0C98BA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手术器械清洗用水：</w:t>
            </w:r>
            <w:r>
              <w:rPr>
                <w:rFonts w:hint="default" w:ascii="Times New Roman" w:hAnsi="Times New Roman" w:eastAsia="宋体" w:cs="Times New Roman"/>
                <w:b w:val="0"/>
                <w:bCs/>
                <w:color w:val="auto"/>
                <w:sz w:val="24"/>
                <w:szCs w:val="24"/>
                <w:highlight w:val="none"/>
                <w:lang w:val="en-US" w:eastAsia="zh-CN"/>
              </w:rPr>
              <w:t>根据建设单位提供资料及类比同类型宠物医院，手术器械清洗用水量约5L/台，项目每日最大手术量约</w:t>
            </w:r>
            <w:r>
              <w:rPr>
                <w:rFonts w:hint="eastAsia"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台，则手术器械清洗用水量约0.0</w:t>
            </w:r>
            <w:r>
              <w:rPr>
                <w:rFonts w:hint="eastAsia" w:cs="Times New Roman"/>
                <w:b w:val="0"/>
                <w:bCs/>
                <w:color w:val="auto"/>
                <w:sz w:val="24"/>
                <w:szCs w:val="24"/>
                <w:highlight w:val="none"/>
                <w:lang w:val="en-US" w:eastAsia="zh-CN"/>
              </w:rPr>
              <w:t>25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9.125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产污系数以0.9计，则手术器械清洗</w:t>
            </w:r>
            <w:r>
              <w:rPr>
                <w:rFonts w:hint="eastAsia"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023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8.213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color w:val="auto"/>
                <w:sz w:val="24"/>
                <w:szCs w:val="24"/>
                <w:highlight w:val="none"/>
                <w:lang w:val="en-US" w:eastAsia="zh-CN"/>
              </w:rPr>
              <w:t>。</w:t>
            </w:r>
          </w:p>
          <w:p w14:paraId="2D0AF0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诊疗</w:t>
            </w:r>
            <w:r>
              <w:rPr>
                <w:rFonts w:hint="default" w:ascii="Times New Roman" w:hAnsi="Times New Roman" w:eastAsia="宋体" w:cs="Times New Roman"/>
                <w:b/>
                <w:bCs w:val="0"/>
                <w:color w:val="auto"/>
                <w:sz w:val="24"/>
                <w:szCs w:val="24"/>
                <w:highlight w:val="none"/>
                <w:lang w:val="en-US" w:eastAsia="zh-CN"/>
              </w:rPr>
              <w:t>用水：</w:t>
            </w:r>
            <w:r>
              <w:rPr>
                <w:rFonts w:hint="eastAsia" w:ascii="Times New Roman" w:hAnsi="Times New Roman" w:eastAsia="宋体" w:cs="Times New Roman"/>
                <w:color w:val="auto"/>
                <w:kern w:val="0"/>
                <w:sz w:val="24"/>
                <w:szCs w:val="24"/>
                <w:highlight w:val="none"/>
                <w:lang w:val="en-US" w:eastAsia="zh-CN" w:bidi="ar"/>
              </w:rPr>
              <w:t>诊疗用水主要为医护人员检查、化验诊断前后的洗手用水，</w:t>
            </w:r>
            <w:r>
              <w:rPr>
                <w:rFonts w:hint="eastAsia" w:ascii="Times New Roman" w:hAnsi="Times New Roman" w:eastAsia="宋体" w:cs="Times New Roman"/>
                <w:b w:val="0"/>
                <w:bCs w:val="0"/>
                <w:color w:val="auto"/>
                <w:kern w:val="2"/>
                <w:sz w:val="24"/>
                <w:szCs w:val="24"/>
                <w:lang w:val="en-US" w:eastAsia="zh-CN" w:bidi="ar-SA"/>
              </w:rPr>
              <w:t>在化验室的洗手槽进行。</w:t>
            </w:r>
            <w:r>
              <w:rPr>
                <w:rFonts w:hint="default" w:ascii="Times New Roman" w:hAnsi="Times New Roman" w:eastAsia="宋体" w:cs="Times New Roman"/>
                <w:b w:val="0"/>
                <w:bCs/>
                <w:color w:val="auto"/>
                <w:sz w:val="24"/>
                <w:szCs w:val="24"/>
                <w:highlight w:val="none"/>
                <w:lang w:val="en-US" w:eastAsia="zh-CN"/>
              </w:rPr>
              <w:t>由于目前宠物医疗用水定额暂未发布相关文件，因此项目诊疗用水参照《建筑给水排水设计标准》</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GB50015-2019</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进行用水量核算，诊疗用水定额取人医活动用水量最大值，按每只宠物15L/d计算，项目每天最大接诊量约</w:t>
            </w:r>
            <w:r>
              <w:rPr>
                <w:rFonts w:hint="eastAsia" w:cs="Times New Roman"/>
                <w:b w:val="0"/>
                <w:bCs/>
                <w:color w:val="auto"/>
                <w:sz w:val="24"/>
                <w:szCs w:val="24"/>
                <w:highlight w:val="none"/>
                <w:lang w:val="en-US" w:eastAsia="zh-CN"/>
              </w:rPr>
              <w:t>30</w:t>
            </w:r>
            <w:r>
              <w:rPr>
                <w:rFonts w:hint="default" w:ascii="Times New Roman" w:hAnsi="Times New Roman" w:eastAsia="宋体" w:cs="Times New Roman"/>
                <w:b w:val="0"/>
                <w:bCs/>
                <w:color w:val="auto"/>
                <w:sz w:val="24"/>
                <w:szCs w:val="24"/>
                <w:highlight w:val="none"/>
                <w:lang w:val="en-US" w:eastAsia="zh-CN"/>
              </w:rPr>
              <w:t>只，即项目诊疗用水量0.</w:t>
            </w:r>
            <w:r>
              <w:rPr>
                <w:rFonts w:hint="eastAsia" w:cs="Times New Roman"/>
                <w:b w:val="0"/>
                <w:bCs/>
                <w:color w:val="auto"/>
                <w:sz w:val="24"/>
                <w:szCs w:val="24"/>
                <w:highlight w:val="none"/>
                <w:lang w:val="en-US" w:eastAsia="zh-CN"/>
              </w:rPr>
              <w:t>45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164.25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产污系数以0.9计，则手术器械清洗</w:t>
            </w:r>
            <w:r>
              <w:rPr>
                <w:rFonts w:hint="eastAsia"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405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147.825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color w:val="auto"/>
                <w:sz w:val="24"/>
                <w:szCs w:val="24"/>
                <w:highlight w:val="none"/>
                <w:lang w:val="en-US" w:eastAsia="zh-CN"/>
              </w:rPr>
              <w:t>。</w:t>
            </w:r>
          </w:p>
          <w:p w14:paraId="790690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宠物笼清洗用水</w:t>
            </w:r>
            <w:r>
              <w:rPr>
                <w:rFonts w:hint="eastAsia"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项目</w:t>
            </w:r>
            <w:r>
              <w:rPr>
                <w:rFonts w:hint="eastAsia" w:ascii="Times New Roman" w:hAnsi="Times New Roman" w:eastAsia="宋体" w:cs="Times New Roman"/>
                <w:b w:val="0"/>
                <w:bCs/>
                <w:color w:val="auto"/>
                <w:sz w:val="24"/>
                <w:szCs w:val="24"/>
                <w:highlight w:val="none"/>
                <w:lang w:val="en-US" w:eastAsia="zh-CN"/>
              </w:rPr>
              <w:t>住院室的</w:t>
            </w:r>
            <w:r>
              <w:rPr>
                <w:rFonts w:hint="default" w:ascii="Times New Roman" w:hAnsi="Times New Roman" w:eastAsia="宋体" w:cs="Times New Roman"/>
                <w:b w:val="0"/>
                <w:bCs/>
                <w:color w:val="auto"/>
                <w:sz w:val="24"/>
                <w:szCs w:val="24"/>
                <w:highlight w:val="none"/>
                <w:lang w:val="en-US" w:eastAsia="zh-CN"/>
              </w:rPr>
              <w:t>宠物笼和排泄物每天需要进行清洁。根据建设单位提供资料并类比同类型宠物医院，宠物笼清洗用水量按5L/笼子计算，则项目宠物笼清洗用水量约0.</w:t>
            </w:r>
            <w:r>
              <w:rPr>
                <w:rFonts w:hint="eastAsia" w:cs="Times New Roman"/>
                <w:b w:val="0"/>
                <w:bCs/>
                <w:color w:val="auto"/>
                <w:sz w:val="24"/>
                <w:szCs w:val="24"/>
                <w:highlight w:val="none"/>
                <w:lang w:val="en-US" w:eastAsia="zh-CN"/>
              </w:rPr>
              <w:t>07</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（25.55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val="en-US" w:eastAsia="zh-CN"/>
              </w:rPr>
              <w:t>a</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w:t>
            </w:r>
            <w:r>
              <w:rPr>
                <w:rFonts w:hint="default" w:ascii="Times New Roman" w:hAnsi="Times New Roman" w:eastAsia="宋体" w:cs="Times New Roman"/>
                <w:color w:val="auto"/>
                <w:sz w:val="24"/>
                <w:szCs w:val="24"/>
                <w:lang w:val="en-US" w:eastAsia="zh-CN"/>
              </w:rPr>
              <w:t>宠物笼清洗</w:t>
            </w:r>
            <w:r>
              <w:rPr>
                <w:rFonts w:hint="eastAsia"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0.0</w:t>
            </w:r>
            <w:r>
              <w:rPr>
                <w:rFonts w:hint="eastAsia" w:cs="Times New Roman"/>
                <w:color w:val="auto"/>
                <w:sz w:val="24"/>
                <w:szCs w:val="24"/>
                <w:lang w:val="en-US" w:eastAsia="zh-CN"/>
              </w:rPr>
              <w:t>63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22.995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color w:val="auto"/>
                <w:sz w:val="24"/>
                <w:szCs w:val="24"/>
                <w:highlight w:val="none"/>
                <w:lang w:val="en-US" w:eastAsia="zh-CN"/>
              </w:rPr>
              <w:t>。</w:t>
            </w:r>
          </w:p>
          <w:p w14:paraId="67DA1D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②其他用水</w:t>
            </w:r>
          </w:p>
          <w:p w14:paraId="03E80A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imes New Roman" w:hAnsi="Times New Roman" w:eastAsia="宋体" w:cs="Times New Roman"/>
                <w:color w:val="auto"/>
                <w:sz w:val="24"/>
                <w:szCs w:val="22"/>
                <w:lang w:eastAsia="zh-CN"/>
              </w:rPr>
            </w:pPr>
            <w:r>
              <w:rPr>
                <w:rFonts w:hint="eastAsia" w:ascii="Times New Roman" w:hAnsi="Times New Roman" w:eastAsia="宋体" w:cs="Times New Roman"/>
                <w:b/>
                <w:bCs/>
                <w:color w:val="auto"/>
                <w:sz w:val="24"/>
                <w:szCs w:val="24"/>
                <w:lang w:val="en-US" w:eastAsia="zh-CN"/>
              </w:rPr>
              <w:t>宠物饮水：</w:t>
            </w:r>
            <w:r>
              <w:rPr>
                <w:rFonts w:hint="eastAsia" w:cs="Times New Roman"/>
                <w:b w:val="0"/>
                <w:bCs w:val="0"/>
                <w:color w:val="auto"/>
                <w:sz w:val="24"/>
                <w:szCs w:val="24"/>
                <w:lang w:val="en-US" w:eastAsia="zh-CN"/>
              </w:rPr>
              <w:t>项目住院宠物为猫6只，犬8只。</w:t>
            </w:r>
            <w:r>
              <w:rPr>
                <w:rFonts w:hint="eastAsia" w:ascii="Times New Roman" w:hAnsi="Times New Roman" w:eastAsia="宋体" w:cs="Times New Roman"/>
                <w:b w:val="0"/>
                <w:bCs w:val="0"/>
                <w:color w:val="auto"/>
                <w:kern w:val="2"/>
                <w:sz w:val="24"/>
                <w:szCs w:val="24"/>
                <w:lang w:val="en-US" w:eastAsia="zh-CN" w:bidi="ar-SA"/>
              </w:rPr>
              <w:t>根据建设单位提供资料及类比同类型宠物医院，</w:t>
            </w:r>
            <w:r>
              <w:rPr>
                <w:rFonts w:hint="default" w:ascii="Times New Roman" w:hAnsi="Times New Roman" w:cs="Times New Roman"/>
                <w:b w:val="0"/>
                <w:bCs/>
                <w:color w:val="auto"/>
                <w:sz w:val="24"/>
                <w:szCs w:val="24"/>
                <w:highlight w:val="none"/>
                <w:lang w:val="en-US" w:eastAsia="zh-CN"/>
              </w:rPr>
              <w:t>猫每天饮用水量约40~60ml/kg，猫重量约2.5kg~8kg，项目猫饮用水量取50ml/kg，重量取平均值6kg</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只进行计算，则猫饮用水量约0.00</w:t>
            </w:r>
            <w:r>
              <w:rPr>
                <w:rFonts w:hint="eastAsia" w:cs="Times New Roman"/>
                <w:b w:val="0"/>
                <w:bCs/>
                <w:color w:val="auto"/>
                <w:sz w:val="24"/>
                <w:szCs w:val="24"/>
                <w:highlight w:val="none"/>
                <w:lang w:val="en-US" w:eastAsia="zh-CN"/>
              </w:rPr>
              <w:t>18</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0.657</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根据查询相关资料，犬分为小型犬、中型犬、大型犬。项目接诊的小型犬体重约4~10kg/只，中型犬体重约10kg~30kg/只，大型犬体重约30kg~50kg/只，项目按照均值取各类型犬的重量，即小型犬取7kg/只，中型犬取20kg/只，大型犬取40kg/只，项目住院犬饮用水量按60ml/kg-狗进行核算。根据建设单位提供资料，项目接待的各类型犬的比例约为小型犬：中型犬：大型犬=</w:t>
            </w:r>
            <w:r>
              <w:rPr>
                <w:rFonts w:hint="eastAsia" w:cs="Times New Roman"/>
                <w:b w:val="0"/>
                <w:bCs/>
                <w:color w:val="auto"/>
                <w:sz w:val="24"/>
                <w:szCs w:val="24"/>
                <w:highlight w:val="none"/>
                <w:lang w:val="en-US" w:eastAsia="zh-CN"/>
              </w:rPr>
              <w:t>5:2:1</w:t>
            </w:r>
            <w:r>
              <w:rPr>
                <w:rFonts w:hint="default" w:ascii="Times New Roman" w:hAnsi="Times New Roman" w:cs="Times New Roman"/>
                <w:b w:val="0"/>
                <w:bCs/>
                <w:color w:val="auto"/>
                <w:sz w:val="24"/>
                <w:szCs w:val="24"/>
                <w:highlight w:val="none"/>
                <w:lang w:val="en-US" w:eastAsia="zh-CN"/>
              </w:rPr>
              <w:t>，则项目每天</w:t>
            </w:r>
            <w:r>
              <w:rPr>
                <w:rFonts w:hint="eastAsia" w:cs="Times New Roman"/>
                <w:b w:val="0"/>
                <w:bCs/>
                <w:color w:val="auto"/>
                <w:sz w:val="24"/>
                <w:szCs w:val="24"/>
                <w:highlight w:val="none"/>
                <w:lang w:val="en-US" w:eastAsia="zh-CN"/>
              </w:rPr>
              <w:t>住院</w:t>
            </w:r>
            <w:r>
              <w:rPr>
                <w:rFonts w:hint="default" w:ascii="Times New Roman" w:hAnsi="Times New Roman" w:cs="Times New Roman"/>
                <w:b w:val="0"/>
                <w:bCs/>
                <w:color w:val="auto"/>
                <w:sz w:val="24"/>
                <w:szCs w:val="24"/>
                <w:highlight w:val="none"/>
                <w:lang w:val="en-US" w:eastAsia="zh-CN"/>
              </w:rPr>
              <w:t>宠物的小型犬约</w:t>
            </w:r>
            <w:r>
              <w:rPr>
                <w:rFonts w:hint="eastAsia"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lang w:val="en-US" w:eastAsia="zh-CN"/>
              </w:rPr>
              <w:t>只，中型犬约</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只，大型犬约</w:t>
            </w:r>
            <w:r>
              <w:rPr>
                <w:rFonts w:hint="eastAsia" w:cs="Times New Roman"/>
                <w:b w:val="0"/>
                <w:bCs/>
                <w:color w:val="auto"/>
                <w:sz w:val="24"/>
                <w:szCs w:val="24"/>
                <w:highlight w:val="none"/>
                <w:lang w:val="en-US" w:eastAsia="zh-CN"/>
              </w:rPr>
              <w:t>1</w:t>
            </w:r>
            <w:r>
              <w:rPr>
                <w:rFonts w:hint="default" w:ascii="Times New Roman" w:hAnsi="Times New Roman" w:cs="Times New Roman"/>
                <w:b w:val="0"/>
                <w:bCs/>
                <w:color w:val="auto"/>
                <w:sz w:val="24"/>
                <w:szCs w:val="24"/>
                <w:highlight w:val="none"/>
                <w:lang w:val="en-US" w:eastAsia="zh-CN"/>
              </w:rPr>
              <w:t>只。则</w:t>
            </w:r>
            <w:r>
              <w:rPr>
                <w:rFonts w:hint="eastAsia" w:cs="Times New Roman"/>
                <w:b w:val="0"/>
                <w:bCs/>
                <w:color w:val="auto"/>
                <w:sz w:val="24"/>
                <w:szCs w:val="24"/>
                <w:highlight w:val="none"/>
                <w:lang w:val="en-US" w:eastAsia="zh-CN"/>
              </w:rPr>
              <w:t>住院</w:t>
            </w:r>
            <w:r>
              <w:rPr>
                <w:rFonts w:hint="default" w:ascii="Times New Roman" w:hAnsi="Times New Roman" w:cs="Times New Roman"/>
                <w:b w:val="0"/>
                <w:bCs/>
                <w:color w:val="auto"/>
                <w:sz w:val="24"/>
                <w:szCs w:val="24"/>
                <w:highlight w:val="none"/>
                <w:lang w:val="en-US" w:eastAsia="zh-CN"/>
              </w:rPr>
              <w:t>宠物小型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ascii="Times New Roman" w:hAnsi="Times New Roman" w:cs="Times New Roman"/>
                <w:b w:val="0"/>
                <w:bCs/>
                <w:color w:val="auto"/>
                <w:sz w:val="24"/>
                <w:szCs w:val="24"/>
                <w:highlight w:val="none"/>
                <w:lang w:val="en-US" w:eastAsia="zh-CN"/>
              </w:rPr>
              <w:t>0.00</w:t>
            </w:r>
            <w:r>
              <w:rPr>
                <w:rFonts w:hint="eastAsia" w:cs="Times New Roman"/>
                <w:b w:val="0"/>
                <w:bCs/>
                <w:color w:val="auto"/>
                <w:sz w:val="24"/>
                <w:szCs w:val="24"/>
                <w:highlight w:val="none"/>
                <w:lang w:val="en-US" w:eastAsia="zh-CN"/>
              </w:rPr>
              <w:t>21</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0.7665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/a），中型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cs="Times New Roman"/>
                <w:b w:val="0"/>
                <w:bCs/>
                <w:color w:val="auto"/>
                <w:sz w:val="24"/>
                <w:szCs w:val="24"/>
                <w:highlight w:val="none"/>
                <w:lang w:val="en-US" w:eastAsia="zh-CN"/>
              </w:rPr>
              <w:t>0.0024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0.876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/a），大型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cs="Times New Roman"/>
                <w:b w:val="0"/>
                <w:bCs/>
                <w:color w:val="auto"/>
                <w:sz w:val="24"/>
                <w:szCs w:val="24"/>
                <w:highlight w:val="none"/>
                <w:lang w:val="en-US" w:eastAsia="zh-CN"/>
              </w:rPr>
              <w:t>0.0024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0.876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color w:val="auto"/>
                <w:sz w:val="24"/>
                <w:szCs w:val="22"/>
                <w:lang w:val="en-US" w:eastAsia="zh-CN"/>
              </w:rPr>
              <w:t>门诊饮水按</w:t>
            </w:r>
            <w:r>
              <w:rPr>
                <w:rFonts w:hint="eastAsia" w:ascii="Times New Roman" w:hAnsi="Times New Roman" w:eastAsia="宋体" w:cs="Times New Roman"/>
                <w:b w:val="0"/>
                <w:bCs w:val="0"/>
                <w:color w:val="auto"/>
                <w:kern w:val="2"/>
                <w:sz w:val="24"/>
                <w:szCs w:val="24"/>
                <w:lang w:val="en-US" w:eastAsia="zh-CN" w:bidi="ar-SA"/>
              </w:rPr>
              <w:t>30</w:t>
            </w:r>
            <w:r>
              <w:rPr>
                <w:rFonts w:hint="eastAsia" w:cs="Times New Roman"/>
                <w:b w:val="0"/>
                <w:bCs w:val="0"/>
                <w:color w:val="auto"/>
                <w:kern w:val="2"/>
                <w:sz w:val="24"/>
                <w:szCs w:val="24"/>
                <w:lang w:val="en-US" w:eastAsia="zh-CN" w:bidi="ar-SA"/>
              </w:rPr>
              <w:t>0</w:t>
            </w:r>
            <w:r>
              <w:rPr>
                <w:rFonts w:hint="eastAsia" w:ascii="Times New Roman" w:hAnsi="Times New Roman" w:eastAsia="宋体" w:cs="Times New Roman"/>
                <w:b w:val="0"/>
                <w:bCs w:val="0"/>
                <w:color w:val="auto"/>
                <w:kern w:val="2"/>
                <w:sz w:val="24"/>
                <w:szCs w:val="24"/>
                <w:lang w:val="en-US" w:eastAsia="zh-CN" w:bidi="ar-SA"/>
              </w:rPr>
              <w:t>mL/（只</w:t>
            </w:r>
            <w:r>
              <w:rPr>
                <w:rFonts w:hint="default" w:ascii="Times New Roman" w:hAnsi="Times New Roman" w:eastAsia="宋体" w:cs="Times New Roman"/>
                <w:color w:val="auto"/>
                <w:sz w:val="24"/>
                <w:szCs w:val="22"/>
              </w:rPr>
              <w:t>·d</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szCs w:val="22"/>
              </w:rPr>
              <w:t>计</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本项目</w:t>
            </w:r>
            <w:r>
              <w:rPr>
                <w:rFonts w:hint="eastAsia" w:ascii="Times New Roman" w:hAnsi="Times New Roman" w:eastAsia="宋体"/>
                <w:color w:val="auto"/>
                <w:sz w:val="24"/>
                <w:highlight w:val="none"/>
                <w:lang w:val="en-US" w:eastAsia="zh-CN"/>
              </w:rPr>
              <w:t>门诊日最大接诊量为</w:t>
            </w:r>
            <w:r>
              <w:rPr>
                <w:rFonts w:hint="eastAsia"/>
                <w:color w:val="auto"/>
                <w:sz w:val="24"/>
                <w:highlight w:val="none"/>
                <w:lang w:val="en-US" w:eastAsia="zh-CN"/>
              </w:rPr>
              <w:t>30</w:t>
            </w:r>
            <w:r>
              <w:rPr>
                <w:rFonts w:hint="eastAsia" w:ascii="Times New Roman" w:hAnsi="Times New Roman" w:eastAsia="宋体"/>
                <w:color w:val="auto"/>
                <w:sz w:val="24"/>
                <w:highlight w:val="none"/>
                <w:lang w:val="en-US" w:eastAsia="zh-CN"/>
              </w:rPr>
              <w:t>只</w:t>
            </w:r>
            <w:r>
              <w:rPr>
                <w:rFonts w:hint="eastAsia" w:ascii="Times New Roman" w:hAnsi="Times New Roman" w:eastAsia="宋体" w:cs="Times New Roman"/>
                <w:b w:val="0"/>
                <w:bCs w:val="0"/>
                <w:color w:val="auto"/>
                <w:kern w:val="2"/>
                <w:sz w:val="24"/>
                <w:szCs w:val="24"/>
                <w:lang w:val="en-US" w:eastAsia="zh-CN" w:bidi="ar-SA"/>
              </w:rPr>
              <w:t>，则</w:t>
            </w:r>
            <w:r>
              <w:rPr>
                <w:rFonts w:hint="eastAsia" w:cs="Times New Roman"/>
                <w:b w:val="0"/>
                <w:bCs w:val="0"/>
                <w:color w:val="auto"/>
                <w:kern w:val="2"/>
                <w:sz w:val="24"/>
                <w:szCs w:val="24"/>
                <w:lang w:val="en-US" w:eastAsia="zh-CN" w:bidi="ar-SA"/>
              </w:rPr>
              <w:t>门诊</w:t>
            </w:r>
            <w:r>
              <w:rPr>
                <w:rFonts w:hint="eastAsia" w:ascii="Times New Roman" w:hAnsi="Times New Roman" w:eastAsia="宋体" w:cs="Times New Roman"/>
                <w:b w:val="0"/>
                <w:bCs w:val="0"/>
                <w:color w:val="auto"/>
                <w:kern w:val="2"/>
                <w:sz w:val="24"/>
                <w:szCs w:val="24"/>
                <w:lang w:val="en-US" w:eastAsia="zh-CN" w:bidi="ar-SA"/>
              </w:rPr>
              <w:t>宠物饮水量约为</w:t>
            </w:r>
            <w:r>
              <w:rPr>
                <w:rFonts w:hint="eastAsia" w:ascii="Times New Roman" w:hAnsi="Times New Roman" w:eastAsia="宋体" w:cs="Times New Roman"/>
                <w:color w:val="auto"/>
                <w:sz w:val="24"/>
                <w:szCs w:val="22"/>
                <w:lang w:val="en-US" w:eastAsia="zh-CN"/>
              </w:rPr>
              <w:t>0.00</w:t>
            </w:r>
            <w:r>
              <w:rPr>
                <w:rFonts w:hint="eastAsia" w:cs="Times New Roman"/>
                <w:color w:val="auto"/>
                <w:sz w:val="24"/>
                <w:szCs w:val="22"/>
                <w:lang w:val="en-US" w:eastAsia="zh-CN"/>
              </w:rPr>
              <w:t>9</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eastAsia" w:cs="Times New Roman"/>
                <w:color w:val="auto"/>
                <w:sz w:val="24"/>
                <w:szCs w:val="22"/>
                <w:lang w:val="en-US" w:eastAsia="zh-CN"/>
              </w:rPr>
              <w:t>3.285</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w:t>
            </w:r>
            <w:r>
              <w:rPr>
                <w:rFonts w:hint="eastAsia" w:ascii="Times New Roman" w:hAnsi="Times New Roman" w:eastAsia="宋体" w:cs="Times New Roman"/>
                <w:color w:val="auto"/>
                <w:sz w:val="24"/>
                <w:szCs w:val="22"/>
                <w:lang w:eastAsia="zh-CN"/>
              </w:rPr>
              <w:t>。</w:t>
            </w:r>
          </w:p>
          <w:p w14:paraId="3D63A2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color w:val="auto"/>
                <w:sz w:val="24"/>
                <w:szCs w:val="22"/>
                <w:lang w:val="en-US" w:eastAsia="zh-CN"/>
              </w:rPr>
            </w:pPr>
            <w:r>
              <w:rPr>
                <w:rFonts w:hint="eastAsia" w:cs="Times New Roman"/>
                <w:color w:val="auto"/>
                <w:sz w:val="24"/>
                <w:szCs w:val="22"/>
                <w:lang w:val="en-US" w:eastAsia="zh-CN"/>
              </w:rPr>
              <w:t>综上，宠物饮水为</w:t>
            </w:r>
            <w:r>
              <w:rPr>
                <w:rFonts w:hint="eastAsia" w:ascii="Times New Roman" w:hAnsi="Times New Roman" w:eastAsia="宋体" w:cs="Times New Roman"/>
                <w:color w:val="auto"/>
                <w:sz w:val="24"/>
                <w:szCs w:val="22"/>
                <w:lang w:val="en-US" w:eastAsia="zh-CN"/>
              </w:rPr>
              <w:t>0.0</w:t>
            </w:r>
            <w:r>
              <w:rPr>
                <w:rFonts w:hint="eastAsia" w:cs="Times New Roman"/>
                <w:color w:val="auto"/>
                <w:sz w:val="24"/>
                <w:szCs w:val="22"/>
                <w:lang w:val="en-US" w:eastAsia="zh-CN"/>
              </w:rPr>
              <w:t>18</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eastAsia" w:cs="Times New Roman"/>
                <w:color w:val="auto"/>
                <w:sz w:val="24"/>
                <w:szCs w:val="22"/>
                <w:lang w:val="en-US" w:eastAsia="zh-CN"/>
              </w:rPr>
              <w:t>6.57</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w:t>
            </w:r>
            <w:r>
              <w:rPr>
                <w:rFonts w:hint="eastAsia" w:cs="Times New Roman"/>
                <w:color w:val="auto"/>
                <w:sz w:val="24"/>
                <w:szCs w:val="22"/>
                <w:lang w:val="en-US" w:eastAsia="zh-CN"/>
              </w:rPr>
              <w:t>。</w:t>
            </w:r>
          </w:p>
          <w:p w14:paraId="62C6BD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lang w:val="en-US" w:eastAsia="zh-CN" w:bidi="ar-SA"/>
              </w:rPr>
              <w:t>根据建设单位提供资料及类比同类型宠物医院，</w:t>
            </w:r>
            <w:r>
              <w:rPr>
                <w:rFonts w:hint="default" w:ascii="Times New Roman" w:hAnsi="Times New Roman" w:eastAsia="宋体" w:cs="Times New Roman"/>
                <w:b w:val="0"/>
                <w:bCs/>
                <w:color w:val="auto"/>
                <w:sz w:val="24"/>
                <w:szCs w:val="24"/>
                <w:highlight w:val="none"/>
                <w:lang w:val="en-US" w:eastAsia="zh-CN"/>
              </w:rPr>
              <w:t>猫住院及诊疗期间产生的粪便与尿液均可使用猫砂盒收集，日常工作人员及时清理猫砂盒，清理出的猫砂使用消毒剂消毒后</w:t>
            </w:r>
            <w:r>
              <w:rPr>
                <w:rFonts w:hint="eastAsia" w:ascii="Times New Roman" w:hAnsi="Times New Roman" w:eastAsia="宋体" w:cs="Times New Roman"/>
                <w:b w:val="0"/>
                <w:bCs/>
                <w:color w:val="auto"/>
                <w:sz w:val="24"/>
                <w:szCs w:val="24"/>
                <w:highlight w:val="none"/>
                <w:lang w:val="en-US" w:eastAsia="zh-CN"/>
              </w:rPr>
              <w:t>集中</w:t>
            </w:r>
            <w:r>
              <w:rPr>
                <w:rFonts w:hint="default" w:ascii="Times New Roman" w:hAnsi="Times New Roman" w:eastAsia="宋体" w:cs="Times New Roman"/>
                <w:b w:val="0"/>
                <w:bCs/>
                <w:color w:val="auto"/>
                <w:sz w:val="24"/>
                <w:szCs w:val="24"/>
                <w:highlight w:val="none"/>
                <w:lang w:val="en-US" w:eastAsia="zh-CN"/>
              </w:rPr>
              <w:t>收集</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狗笼内设置排便与排尿盒，粪污使用消毒剂消毒后</w:t>
            </w:r>
            <w:r>
              <w:rPr>
                <w:rFonts w:hint="eastAsia" w:ascii="Times New Roman" w:hAnsi="Times New Roman" w:eastAsia="宋体" w:cs="Times New Roman"/>
                <w:b w:val="0"/>
                <w:bCs/>
                <w:color w:val="auto"/>
                <w:sz w:val="24"/>
                <w:szCs w:val="24"/>
                <w:highlight w:val="none"/>
                <w:lang w:val="en-US" w:eastAsia="zh-CN"/>
              </w:rPr>
              <w:t>集中</w:t>
            </w:r>
            <w:r>
              <w:rPr>
                <w:rFonts w:hint="default" w:ascii="Times New Roman" w:hAnsi="Times New Roman" w:eastAsia="宋体" w:cs="Times New Roman"/>
                <w:b w:val="0"/>
                <w:bCs/>
                <w:color w:val="auto"/>
                <w:sz w:val="24"/>
                <w:szCs w:val="24"/>
                <w:highlight w:val="none"/>
                <w:lang w:val="en-US" w:eastAsia="zh-CN"/>
              </w:rPr>
              <w:t>收集</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排便与排尿盒清洗用排水纳入宠物笼清洗用排水，不</w:t>
            </w:r>
            <w:r>
              <w:rPr>
                <w:rFonts w:hint="eastAsia" w:ascii="Times New Roman" w:hAnsi="Times New Roman" w:eastAsia="宋体" w:cs="Times New Roman"/>
                <w:b w:val="0"/>
                <w:bCs/>
                <w:color w:val="auto"/>
                <w:sz w:val="24"/>
                <w:szCs w:val="24"/>
                <w:highlight w:val="none"/>
                <w:lang w:val="en-US" w:eastAsia="zh-CN"/>
              </w:rPr>
              <w:t>进行</w:t>
            </w:r>
            <w:r>
              <w:rPr>
                <w:rFonts w:hint="default" w:ascii="Times New Roman" w:hAnsi="Times New Roman" w:eastAsia="宋体" w:cs="Times New Roman"/>
                <w:b w:val="0"/>
                <w:bCs/>
                <w:color w:val="auto"/>
                <w:sz w:val="24"/>
                <w:szCs w:val="24"/>
                <w:highlight w:val="none"/>
                <w:lang w:val="en-US" w:eastAsia="zh-CN"/>
              </w:rPr>
              <w:t>单独核算。将处理后的动物粪污消毒后打包交由环卫部门收运处置。</w:t>
            </w:r>
          </w:p>
          <w:p w14:paraId="634491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宠物洗浴用水：</w:t>
            </w:r>
            <w:r>
              <w:rPr>
                <w:rFonts w:hint="eastAsia" w:ascii="Times New Roman" w:hAnsi="Times New Roman" w:eastAsia="宋体" w:cs="Times New Roman"/>
                <w:b w:val="0"/>
                <w:bCs w:val="0"/>
                <w:color w:val="auto"/>
                <w:kern w:val="2"/>
                <w:sz w:val="24"/>
                <w:szCs w:val="24"/>
                <w:lang w:val="en-US" w:eastAsia="zh-CN" w:bidi="ar-SA"/>
              </w:rPr>
              <w:t>根据建设单位提供资料及类比同类型宠物医院，</w:t>
            </w:r>
            <w:r>
              <w:rPr>
                <w:rFonts w:hint="eastAsia" w:cs="Times New Roman"/>
                <w:b w:val="0"/>
                <w:bCs/>
                <w:color w:val="auto"/>
                <w:sz w:val="24"/>
                <w:szCs w:val="24"/>
                <w:highlight w:val="none"/>
                <w:lang w:val="en-US" w:eastAsia="zh-CN"/>
              </w:rPr>
              <w:t>宠物洗浴用水</w:t>
            </w:r>
            <w:r>
              <w:rPr>
                <w:rFonts w:hint="eastAsia" w:ascii="Times New Roman" w:hAnsi="Times New Roman" w:eastAsia="宋体" w:cs="Times New Roman"/>
                <w:b w:val="0"/>
                <w:bCs/>
                <w:color w:val="auto"/>
                <w:sz w:val="24"/>
                <w:szCs w:val="24"/>
                <w:highlight w:val="none"/>
                <w:lang w:val="en-US" w:eastAsia="zh-CN"/>
              </w:rPr>
              <w:t>量按照</w:t>
            </w:r>
            <w:r>
              <w:rPr>
                <w:rFonts w:hint="default" w:ascii="Times New Roman" w:hAnsi="Times New Roman" w:eastAsia="宋体" w:cs="Times New Roman"/>
                <w:b w:val="0"/>
                <w:bCs/>
                <w:color w:val="auto"/>
                <w:sz w:val="24"/>
                <w:szCs w:val="24"/>
                <w:highlight w:val="none"/>
                <w:lang w:val="en-US" w:eastAsia="zh-CN"/>
              </w:rPr>
              <w:t>50L/</w:t>
            </w:r>
            <w:r>
              <w:rPr>
                <w:rFonts w:hint="eastAsia" w:ascii="Times New Roman" w:hAnsi="Times New Roman" w:eastAsia="宋体" w:cs="Times New Roman"/>
                <w:b w:val="0"/>
                <w:bCs/>
                <w:color w:val="auto"/>
                <w:sz w:val="24"/>
                <w:szCs w:val="24"/>
                <w:highlight w:val="none"/>
                <w:lang w:val="en-US" w:eastAsia="zh-CN"/>
              </w:rPr>
              <w:t>只计，项目美容洗浴每天最大</w:t>
            </w:r>
            <w:r>
              <w:rPr>
                <w:rFonts w:hint="eastAsia" w:cs="Times New Roman"/>
                <w:b w:val="0"/>
                <w:bCs/>
                <w:color w:val="auto"/>
                <w:sz w:val="24"/>
                <w:szCs w:val="24"/>
                <w:highlight w:val="none"/>
                <w:lang w:val="en-US" w:eastAsia="zh-CN"/>
              </w:rPr>
              <w:t>接待</w:t>
            </w:r>
            <w:r>
              <w:rPr>
                <w:rFonts w:hint="eastAsia" w:ascii="Times New Roman" w:hAnsi="Times New Roman" w:eastAsia="宋体" w:cs="Times New Roman"/>
                <w:b w:val="0"/>
                <w:bCs/>
                <w:color w:val="auto"/>
                <w:sz w:val="24"/>
                <w:szCs w:val="24"/>
                <w:highlight w:val="none"/>
                <w:lang w:val="en-US" w:eastAsia="zh-CN"/>
              </w:rPr>
              <w:t>量约</w:t>
            </w:r>
            <w:r>
              <w:rPr>
                <w:rFonts w:hint="eastAsia" w:cs="Times New Roman"/>
                <w:b w:val="0"/>
                <w:bCs/>
                <w:color w:val="auto"/>
                <w:sz w:val="24"/>
                <w:szCs w:val="24"/>
                <w:highlight w:val="none"/>
                <w:lang w:val="en-US" w:eastAsia="zh-CN"/>
              </w:rPr>
              <w:t>10</w:t>
            </w:r>
            <w:r>
              <w:rPr>
                <w:rFonts w:hint="eastAsia" w:ascii="Times New Roman" w:hAnsi="Times New Roman" w:eastAsia="宋体" w:cs="Times New Roman"/>
                <w:b w:val="0"/>
                <w:bCs/>
                <w:color w:val="auto"/>
                <w:sz w:val="24"/>
                <w:szCs w:val="24"/>
                <w:highlight w:val="none"/>
                <w:lang w:val="en-US" w:eastAsia="zh-CN"/>
              </w:rPr>
              <w:t>只，则</w:t>
            </w:r>
            <w:r>
              <w:rPr>
                <w:rFonts w:hint="eastAsia" w:cs="Times New Roman"/>
                <w:b w:val="0"/>
                <w:bCs/>
                <w:color w:val="auto"/>
                <w:sz w:val="24"/>
                <w:szCs w:val="24"/>
                <w:highlight w:val="none"/>
                <w:lang w:val="en-US" w:eastAsia="zh-CN"/>
              </w:rPr>
              <w:t>宠物洗浴用水</w:t>
            </w:r>
            <w:r>
              <w:rPr>
                <w:rFonts w:hint="eastAsia" w:ascii="Times New Roman" w:hAnsi="Times New Roman" w:eastAsia="宋体" w:cs="Times New Roman"/>
                <w:b w:val="0"/>
                <w:bCs/>
                <w:color w:val="auto"/>
                <w:sz w:val="24"/>
                <w:szCs w:val="24"/>
                <w:highlight w:val="none"/>
                <w:lang w:val="en-US" w:eastAsia="zh-CN"/>
              </w:rPr>
              <w:t>量约</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182.5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w:t>
            </w:r>
            <w:r>
              <w:rPr>
                <w:rFonts w:hint="default" w:ascii="Times New Roman" w:hAnsi="Times New Roman" w:eastAsia="宋体" w:cs="Times New Roman"/>
                <w:color w:val="auto"/>
                <w:sz w:val="24"/>
                <w:szCs w:val="24"/>
                <w:lang w:val="en-US" w:eastAsia="zh-CN"/>
              </w:rPr>
              <w:t>宠物</w:t>
            </w:r>
            <w:r>
              <w:rPr>
                <w:rFonts w:hint="eastAsia" w:ascii="Times New Roman" w:hAnsi="Times New Roman" w:eastAsia="宋体" w:cs="Times New Roman"/>
                <w:color w:val="auto"/>
                <w:sz w:val="24"/>
                <w:szCs w:val="24"/>
                <w:lang w:val="en-US" w:eastAsia="zh-CN"/>
              </w:rPr>
              <w:t>洗浴废水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164.25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b w:val="0"/>
                <w:bCs/>
                <w:color w:val="auto"/>
                <w:sz w:val="24"/>
                <w:szCs w:val="24"/>
                <w:highlight w:val="none"/>
                <w:lang w:val="en-US" w:eastAsia="zh-CN"/>
              </w:rPr>
              <w:t>。</w:t>
            </w:r>
          </w:p>
          <w:p w14:paraId="03E79E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地面清洁用水</w:t>
            </w:r>
            <w:r>
              <w:rPr>
                <w:rFonts w:hint="eastAsia"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项目地面采用拖布拖地</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清洁用水里添加</w:t>
            </w:r>
            <w:r>
              <w:rPr>
                <w:rFonts w:hint="eastAsia" w:cs="Times New Roman"/>
                <w:b w:val="0"/>
                <w:bCs/>
                <w:color w:val="auto"/>
                <w:sz w:val="24"/>
                <w:szCs w:val="24"/>
                <w:highlight w:val="none"/>
                <w:lang w:val="en-US" w:eastAsia="zh-CN"/>
              </w:rPr>
              <w:t>新洁尔灭、</w:t>
            </w:r>
            <w:r>
              <w:rPr>
                <w:rFonts w:hint="eastAsia" w:cs="Times New Roman"/>
                <w:b w:val="0"/>
                <w:bCs/>
                <w:color w:val="auto"/>
                <w:sz w:val="24"/>
                <w:szCs w:val="24"/>
                <w:highlight w:val="none"/>
                <w:vertAlign w:val="baseline"/>
                <w:lang w:val="en-US" w:eastAsia="zh-CN"/>
              </w:rPr>
              <w:t>84消毒液</w:t>
            </w:r>
            <w:r>
              <w:rPr>
                <w:rFonts w:hint="default" w:ascii="Times New Roman" w:hAnsi="Times New Roman" w:eastAsia="宋体" w:cs="Times New Roman"/>
                <w:b w:val="0"/>
                <w:bCs/>
                <w:color w:val="auto"/>
                <w:sz w:val="24"/>
                <w:szCs w:val="24"/>
                <w:highlight w:val="none"/>
                <w:lang w:val="en-US" w:eastAsia="zh-CN"/>
              </w:rPr>
              <w:t>进行消毒</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，地面清洁用水按照</w:t>
            </w: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m</w:t>
            </w:r>
            <w:r>
              <w:rPr>
                <w:rFonts w:hint="eastAsia"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，项目需要清洁的地面面积约</w:t>
            </w:r>
            <w:r>
              <w:rPr>
                <w:rFonts w:hint="eastAsia" w:cs="Times New Roman"/>
                <w:b w:val="0"/>
                <w:bCs/>
                <w:color w:val="auto"/>
                <w:sz w:val="24"/>
                <w:szCs w:val="24"/>
                <w:highlight w:val="none"/>
                <w:lang w:val="en-US" w:eastAsia="zh-CN"/>
              </w:rPr>
              <w:t>180</w:t>
            </w:r>
            <w:r>
              <w:rPr>
                <w:rFonts w:hint="default" w:ascii="Times New Roman" w:hAnsi="Times New Roman" w:eastAsia="宋体" w:cs="Times New Roman"/>
                <w:b w:val="0"/>
                <w:bCs/>
                <w:color w:val="auto"/>
                <w:sz w:val="24"/>
                <w:szCs w:val="24"/>
                <w:highlight w:val="none"/>
                <w:lang w:val="en-US" w:eastAsia="zh-CN"/>
              </w:rPr>
              <w:t>m</w:t>
            </w:r>
            <w:r>
              <w:rPr>
                <w:rFonts w:hint="eastAsia"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val="en-US" w:eastAsia="zh-CN"/>
              </w:rPr>
              <w:t>，则地面清洁用水量0.</w:t>
            </w:r>
            <w:r>
              <w:rPr>
                <w:rFonts w:hint="eastAsia" w:cs="Times New Roman"/>
                <w:b w:val="0"/>
                <w:bCs/>
                <w:color w:val="auto"/>
                <w:sz w:val="24"/>
                <w:szCs w:val="24"/>
                <w:highlight w:val="none"/>
                <w:lang w:val="en-US" w:eastAsia="zh-CN"/>
              </w:rPr>
              <w:t>18</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65.7</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w:t>
            </w:r>
            <w:r>
              <w:rPr>
                <w:rFonts w:hint="eastAsia" w:ascii="Times New Roman" w:hAnsi="Times New Roman" w:eastAsia="宋体" w:cs="Times New Roman"/>
                <w:color w:val="auto"/>
                <w:sz w:val="24"/>
                <w:szCs w:val="24"/>
                <w:lang w:val="en-US" w:eastAsia="zh-CN"/>
              </w:rPr>
              <w:t>地面清洗废水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162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59.13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color w:val="auto"/>
                <w:sz w:val="24"/>
                <w:szCs w:val="24"/>
                <w:highlight w:val="none"/>
                <w:lang w:val="en-US" w:eastAsia="zh-CN"/>
              </w:rPr>
              <w:t>。</w:t>
            </w:r>
          </w:p>
          <w:p w14:paraId="19FEE4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洗衣用水：</w:t>
            </w:r>
            <w:r>
              <w:rPr>
                <w:rFonts w:hint="eastAsia" w:ascii="Times New Roman" w:hAnsi="Times New Roman" w:eastAsia="宋体" w:cs="Times New Roman"/>
                <w:b w:val="0"/>
                <w:bCs/>
                <w:color w:val="auto"/>
                <w:sz w:val="24"/>
                <w:szCs w:val="24"/>
                <w:highlight w:val="none"/>
                <w:lang w:val="en-US" w:eastAsia="zh-CN"/>
              </w:rPr>
              <w:t>员工工服和健康宠物洗浴后的毛毯需要定期进行清洗消毒，</w:t>
            </w:r>
            <w:r>
              <w:rPr>
                <w:rFonts w:hint="default" w:ascii="Times New Roman" w:hAnsi="Times New Roman" w:eastAsia="宋体" w:cs="Times New Roman"/>
                <w:b w:val="0"/>
                <w:bCs/>
                <w:color w:val="auto"/>
                <w:sz w:val="24"/>
                <w:szCs w:val="24"/>
                <w:highlight w:val="none"/>
                <w:lang w:val="en-US" w:eastAsia="zh-CN"/>
              </w:rPr>
              <w:t>洗涤时先使用</w:t>
            </w:r>
            <w:r>
              <w:rPr>
                <w:rFonts w:hint="eastAsia" w:cs="Times New Roman"/>
                <w:b w:val="0"/>
                <w:bCs/>
                <w:color w:val="auto"/>
                <w:sz w:val="24"/>
                <w:szCs w:val="24"/>
                <w:highlight w:val="none"/>
                <w:lang w:val="en-US" w:eastAsia="zh-CN"/>
              </w:rPr>
              <w:t>新洁尔灭</w:t>
            </w:r>
            <w:r>
              <w:rPr>
                <w:rFonts w:hint="default" w:ascii="Times New Roman" w:hAnsi="Times New Roman" w:eastAsia="宋体" w:cs="Times New Roman"/>
                <w:b w:val="0"/>
                <w:bCs/>
                <w:color w:val="auto"/>
                <w:sz w:val="24"/>
                <w:szCs w:val="24"/>
                <w:highlight w:val="none"/>
                <w:lang w:val="en-US" w:eastAsia="zh-CN"/>
              </w:rPr>
              <w:t>进行浸泡消毒之后使用洗衣液进行洗涤，根据《建筑给水排水设计标准》（GB</w:t>
            </w:r>
            <w:r>
              <w:rPr>
                <w:rFonts w:hint="eastAsia"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lang w:val="en-US" w:eastAsia="zh-CN"/>
              </w:rPr>
              <w:t>50015-2019），清洗用水量按照60L/kg干衣物计算。</w:t>
            </w:r>
            <w:r>
              <w:rPr>
                <w:rFonts w:hint="eastAsia" w:ascii="Times New Roman" w:hAnsi="Times New Roman" w:eastAsia="宋体" w:cs="Times New Roman"/>
                <w:b w:val="0"/>
                <w:bCs w:val="0"/>
                <w:color w:val="auto"/>
                <w:kern w:val="2"/>
                <w:sz w:val="24"/>
                <w:szCs w:val="24"/>
                <w:lang w:val="en-US" w:eastAsia="zh-CN" w:bidi="ar-SA"/>
              </w:rPr>
              <w:t>根据建设单位提供资料及类比同类型宠物医院，项目平均清洗工服、毛毯的重量约</w:t>
            </w:r>
            <w:r>
              <w:rPr>
                <w:rFonts w:hint="eastAsia" w:cs="Times New Roman"/>
                <w:b w:val="0"/>
                <w:bCs w:val="0"/>
                <w:color w:val="auto"/>
                <w:kern w:val="2"/>
                <w:sz w:val="24"/>
                <w:szCs w:val="24"/>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kg，则</w:t>
            </w:r>
            <w:r>
              <w:rPr>
                <w:rFonts w:hint="eastAsia" w:ascii="Times New Roman" w:hAnsi="Times New Roman" w:eastAsia="宋体" w:cs="Times New Roman"/>
                <w:b w:val="0"/>
                <w:bCs/>
                <w:color w:val="auto"/>
                <w:sz w:val="24"/>
                <w:szCs w:val="24"/>
                <w:highlight w:val="none"/>
                <w:lang w:val="en-US" w:eastAsia="zh-CN"/>
              </w:rPr>
              <w:t>洗衣用水量为0.</w:t>
            </w:r>
            <w:r>
              <w:rPr>
                <w:rFonts w:hint="eastAsia" w:cs="Times New Roman"/>
                <w:b w:val="0"/>
                <w:bCs/>
                <w:color w:val="auto"/>
                <w:sz w:val="24"/>
                <w:szCs w:val="24"/>
                <w:highlight w:val="none"/>
                <w:lang w:val="en-US" w:eastAsia="zh-CN"/>
              </w:rPr>
              <w:t>18</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65.7</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w:t>
            </w:r>
            <w:r>
              <w:rPr>
                <w:rFonts w:hint="eastAsia" w:ascii="Times New Roman" w:hAnsi="Times New Roman" w:eastAsia="宋体" w:cs="Times New Roman"/>
                <w:color w:val="auto"/>
                <w:sz w:val="24"/>
                <w:szCs w:val="24"/>
                <w:lang w:val="en-US" w:eastAsia="zh-CN"/>
              </w:rPr>
              <w:t>洗衣废水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162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59.13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color w:val="auto"/>
                <w:sz w:val="24"/>
                <w:szCs w:val="24"/>
                <w:highlight w:val="none"/>
                <w:lang w:val="en-US" w:eastAsia="zh-CN"/>
              </w:rPr>
              <w:t>。</w:t>
            </w:r>
          </w:p>
          <w:p w14:paraId="1F084E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③生活用水</w:t>
            </w:r>
          </w:p>
          <w:p w14:paraId="01D9FA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职工生活用水：</w:t>
            </w:r>
            <w:r>
              <w:rPr>
                <w:rFonts w:hint="default" w:ascii="Times New Roman" w:hAnsi="Times New Roman" w:eastAsia="宋体" w:cs="Times New Roman"/>
                <w:b w:val="0"/>
                <w:bCs/>
                <w:color w:val="auto"/>
                <w:sz w:val="24"/>
                <w:szCs w:val="24"/>
                <w:highlight w:val="none"/>
                <w:lang w:val="en-US" w:eastAsia="zh-CN"/>
              </w:rPr>
              <w:t>项目劳动定员</w:t>
            </w:r>
            <w:r>
              <w:rPr>
                <w:rFonts w:hint="eastAsia"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人，根据《建筑给水排水设计标准》（GB50015-2019），职工生活用水量按照50L/（人·d）计，则职工生活用水量约</w:t>
            </w:r>
            <w:r>
              <w:rPr>
                <w:rFonts w:hint="eastAsia" w:ascii="Times New Roman" w:hAnsi="Times New Roman" w:eastAsia="宋体" w:cs="Times New Roman"/>
                <w:b w:val="0"/>
                <w:bCs/>
                <w:color w:val="auto"/>
                <w:sz w:val="24"/>
                <w:szCs w:val="24"/>
                <w:highlight w:val="none"/>
                <w:lang w:val="en-US" w:eastAsia="zh-CN"/>
              </w:rPr>
              <w:t>0.</w:t>
            </w:r>
            <w:r>
              <w:rPr>
                <w:rFonts w:hint="eastAsia"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73</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w:t>
            </w:r>
            <w:r>
              <w:rPr>
                <w:rFonts w:hint="eastAsia" w:ascii="Times New Roman" w:hAnsi="Times New Roman" w:eastAsia="宋体" w:cs="Times New Roman"/>
                <w:color w:val="auto"/>
                <w:sz w:val="24"/>
                <w:szCs w:val="24"/>
                <w:lang w:val="en-US" w:eastAsia="zh-CN"/>
              </w:rPr>
              <w:t>职工生活污水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0.1</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65.7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color w:val="auto"/>
                <w:sz w:val="24"/>
                <w:szCs w:val="24"/>
                <w:highlight w:val="none"/>
                <w:lang w:val="en-US" w:eastAsia="zh-CN"/>
              </w:rPr>
              <w:t>。</w:t>
            </w:r>
          </w:p>
          <w:p w14:paraId="449497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流动顾客用水：</w:t>
            </w:r>
            <w:r>
              <w:rPr>
                <w:rFonts w:hint="default" w:ascii="Times New Roman" w:hAnsi="Times New Roman" w:eastAsia="宋体" w:cs="Times New Roman"/>
                <w:b w:val="0"/>
                <w:bCs/>
                <w:color w:val="auto"/>
                <w:sz w:val="24"/>
                <w:szCs w:val="24"/>
                <w:highlight w:val="none"/>
                <w:lang w:val="en-US" w:eastAsia="zh-CN"/>
              </w:rPr>
              <w:t>流动顾客规模为门诊客人人数</w:t>
            </w:r>
            <w:r>
              <w:rPr>
                <w:rFonts w:hint="eastAsia" w:ascii="Times New Roman" w:hAnsi="Times New Roman" w:eastAsia="宋体" w:cs="Times New Roman"/>
                <w:b w:val="0"/>
                <w:bCs/>
                <w:color w:val="auto"/>
                <w:sz w:val="24"/>
                <w:szCs w:val="24"/>
                <w:highlight w:val="none"/>
                <w:lang w:val="en-US" w:eastAsia="zh-CN"/>
              </w:rPr>
              <w:t>及美容服务客人人数</w:t>
            </w:r>
            <w:r>
              <w:rPr>
                <w:rFonts w:hint="default" w:ascii="Times New Roman" w:hAnsi="Times New Roman" w:eastAsia="宋体" w:cs="Times New Roman"/>
                <w:b w:val="0"/>
                <w:bCs/>
                <w:color w:val="auto"/>
                <w:sz w:val="24"/>
                <w:szCs w:val="24"/>
                <w:highlight w:val="none"/>
                <w:lang w:val="en-US" w:eastAsia="zh-CN"/>
              </w:rPr>
              <w:t>，按每只宠物由1名主人携带就诊考虑，即宠物主人约</w:t>
            </w:r>
            <w:r>
              <w:rPr>
                <w:rFonts w:hint="eastAsia" w:cs="Times New Roman"/>
                <w:b w:val="0"/>
                <w:bCs/>
                <w:color w:val="auto"/>
                <w:sz w:val="24"/>
                <w:szCs w:val="24"/>
                <w:highlight w:val="none"/>
                <w:lang w:val="en-US" w:eastAsia="zh-CN"/>
              </w:rPr>
              <w:t>40</w:t>
            </w:r>
            <w:r>
              <w:rPr>
                <w:rFonts w:hint="default" w:ascii="Times New Roman" w:hAnsi="Times New Roman" w:eastAsia="宋体" w:cs="Times New Roman"/>
                <w:b w:val="0"/>
                <w:bCs/>
                <w:color w:val="auto"/>
                <w:sz w:val="24"/>
                <w:szCs w:val="24"/>
                <w:highlight w:val="none"/>
                <w:lang w:val="en-US" w:eastAsia="zh-CN"/>
              </w:rPr>
              <w:t>人/d，类比同类宠物医院项目，流动顾客用水量按照10L/</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人·次</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计，则流动顾客用水量约</w:t>
            </w:r>
            <w:r>
              <w:rPr>
                <w:rFonts w:hint="eastAsia" w:ascii="Times New Roman" w:hAnsi="Times New Roman" w:eastAsia="宋体" w:cs="Times New Roman"/>
                <w:b w:val="0"/>
                <w:bCs/>
                <w:color w:val="auto"/>
                <w:sz w:val="24"/>
                <w:szCs w:val="24"/>
                <w:highlight w:val="none"/>
                <w:lang w:val="en-US" w:eastAsia="zh-CN"/>
              </w:rPr>
              <w:t>0.</w:t>
            </w:r>
            <w:r>
              <w:rPr>
                <w:rFonts w:hint="eastAsia"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146</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rPr>
              <w:t>产污系数以0.9计，则</w:t>
            </w:r>
            <w:r>
              <w:rPr>
                <w:rFonts w:hint="eastAsia" w:ascii="Times New Roman" w:hAnsi="Times New Roman" w:eastAsia="宋体" w:cs="Times New Roman"/>
                <w:color w:val="auto"/>
                <w:sz w:val="24"/>
                <w:szCs w:val="24"/>
                <w:lang w:val="en-US" w:eastAsia="zh-CN"/>
              </w:rPr>
              <w:t>流动顾客的生活污水</w:t>
            </w:r>
            <w:r>
              <w:rPr>
                <w:rFonts w:hint="default"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0.3</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131.4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color w:val="auto"/>
                <w:sz w:val="24"/>
                <w:szCs w:val="24"/>
                <w:highlight w:val="none"/>
                <w:lang w:val="en-US" w:eastAsia="zh-CN"/>
              </w:rPr>
              <w:t>。</w:t>
            </w:r>
          </w:p>
          <w:p w14:paraId="4C8224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项目用排水情况一览表详见表2.</w:t>
            </w:r>
            <w:r>
              <w:rPr>
                <w:rFonts w:hint="eastAsia" w:cs="Times New Roman"/>
                <w:b w:val="0"/>
                <w:bCs/>
                <w:color w:val="auto"/>
                <w:sz w:val="24"/>
                <w:szCs w:val="24"/>
                <w:highlight w:val="none"/>
                <w:lang w:val="en-US" w:eastAsia="zh-CN"/>
              </w:rPr>
              <w:t>7</w:t>
            </w:r>
            <w:r>
              <w:rPr>
                <w:rFonts w:hint="default" w:ascii="Times New Roman" w:hAnsi="Times New Roman" w:eastAsia="宋体" w:cs="Times New Roman"/>
                <w:b w:val="0"/>
                <w:bCs/>
                <w:color w:val="auto"/>
                <w:sz w:val="24"/>
                <w:szCs w:val="24"/>
                <w:highlight w:val="none"/>
                <w:lang w:val="en-US" w:eastAsia="zh-CN"/>
              </w:rPr>
              <w:t>-1。</w:t>
            </w:r>
          </w:p>
          <w:p w14:paraId="5F5B66C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lang w:val="en-US" w:eastAsia="zh-CN"/>
              </w:rPr>
              <w:t>表2.</w:t>
            </w:r>
            <w:r>
              <w:rPr>
                <w:rFonts w:hint="eastAsia" w:cs="Times New Roman"/>
                <w:b w:val="0"/>
                <w:bCs w:val="0"/>
                <w:color w:val="auto"/>
                <w:sz w:val="21"/>
                <w:szCs w:val="24"/>
                <w:highlight w:val="none"/>
                <w:lang w:val="en-US" w:eastAsia="zh-CN"/>
              </w:rPr>
              <w:t>7</w:t>
            </w:r>
            <w:r>
              <w:rPr>
                <w:rFonts w:hint="default" w:ascii="Times New Roman" w:hAnsi="Times New Roman" w:eastAsia="宋体" w:cs="Times New Roman"/>
                <w:b w:val="0"/>
                <w:bCs w:val="0"/>
                <w:color w:val="auto"/>
                <w:sz w:val="21"/>
                <w:szCs w:val="24"/>
                <w:highlight w:val="none"/>
                <w:lang w:val="en-US" w:eastAsia="zh-CN"/>
              </w:rPr>
              <w:t>-1项目用排水量核算一览表</w:t>
            </w:r>
          </w:p>
          <w:tbl>
            <w:tblPr>
              <w:tblStyle w:val="22"/>
              <w:tblW w:w="825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134"/>
              <w:gridCol w:w="888"/>
              <w:gridCol w:w="1246"/>
              <w:gridCol w:w="1043"/>
              <w:gridCol w:w="1077"/>
              <w:gridCol w:w="1110"/>
              <w:gridCol w:w="1073"/>
            </w:tblGrid>
            <w:tr w14:paraId="7887E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13" w:type="dxa"/>
                  <w:gridSpan w:val="2"/>
                  <w:tcBorders>
                    <w:tl2br w:val="nil"/>
                    <w:tr2bl w:val="nil"/>
                  </w:tcBorders>
                  <w:vAlign w:val="center"/>
                </w:tcPr>
                <w:p w14:paraId="5F8EC0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类别</w:t>
                  </w:r>
                </w:p>
              </w:tc>
              <w:tc>
                <w:tcPr>
                  <w:tcW w:w="888" w:type="dxa"/>
                  <w:tcBorders>
                    <w:tl2br w:val="nil"/>
                    <w:tr2bl w:val="nil"/>
                  </w:tcBorders>
                  <w:vAlign w:val="center"/>
                </w:tcPr>
                <w:p w14:paraId="493D4D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规模</w:t>
                  </w:r>
                </w:p>
              </w:tc>
              <w:tc>
                <w:tcPr>
                  <w:tcW w:w="1246" w:type="dxa"/>
                  <w:tcBorders>
                    <w:tl2br w:val="nil"/>
                    <w:tr2bl w:val="nil"/>
                  </w:tcBorders>
                  <w:vAlign w:val="center"/>
                </w:tcPr>
                <w:p w14:paraId="3F1914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用水定额</w:t>
                  </w:r>
                </w:p>
              </w:tc>
              <w:tc>
                <w:tcPr>
                  <w:tcW w:w="1043" w:type="dxa"/>
                  <w:tcBorders>
                    <w:tl2br w:val="nil"/>
                    <w:tr2bl w:val="nil"/>
                  </w:tcBorders>
                  <w:vAlign w:val="center"/>
                </w:tcPr>
                <w:p w14:paraId="0F11CB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日用水</w:t>
                  </w:r>
                  <w:r>
                    <w:rPr>
                      <w:rFonts w:hint="default" w:ascii="Times New Roman" w:hAnsi="Times New Roman" w:eastAsia="宋体" w:cs="Times New Roman"/>
                      <w:b w:val="0"/>
                      <w:bCs/>
                      <w:color w:val="auto"/>
                      <w:sz w:val="21"/>
                      <w:szCs w:val="21"/>
                      <w:highlight w:val="none"/>
                      <w:vertAlign w:val="baseline"/>
                      <w:lang w:val="en-US" w:eastAsia="zh-CN"/>
                    </w:rPr>
                    <w:t>量（m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/d）</w:t>
                  </w:r>
                </w:p>
              </w:tc>
              <w:tc>
                <w:tcPr>
                  <w:tcW w:w="1077" w:type="dxa"/>
                  <w:tcBorders>
                    <w:tl2br w:val="nil"/>
                    <w:tr2bl w:val="nil"/>
                  </w:tcBorders>
                  <w:vAlign w:val="center"/>
                </w:tcPr>
                <w:p w14:paraId="36B7BE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年用水</w:t>
                  </w:r>
                  <w:r>
                    <w:rPr>
                      <w:rFonts w:hint="default" w:ascii="Times New Roman" w:hAnsi="Times New Roman" w:eastAsia="宋体" w:cs="Times New Roman"/>
                      <w:b w:val="0"/>
                      <w:bCs/>
                      <w:color w:val="auto"/>
                      <w:sz w:val="21"/>
                      <w:szCs w:val="21"/>
                      <w:highlight w:val="none"/>
                      <w:vertAlign w:val="baseline"/>
                      <w:lang w:val="en-US" w:eastAsia="zh-CN"/>
                    </w:rPr>
                    <w:t>量（m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/a）</w:t>
                  </w:r>
                </w:p>
              </w:tc>
              <w:tc>
                <w:tcPr>
                  <w:tcW w:w="1110" w:type="dxa"/>
                  <w:tcBorders>
                    <w:tl2br w:val="nil"/>
                    <w:tr2bl w:val="nil"/>
                  </w:tcBorders>
                  <w:shd w:val="clear" w:color="auto" w:fill="auto"/>
                  <w:vAlign w:val="center"/>
                </w:tcPr>
                <w:p w14:paraId="5B2652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日</w:t>
                  </w:r>
                  <w:r>
                    <w:rPr>
                      <w:rFonts w:hint="default" w:ascii="Times New Roman" w:hAnsi="Times New Roman" w:eastAsia="宋体" w:cs="Times New Roman"/>
                      <w:b w:val="0"/>
                      <w:bCs/>
                      <w:color w:val="auto"/>
                      <w:sz w:val="21"/>
                      <w:szCs w:val="21"/>
                      <w:highlight w:val="none"/>
                      <w:vertAlign w:val="baseline"/>
                      <w:lang w:val="en-US" w:eastAsia="zh-CN"/>
                    </w:rPr>
                    <w:t>排放量（m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/d）</w:t>
                  </w:r>
                </w:p>
              </w:tc>
              <w:tc>
                <w:tcPr>
                  <w:tcW w:w="1073" w:type="dxa"/>
                  <w:tcBorders>
                    <w:tl2br w:val="nil"/>
                    <w:tr2bl w:val="nil"/>
                  </w:tcBorders>
                  <w:shd w:val="clear" w:color="auto" w:fill="auto"/>
                  <w:vAlign w:val="center"/>
                </w:tcPr>
                <w:p w14:paraId="74BAEC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年</w:t>
                  </w:r>
                  <w:r>
                    <w:rPr>
                      <w:rFonts w:hint="default" w:ascii="Times New Roman" w:hAnsi="Times New Roman" w:eastAsia="宋体" w:cs="Times New Roman"/>
                      <w:b w:val="0"/>
                      <w:bCs/>
                      <w:color w:val="auto"/>
                      <w:sz w:val="21"/>
                      <w:szCs w:val="21"/>
                      <w:highlight w:val="none"/>
                      <w:vertAlign w:val="baseline"/>
                      <w:lang w:val="en-US" w:eastAsia="zh-CN"/>
                    </w:rPr>
                    <w:t>排放量（m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/a）</w:t>
                  </w:r>
                </w:p>
              </w:tc>
            </w:tr>
            <w:tr w14:paraId="2206E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restart"/>
                  <w:tcBorders>
                    <w:tl2br w:val="nil"/>
                    <w:tr2bl w:val="nil"/>
                  </w:tcBorders>
                  <w:vAlign w:val="center"/>
                </w:tcPr>
                <w:p w14:paraId="3AA047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医疗用水</w:t>
                  </w:r>
                </w:p>
              </w:tc>
              <w:tc>
                <w:tcPr>
                  <w:tcW w:w="1134" w:type="dxa"/>
                  <w:tcBorders>
                    <w:tl2br w:val="nil"/>
                    <w:tr2bl w:val="nil"/>
                  </w:tcBorders>
                  <w:vAlign w:val="center"/>
                </w:tcPr>
                <w:p w14:paraId="765449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4"/>
                      <w:highlight w:val="none"/>
                      <w:lang w:val="en-US" w:eastAsia="zh-CN"/>
                    </w:rPr>
                    <w:t>手术用水</w:t>
                  </w:r>
                </w:p>
              </w:tc>
              <w:tc>
                <w:tcPr>
                  <w:tcW w:w="888" w:type="dxa"/>
                  <w:tcBorders>
                    <w:tl2br w:val="nil"/>
                    <w:tr2bl w:val="nil"/>
                  </w:tcBorders>
                  <w:vAlign w:val="center"/>
                </w:tcPr>
                <w:p w14:paraId="48108F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r>
                    <w:rPr>
                      <w:rFonts w:hint="eastAsia" w:ascii="Times New Roman" w:hAnsi="Times New Roman" w:eastAsia="宋体" w:cs="Times New Roman"/>
                      <w:b w:val="0"/>
                      <w:bCs/>
                      <w:color w:val="auto"/>
                      <w:sz w:val="21"/>
                      <w:szCs w:val="21"/>
                      <w:highlight w:val="none"/>
                      <w:vertAlign w:val="baseline"/>
                      <w:lang w:val="en-US" w:eastAsia="zh-CN"/>
                    </w:rPr>
                    <w:t>台/d</w:t>
                  </w:r>
                </w:p>
              </w:tc>
              <w:tc>
                <w:tcPr>
                  <w:tcW w:w="1246" w:type="dxa"/>
                  <w:tcBorders>
                    <w:tl2br w:val="nil"/>
                    <w:tr2bl w:val="nil"/>
                  </w:tcBorders>
                  <w:vAlign w:val="center"/>
                </w:tcPr>
                <w:p w14:paraId="714A90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color w:val="auto"/>
                      <w:kern w:val="0"/>
                      <w:sz w:val="21"/>
                      <w:szCs w:val="24"/>
                      <w:highlight w:val="none"/>
                      <w:lang w:val="en-US" w:eastAsia="zh-CN" w:bidi="ar"/>
                    </w:rPr>
                    <w:t>20L/台</w:t>
                  </w:r>
                </w:p>
              </w:tc>
              <w:tc>
                <w:tcPr>
                  <w:tcW w:w="1043" w:type="dxa"/>
                  <w:tcBorders>
                    <w:tl2br w:val="nil"/>
                    <w:tr2bl w:val="nil"/>
                  </w:tcBorders>
                  <w:vAlign w:val="center"/>
                </w:tcPr>
                <w:p w14:paraId="12F7CF64">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077" w:type="dxa"/>
                  <w:tcBorders>
                    <w:tl2br w:val="nil"/>
                    <w:tr2bl w:val="nil"/>
                  </w:tcBorders>
                  <w:vAlign w:val="center"/>
                </w:tcPr>
                <w:p w14:paraId="3B49167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1110" w:type="dxa"/>
                  <w:tcBorders>
                    <w:tl2br w:val="nil"/>
                    <w:tr2bl w:val="nil"/>
                  </w:tcBorders>
                  <w:shd w:val="clear" w:color="auto" w:fill="auto"/>
                  <w:vAlign w:val="center"/>
                </w:tcPr>
                <w:p w14:paraId="2266765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073" w:type="dxa"/>
                  <w:tcBorders>
                    <w:tl2br w:val="nil"/>
                    <w:tr2bl w:val="nil"/>
                  </w:tcBorders>
                  <w:shd w:val="clear" w:color="auto" w:fill="auto"/>
                  <w:vAlign w:val="center"/>
                </w:tcPr>
                <w:p w14:paraId="5D23671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32.85</w:t>
                  </w:r>
                </w:p>
              </w:tc>
            </w:tr>
            <w:tr w14:paraId="4B89D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1AE233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34" w:type="dxa"/>
                  <w:tcBorders>
                    <w:tl2br w:val="nil"/>
                    <w:tr2bl w:val="nil"/>
                  </w:tcBorders>
                  <w:vAlign w:val="center"/>
                </w:tcPr>
                <w:p w14:paraId="6FE655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4"/>
                      <w:highlight w:val="none"/>
                      <w:lang w:val="en-US" w:eastAsia="zh-CN"/>
                    </w:rPr>
                    <w:t>手术器械清洗用水</w:t>
                  </w:r>
                </w:p>
              </w:tc>
              <w:tc>
                <w:tcPr>
                  <w:tcW w:w="888" w:type="dxa"/>
                  <w:tcBorders>
                    <w:tl2br w:val="nil"/>
                    <w:tr2bl w:val="nil"/>
                  </w:tcBorders>
                  <w:vAlign w:val="center"/>
                </w:tcPr>
                <w:p w14:paraId="7DBD81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r>
                    <w:rPr>
                      <w:rFonts w:hint="eastAsia" w:ascii="Times New Roman" w:hAnsi="Times New Roman" w:eastAsia="宋体" w:cs="Times New Roman"/>
                      <w:b w:val="0"/>
                      <w:bCs/>
                      <w:color w:val="auto"/>
                      <w:sz w:val="21"/>
                      <w:szCs w:val="21"/>
                      <w:highlight w:val="none"/>
                      <w:vertAlign w:val="baseline"/>
                      <w:lang w:val="en-US" w:eastAsia="zh-CN"/>
                    </w:rPr>
                    <w:t>台/d</w:t>
                  </w:r>
                </w:p>
              </w:tc>
              <w:tc>
                <w:tcPr>
                  <w:tcW w:w="1246" w:type="dxa"/>
                  <w:tcBorders>
                    <w:tl2br w:val="nil"/>
                    <w:tr2bl w:val="nil"/>
                  </w:tcBorders>
                  <w:vAlign w:val="center"/>
                </w:tcPr>
                <w:p w14:paraId="023160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color w:val="auto"/>
                      <w:kern w:val="0"/>
                      <w:sz w:val="21"/>
                      <w:szCs w:val="24"/>
                      <w:highlight w:val="none"/>
                      <w:lang w:val="en-US" w:eastAsia="zh-CN" w:bidi="ar"/>
                    </w:rPr>
                    <w:t>5L/台</w:t>
                  </w:r>
                </w:p>
              </w:tc>
              <w:tc>
                <w:tcPr>
                  <w:tcW w:w="1043" w:type="dxa"/>
                  <w:tcBorders>
                    <w:tl2br w:val="nil"/>
                    <w:tr2bl w:val="nil"/>
                  </w:tcBorders>
                  <w:vAlign w:val="center"/>
                </w:tcPr>
                <w:p w14:paraId="10C613B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1077" w:type="dxa"/>
                  <w:tcBorders>
                    <w:tl2br w:val="nil"/>
                    <w:tr2bl w:val="nil"/>
                  </w:tcBorders>
                  <w:vAlign w:val="center"/>
                </w:tcPr>
                <w:p w14:paraId="3A1316C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9.125</w:t>
                  </w:r>
                </w:p>
              </w:tc>
              <w:tc>
                <w:tcPr>
                  <w:tcW w:w="1110" w:type="dxa"/>
                  <w:tcBorders>
                    <w:tl2br w:val="nil"/>
                    <w:tr2bl w:val="nil"/>
                  </w:tcBorders>
                  <w:shd w:val="clear" w:color="auto" w:fill="auto"/>
                  <w:vAlign w:val="center"/>
                </w:tcPr>
                <w:p w14:paraId="0F459FD5">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1073" w:type="dxa"/>
                  <w:tcBorders>
                    <w:tl2br w:val="nil"/>
                    <w:tr2bl w:val="nil"/>
                  </w:tcBorders>
                  <w:shd w:val="clear" w:color="auto" w:fill="auto"/>
                  <w:vAlign w:val="center"/>
                </w:tcPr>
                <w:p w14:paraId="20B7B11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8.213 </w:t>
                  </w:r>
                </w:p>
              </w:tc>
            </w:tr>
            <w:tr w14:paraId="4DFA6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7DED5D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34" w:type="dxa"/>
                  <w:tcBorders>
                    <w:tl2br w:val="nil"/>
                    <w:tr2bl w:val="nil"/>
                  </w:tcBorders>
                  <w:vAlign w:val="center"/>
                </w:tcPr>
                <w:p w14:paraId="744381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4"/>
                      <w:highlight w:val="none"/>
                      <w:lang w:val="en-US" w:eastAsia="zh-CN"/>
                    </w:rPr>
                    <w:t>诊疗</w:t>
                  </w:r>
                  <w:r>
                    <w:rPr>
                      <w:rFonts w:hint="default" w:ascii="Times New Roman" w:hAnsi="Times New Roman" w:eastAsia="宋体" w:cs="Times New Roman"/>
                      <w:b w:val="0"/>
                      <w:bCs w:val="0"/>
                      <w:color w:val="auto"/>
                      <w:sz w:val="21"/>
                      <w:szCs w:val="24"/>
                      <w:highlight w:val="none"/>
                      <w:lang w:val="en-US" w:eastAsia="zh-CN"/>
                    </w:rPr>
                    <w:t>用水</w:t>
                  </w:r>
                </w:p>
              </w:tc>
              <w:tc>
                <w:tcPr>
                  <w:tcW w:w="888" w:type="dxa"/>
                  <w:tcBorders>
                    <w:tl2br w:val="nil"/>
                    <w:tr2bl w:val="nil"/>
                  </w:tcBorders>
                  <w:vAlign w:val="center"/>
                </w:tcPr>
                <w:p w14:paraId="22EE84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30</w:t>
                  </w:r>
                  <w:r>
                    <w:rPr>
                      <w:rFonts w:hint="eastAsia" w:ascii="Times New Roman" w:hAnsi="Times New Roman" w:eastAsia="宋体" w:cs="Times New Roman"/>
                      <w:b w:val="0"/>
                      <w:bCs/>
                      <w:color w:val="auto"/>
                      <w:sz w:val="21"/>
                      <w:szCs w:val="21"/>
                      <w:highlight w:val="none"/>
                      <w:vertAlign w:val="baseline"/>
                      <w:lang w:val="en-US" w:eastAsia="zh-CN"/>
                    </w:rPr>
                    <w:t>只/d</w:t>
                  </w:r>
                </w:p>
              </w:tc>
              <w:tc>
                <w:tcPr>
                  <w:tcW w:w="1246" w:type="dxa"/>
                  <w:tcBorders>
                    <w:tl2br w:val="nil"/>
                    <w:tr2bl w:val="nil"/>
                  </w:tcBorders>
                  <w:vAlign w:val="center"/>
                </w:tcPr>
                <w:p w14:paraId="7AC059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4"/>
                      <w:highlight w:val="none"/>
                      <w:lang w:val="en-US" w:eastAsia="zh-CN"/>
                    </w:rPr>
                    <w:t>15L/</w:t>
                  </w:r>
                  <w:r>
                    <w:rPr>
                      <w:rFonts w:hint="eastAsia" w:ascii="Times New Roman" w:hAnsi="Times New Roman" w:eastAsia="宋体" w:cs="Times New Roman"/>
                      <w:b w:val="0"/>
                      <w:bCs/>
                      <w:color w:val="auto"/>
                      <w:sz w:val="21"/>
                      <w:szCs w:val="24"/>
                      <w:highlight w:val="none"/>
                      <w:lang w:val="en-US" w:eastAsia="zh-CN"/>
                    </w:rPr>
                    <w:t>（</w:t>
                  </w:r>
                  <w:r>
                    <w:rPr>
                      <w:rFonts w:hint="eastAsia" w:ascii="Times New Roman" w:hAnsi="Times New Roman" w:eastAsia="宋体" w:cs="Times New Roman"/>
                      <w:b w:val="0"/>
                      <w:bCs w:val="0"/>
                      <w:color w:val="auto"/>
                      <w:kern w:val="2"/>
                      <w:sz w:val="21"/>
                      <w:szCs w:val="24"/>
                      <w:lang w:val="en-US" w:eastAsia="zh-CN" w:bidi="ar-SA"/>
                    </w:rPr>
                    <w:t>只</w:t>
                  </w:r>
                  <w:r>
                    <w:rPr>
                      <w:rFonts w:hint="default" w:ascii="Times New Roman" w:hAnsi="Times New Roman" w:eastAsia="宋体" w:cs="Times New Roman"/>
                      <w:b w:val="0"/>
                      <w:color w:val="auto"/>
                      <w:sz w:val="21"/>
                      <w:szCs w:val="22"/>
                    </w:rPr>
                    <w:t>·d</w:t>
                  </w:r>
                  <w:r>
                    <w:rPr>
                      <w:rFonts w:hint="eastAsia" w:ascii="Times New Roman" w:hAnsi="Times New Roman" w:eastAsia="宋体" w:cs="Times New Roman"/>
                      <w:b w:val="0"/>
                      <w:bCs/>
                      <w:color w:val="auto"/>
                      <w:sz w:val="21"/>
                      <w:szCs w:val="24"/>
                      <w:highlight w:val="none"/>
                      <w:lang w:val="en-US" w:eastAsia="zh-CN"/>
                    </w:rPr>
                    <w:t>）</w:t>
                  </w:r>
                </w:p>
              </w:tc>
              <w:tc>
                <w:tcPr>
                  <w:tcW w:w="1043" w:type="dxa"/>
                  <w:tcBorders>
                    <w:tl2br w:val="nil"/>
                    <w:tr2bl w:val="nil"/>
                  </w:tcBorders>
                  <w:vAlign w:val="center"/>
                </w:tcPr>
                <w:p w14:paraId="7C0943F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w:t>
                  </w:r>
                </w:p>
              </w:tc>
              <w:tc>
                <w:tcPr>
                  <w:tcW w:w="1077" w:type="dxa"/>
                  <w:tcBorders>
                    <w:tl2br w:val="nil"/>
                    <w:tr2bl w:val="nil"/>
                  </w:tcBorders>
                  <w:vAlign w:val="center"/>
                </w:tcPr>
                <w:p w14:paraId="5D1DE4E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164.25</w:t>
                  </w:r>
                </w:p>
              </w:tc>
              <w:tc>
                <w:tcPr>
                  <w:tcW w:w="1110" w:type="dxa"/>
                  <w:tcBorders>
                    <w:tl2br w:val="nil"/>
                    <w:tr2bl w:val="nil"/>
                  </w:tcBorders>
                  <w:shd w:val="clear" w:color="auto" w:fill="auto"/>
                  <w:vAlign w:val="center"/>
                </w:tcPr>
                <w:p w14:paraId="41A860B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0.405 </w:t>
                  </w:r>
                </w:p>
              </w:tc>
              <w:tc>
                <w:tcPr>
                  <w:tcW w:w="1073" w:type="dxa"/>
                  <w:tcBorders>
                    <w:tl2br w:val="nil"/>
                    <w:tr2bl w:val="nil"/>
                  </w:tcBorders>
                  <w:shd w:val="clear" w:color="auto" w:fill="auto"/>
                  <w:vAlign w:val="center"/>
                </w:tcPr>
                <w:p w14:paraId="3C384D1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147.825 </w:t>
                  </w:r>
                </w:p>
              </w:tc>
            </w:tr>
            <w:tr w14:paraId="481EB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7773E1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34" w:type="dxa"/>
                  <w:tcBorders>
                    <w:tl2br w:val="nil"/>
                    <w:tr2bl w:val="nil"/>
                  </w:tcBorders>
                  <w:shd w:val="clear" w:color="auto" w:fill="auto"/>
                  <w:vAlign w:val="center"/>
                </w:tcPr>
                <w:p w14:paraId="44FBDE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4"/>
                      <w:highlight w:val="none"/>
                      <w:lang w:val="en-US" w:eastAsia="zh-CN"/>
                    </w:rPr>
                    <w:t>宠物笼清洗用水</w:t>
                  </w:r>
                </w:p>
              </w:tc>
              <w:tc>
                <w:tcPr>
                  <w:tcW w:w="888" w:type="dxa"/>
                  <w:tcBorders>
                    <w:tl2br w:val="nil"/>
                    <w:tr2bl w:val="nil"/>
                  </w:tcBorders>
                  <w:shd w:val="clear" w:color="auto" w:fill="auto"/>
                  <w:vAlign w:val="center"/>
                </w:tcPr>
                <w:p w14:paraId="1C51FF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14</w:t>
                  </w:r>
                  <w:r>
                    <w:rPr>
                      <w:rFonts w:hint="eastAsia" w:ascii="Times New Roman" w:hAnsi="Times New Roman" w:eastAsia="宋体" w:cs="Times New Roman"/>
                      <w:b w:val="0"/>
                      <w:bCs/>
                      <w:color w:val="auto"/>
                      <w:sz w:val="21"/>
                      <w:szCs w:val="21"/>
                      <w:highlight w:val="none"/>
                      <w:vertAlign w:val="baseline"/>
                      <w:lang w:val="en-US" w:eastAsia="zh-CN"/>
                    </w:rPr>
                    <w:t>个</w:t>
                  </w:r>
                </w:p>
              </w:tc>
              <w:tc>
                <w:tcPr>
                  <w:tcW w:w="1246" w:type="dxa"/>
                  <w:tcBorders>
                    <w:tl2br w:val="nil"/>
                    <w:tr2bl w:val="nil"/>
                  </w:tcBorders>
                  <w:shd w:val="clear" w:color="auto" w:fill="auto"/>
                  <w:vAlign w:val="center"/>
                </w:tcPr>
                <w:p w14:paraId="7CAC08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4"/>
                      <w:highlight w:val="none"/>
                      <w:lang w:val="en-US" w:eastAsia="zh-CN"/>
                    </w:rPr>
                    <w:t>5L/笼子</w:t>
                  </w:r>
                </w:p>
              </w:tc>
              <w:tc>
                <w:tcPr>
                  <w:tcW w:w="1043" w:type="dxa"/>
                  <w:tcBorders>
                    <w:tl2br w:val="nil"/>
                    <w:tr2bl w:val="nil"/>
                  </w:tcBorders>
                  <w:shd w:val="clear" w:color="auto" w:fill="auto"/>
                  <w:vAlign w:val="center"/>
                </w:tcPr>
                <w:p w14:paraId="78EA4DAF">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077" w:type="dxa"/>
                  <w:tcBorders>
                    <w:tl2br w:val="nil"/>
                    <w:tr2bl w:val="nil"/>
                  </w:tcBorders>
                  <w:shd w:val="clear" w:color="auto" w:fill="auto"/>
                  <w:vAlign w:val="center"/>
                </w:tcPr>
                <w:p w14:paraId="78177103">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25.55</w:t>
                  </w:r>
                </w:p>
              </w:tc>
              <w:tc>
                <w:tcPr>
                  <w:tcW w:w="1110" w:type="dxa"/>
                  <w:tcBorders>
                    <w:tl2br w:val="nil"/>
                    <w:tr2bl w:val="nil"/>
                  </w:tcBorders>
                  <w:shd w:val="clear" w:color="auto" w:fill="auto"/>
                  <w:vAlign w:val="center"/>
                </w:tcPr>
                <w:p w14:paraId="0A3F47A6">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0.063</w:t>
                  </w:r>
                </w:p>
              </w:tc>
              <w:tc>
                <w:tcPr>
                  <w:tcW w:w="1073" w:type="dxa"/>
                  <w:tcBorders>
                    <w:tl2br w:val="nil"/>
                    <w:tr2bl w:val="nil"/>
                  </w:tcBorders>
                  <w:shd w:val="clear" w:color="auto" w:fill="auto"/>
                  <w:vAlign w:val="center"/>
                </w:tcPr>
                <w:p w14:paraId="58A2A25D">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22.995</w:t>
                  </w:r>
                </w:p>
              </w:tc>
            </w:tr>
            <w:tr w14:paraId="5A46D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72D6DD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3268" w:type="dxa"/>
                  <w:gridSpan w:val="3"/>
                  <w:tcBorders>
                    <w:tl2br w:val="nil"/>
                    <w:tr2bl w:val="nil"/>
                  </w:tcBorders>
                  <w:vAlign w:val="center"/>
                </w:tcPr>
                <w:p w14:paraId="006BBE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4"/>
                      <w:highlight w:val="none"/>
                      <w:lang w:val="en-US" w:eastAsia="zh-CN"/>
                    </w:rPr>
                  </w:pPr>
                  <w:r>
                    <w:rPr>
                      <w:rFonts w:hint="eastAsia" w:ascii="Times New Roman" w:hAnsi="Times New Roman" w:eastAsia="宋体" w:cs="Times New Roman"/>
                      <w:b w:val="0"/>
                      <w:bCs w:val="0"/>
                      <w:color w:val="auto"/>
                      <w:sz w:val="21"/>
                      <w:szCs w:val="24"/>
                      <w:highlight w:val="none"/>
                      <w:lang w:val="en-US" w:eastAsia="zh-CN"/>
                    </w:rPr>
                    <w:t>小计</w:t>
                  </w:r>
                </w:p>
              </w:tc>
              <w:tc>
                <w:tcPr>
                  <w:tcW w:w="1043" w:type="dxa"/>
                  <w:tcBorders>
                    <w:tl2br w:val="nil"/>
                    <w:tr2bl w:val="nil"/>
                  </w:tcBorders>
                  <w:vAlign w:val="center"/>
                </w:tcPr>
                <w:p w14:paraId="4D5344F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0.645 </w:t>
                  </w:r>
                </w:p>
              </w:tc>
              <w:tc>
                <w:tcPr>
                  <w:tcW w:w="1077" w:type="dxa"/>
                  <w:tcBorders>
                    <w:tl2br w:val="nil"/>
                    <w:tr2bl w:val="nil"/>
                  </w:tcBorders>
                  <w:vAlign w:val="center"/>
                </w:tcPr>
                <w:p w14:paraId="6E37020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235.425 </w:t>
                  </w:r>
                </w:p>
              </w:tc>
              <w:tc>
                <w:tcPr>
                  <w:tcW w:w="1110" w:type="dxa"/>
                  <w:tcBorders>
                    <w:tl2br w:val="nil"/>
                    <w:tr2bl w:val="nil"/>
                  </w:tcBorders>
                  <w:shd w:val="clear" w:color="auto" w:fill="auto"/>
                  <w:vAlign w:val="center"/>
                </w:tcPr>
                <w:p w14:paraId="067DC57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0.581 </w:t>
                  </w:r>
                </w:p>
              </w:tc>
              <w:tc>
                <w:tcPr>
                  <w:tcW w:w="1073" w:type="dxa"/>
                  <w:tcBorders>
                    <w:tl2br w:val="nil"/>
                    <w:tr2bl w:val="nil"/>
                  </w:tcBorders>
                  <w:shd w:val="clear" w:color="auto" w:fill="auto"/>
                  <w:vAlign w:val="center"/>
                </w:tcPr>
                <w:p w14:paraId="40D1DCB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211.883 </w:t>
                  </w:r>
                </w:p>
              </w:tc>
            </w:tr>
            <w:tr w14:paraId="75EBC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restart"/>
                  <w:tcBorders>
                    <w:tl2br w:val="nil"/>
                    <w:tr2bl w:val="nil"/>
                  </w:tcBorders>
                  <w:vAlign w:val="center"/>
                </w:tcPr>
                <w:p w14:paraId="667335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其他用水</w:t>
                  </w:r>
                </w:p>
              </w:tc>
              <w:tc>
                <w:tcPr>
                  <w:tcW w:w="1134" w:type="dxa"/>
                  <w:tcBorders>
                    <w:tl2br w:val="nil"/>
                    <w:tr2bl w:val="nil"/>
                  </w:tcBorders>
                  <w:vAlign w:val="center"/>
                </w:tcPr>
                <w:p w14:paraId="4EEF4E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宠物饮水</w:t>
                  </w:r>
                </w:p>
              </w:tc>
              <w:tc>
                <w:tcPr>
                  <w:tcW w:w="888" w:type="dxa"/>
                  <w:tcBorders>
                    <w:tl2br w:val="nil"/>
                    <w:tr2bl w:val="nil"/>
                  </w:tcBorders>
                  <w:vAlign w:val="center"/>
                </w:tcPr>
                <w:p w14:paraId="2C1C8A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1246" w:type="dxa"/>
                  <w:tcBorders>
                    <w:tl2br w:val="nil"/>
                    <w:tr2bl w:val="nil"/>
                  </w:tcBorders>
                  <w:vAlign w:val="center"/>
                </w:tcPr>
                <w:p w14:paraId="22E9CE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043" w:type="dxa"/>
                  <w:tcBorders>
                    <w:tl2br w:val="nil"/>
                    <w:tr2bl w:val="nil"/>
                  </w:tcBorders>
                  <w:vAlign w:val="center"/>
                </w:tcPr>
                <w:p w14:paraId="7197315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18</w:t>
                  </w:r>
                </w:p>
              </w:tc>
              <w:tc>
                <w:tcPr>
                  <w:tcW w:w="1077" w:type="dxa"/>
                  <w:tcBorders>
                    <w:tl2br w:val="nil"/>
                    <w:tr2bl w:val="nil"/>
                  </w:tcBorders>
                  <w:vAlign w:val="center"/>
                </w:tcPr>
                <w:p w14:paraId="0586806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6.57</w:t>
                  </w:r>
                </w:p>
              </w:tc>
              <w:tc>
                <w:tcPr>
                  <w:tcW w:w="1110" w:type="dxa"/>
                  <w:tcBorders>
                    <w:tl2br w:val="nil"/>
                    <w:tr2bl w:val="nil"/>
                  </w:tcBorders>
                  <w:shd w:val="clear" w:color="auto" w:fill="auto"/>
                  <w:vAlign w:val="center"/>
                </w:tcPr>
                <w:p w14:paraId="1E7364F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73" w:type="dxa"/>
                  <w:tcBorders>
                    <w:tl2br w:val="nil"/>
                    <w:tr2bl w:val="nil"/>
                  </w:tcBorders>
                  <w:shd w:val="clear" w:color="auto" w:fill="auto"/>
                  <w:vAlign w:val="center"/>
                </w:tcPr>
                <w:p w14:paraId="074FAE9A">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7B07E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666460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34" w:type="dxa"/>
                  <w:tcBorders>
                    <w:tl2br w:val="nil"/>
                    <w:tr2bl w:val="nil"/>
                  </w:tcBorders>
                  <w:vAlign w:val="center"/>
                </w:tcPr>
                <w:p w14:paraId="0BB5C1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4"/>
                      <w:highlight w:val="none"/>
                      <w:lang w:val="en-US" w:eastAsia="zh-CN"/>
                    </w:rPr>
                    <w:t>宠物洗浴用水</w:t>
                  </w:r>
                </w:p>
              </w:tc>
              <w:tc>
                <w:tcPr>
                  <w:tcW w:w="888" w:type="dxa"/>
                  <w:tcBorders>
                    <w:tl2br w:val="nil"/>
                    <w:tr2bl w:val="nil"/>
                  </w:tcBorders>
                  <w:vAlign w:val="center"/>
                </w:tcPr>
                <w:p w14:paraId="4473F9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w:t>
                  </w:r>
                  <w:r>
                    <w:rPr>
                      <w:rFonts w:hint="eastAsia" w:ascii="Times New Roman" w:hAnsi="Times New Roman" w:eastAsia="宋体" w:cs="Times New Roman"/>
                      <w:b w:val="0"/>
                      <w:bCs/>
                      <w:color w:val="auto"/>
                      <w:sz w:val="21"/>
                      <w:szCs w:val="21"/>
                      <w:highlight w:val="none"/>
                      <w:vertAlign w:val="baseline"/>
                      <w:lang w:val="en-US" w:eastAsia="zh-CN"/>
                    </w:rPr>
                    <w:t>只/d</w:t>
                  </w:r>
                </w:p>
              </w:tc>
              <w:tc>
                <w:tcPr>
                  <w:tcW w:w="1246" w:type="dxa"/>
                  <w:tcBorders>
                    <w:tl2br w:val="nil"/>
                    <w:tr2bl w:val="nil"/>
                  </w:tcBorders>
                  <w:vAlign w:val="center"/>
                </w:tcPr>
                <w:p w14:paraId="42B980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4"/>
                      <w:highlight w:val="none"/>
                      <w:lang w:val="en-US" w:eastAsia="zh-CN"/>
                    </w:rPr>
                    <w:t xml:space="preserve"> </w:t>
                  </w:r>
                  <w:r>
                    <w:rPr>
                      <w:rFonts w:hint="default" w:ascii="Times New Roman" w:hAnsi="Times New Roman" w:eastAsia="宋体" w:cs="Times New Roman"/>
                      <w:b w:val="0"/>
                      <w:bCs/>
                      <w:color w:val="auto"/>
                      <w:sz w:val="21"/>
                      <w:szCs w:val="24"/>
                      <w:highlight w:val="none"/>
                      <w:lang w:val="en-US" w:eastAsia="zh-CN"/>
                    </w:rPr>
                    <w:t>50L/</w:t>
                  </w:r>
                  <w:r>
                    <w:rPr>
                      <w:rFonts w:hint="eastAsia" w:ascii="Times New Roman" w:hAnsi="Times New Roman" w:eastAsia="宋体" w:cs="Times New Roman"/>
                      <w:b w:val="0"/>
                      <w:bCs/>
                      <w:color w:val="auto"/>
                      <w:sz w:val="21"/>
                      <w:szCs w:val="24"/>
                      <w:highlight w:val="none"/>
                      <w:lang w:val="en-US" w:eastAsia="zh-CN"/>
                    </w:rPr>
                    <w:t>只</w:t>
                  </w:r>
                </w:p>
              </w:tc>
              <w:tc>
                <w:tcPr>
                  <w:tcW w:w="1043" w:type="dxa"/>
                  <w:tcBorders>
                    <w:tl2br w:val="nil"/>
                    <w:tr2bl w:val="nil"/>
                  </w:tcBorders>
                  <w:vAlign w:val="center"/>
                </w:tcPr>
                <w:p w14:paraId="43BE984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077" w:type="dxa"/>
                  <w:tcBorders>
                    <w:tl2br w:val="nil"/>
                    <w:tr2bl w:val="nil"/>
                  </w:tcBorders>
                  <w:vAlign w:val="center"/>
                </w:tcPr>
                <w:p w14:paraId="0A49118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182.5</w:t>
                  </w:r>
                </w:p>
              </w:tc>
              <w:tc>
                <w:tcPr>
                  <w:tcW w:w="1110" w:type="dxa"/>
                  <w:tcBorders>
                    <w:tl2br w:val="nil"/>
                    <w:tr2bl w:val="nil"/>
                  </w:tcBorders>
                  <w:shd w:val="clear" w:color="auto" w:fill="auto"/>
                  <w:vAlign w:val="center"/>
                </w:tcPr>
                <w:p w14:paraId="52ADF81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w:t>
                  </w:r>
                </w:p>
              </w:tc>
              <w:tc>
                <w:tcPr>
                  <w:tcW w:w="1073" w:type="dxa"/>
                  <w:tcBorders>
                    <w:tl2br w:val="nil"/>
                    <w:tr2bl w:val="nil"/>
                  </w:tcBorders>
                  <w:shd w:val="clear" w:color="auto" w:fill="auto"/>
                  <w:vAlign w:val="center"/>
                </w:tcPr>
                <w:p w14:paraId="100AF43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164.25</w:t>
                  </w:r>
                </w:p>
              </w:tc>
            </w:tr>
            <w:tr w14:paraId="34CF4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1FA7D4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34" w:type="dxa"/>
                  <w:tcBorders>
                    <w:tl2br w:val="nil"/>
                    <w:tr2bl w:val="nil"/>
                  </w:tcBorders>
                  <w:vAlign w:val="center"/>
                </w:tcPr>
                <w:p w14:paraId="3017F0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4"/>
                      <w:highlight w:val="none"/>
                      <w:lang w:val="en-US" w:eastAsia="zh-CN"/>
                    </w:rPr>
                    <w:t>地面清洁用水</w:t>
                  </w:r>
                </w:p>
              </w:tc>
              <w:tc>
                <w:tcPr>
                  <w:tcW w:w="888" w:type="dxa"/>
                  <w:tcBorders>
                    <w:tl2br w:val="nil"/>
                    <w:tr2bl w:val="nil"/>
                  </w:tcBorders>
                  <w:vAlign w:val="center"/>
                </w:tcPr>
                <w:p w14:paraId="6CBA7A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4"/>
                      <w:highlight w:val="none"/>
                      <w:lang w:val="en-US" w:eastAsia="zh-CN"/>
                    </w:rPr>
                    <w:t>180</w:t>
                  </w:r>
                  <w:r>
                    <w:rPr>
                      <w:rFonts w:hint="default" w:ascii="Times New Roman" w:hAnsi="Times New Roman" w:eastAsia="宋体" w:cs="Times New Roman"/>
                      <w:b w:val="0"/>
                      <w:bCs/>
                      <w:color w:val="auto"/>
                      <w:sz w:val="21"/>
                      <w:szCs w:val="24"/>
                      <w:highlight w:val="none"/>
                      <w:lang w:val="en-US" w:eastAsia="zh-CN"/>
                    </w:rPr>
                    <w:t>m</w:t>
                  </w:r>
                  <w:r>
                    <w:rPr>
                      <w:rFonts w:hint="eastAsia" w:ascii="Times New Roman" w:hAnsi="Times New Roman" w:eastAsia="宋体" w:cs="Times New Roman"/>
                      <w:b w:val="0"/>
                      <w:bCs/>
                      <w:color w:val="auto"/>
                      <w:sz w:val="21"/>
                      <w:szCs w:val="24"/>
                      <w:highlight w:val="none"/>
                      <w:vertAlign w:val="superscript"/>
                      <w:lang w:val="en-US" w:eastAsia="zh-CN"/>
                    </w:rPr>
                    <w:t>2</w:t>
                  </w:r>
                </w:p>
              </w:tc>
              <w:tc>
                <w:tcPr>
                  <w:tcW w:w="1246" w:type="dxa"/>
                  <w:tcBorders>
                    <w:tl2br w:val="nil"/>
                    <w:tr2bl w:val="nil"/>
                  </w:tcBorders>
                  <w:vAlign w:val="center"/>
                </w:tcPr>
                <w:p w14:paraId="2330A2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4"/>
                      <w:highlight w:val="none"/>
                      <w:lang w:val="en-US" w:eastAsia="zh-CN"/>
                    </w:rPr>
                    <w:t>1</w:t>
                  </w:r>
                  <w:r>
                    <w:rPr>
                      <w:rFonts w:hint="default" w:ascii="Times New Roman" w:hAnsi="Times New Roman" w:eastAsia="宋体" w:cs="Times New Roman"/>
                      <w:b w:val="0"/>
                      <w:bCs/>
                      <w:color w:val="auto"/>
                      <w:sz w:val="21"/>
                      <w:szCs w:val="24"/>
                      <w:highlight w:val="none"/>
                      <w:lang w:val="en-US" w:eastAsia="zh-CN"/>
                    </w:rPr>
                    <w:t>L</w:t>
                  </w:r>
                  <w:r>
                    <w:rPr>
                      <w:rFonts w:hint="eastAsia" w:ascii="Times New Roman" w:hAnsi="Times New Roman" w:eastAsia="宋体" w:cs="Times New Roman"/>
                      <w:b w:val="0"/>
                      <w:bCs/>
                      <w:color w:val="auto"/>
                      <w:sz w:val="21"/>
                      <w:szCs w:val="24"/>
                      <w:highlight w:val="none"/>
                      <w:lang w:val="en-US" w:eastAsia="zh-CN"/>
                    </w:rPr>
                    <w:t>/</w:t>
                  </w:r>
                  <w:r>
                    <w:rPr>
                      <w:rFonts w:hint="eastAsia" w:cs="Times New Roman"/>
                      <w:b w:val="0"/>
                      <w:bCs/>
                      <w:color w:val="auto"/>
                      <w:sz w:val="21"/>
                      <w:szCs w:val="24"/>
                      <w:highlight w:val="none"/>
                      <w:lang w:val="en-US" w:eastAsia="zh-CN"/>
                    </w:rPr>
                    <w:t>（</w:t>
                  </w:r>
                  <w:r>
                    <w:rPr>
                      <w:rFonts w:hint="default" w:ascii="Times New Roman" w:hAnsi="Times New Roman" w:eastAsia="宋体" w:cs="Times New Roman"/>
                      <w:b w:val="0"/>
                      <w:bCs/>
                      <w:color w:val="auto"/>
                      <w:sz w:val="21"/>
                      <w:szCs w:val="24"/>
                      <w:highlight w:val="none"/>
                      <w:lang w:val="en-US" w:eastAsia="zh-CN"/>
                    </w:rPr>
                    <w:t>m</w:t>
                  </w:r>
                  <w:r>
                    <w:rPr>
                      <w:rFonts w:hint="eastAsia" w:ascii="Times New Roman" w:hAnsi="Times New Roman" w:eastAsia="宋体" w:cs="Times New Roman"/>
                      <w:b w:val="0"/>
                      <w:bCs/>
                      <w:color w:val="auto"/>
                      <w:sz w:val="21"/>
                      <w:szCs w:val="24"/>
                      <w:highlight w:val="none"/>
                      <w:vertAlign w:val="superscript"/>
                      <w:lang w:val="en-US" w:eastAsia="zh-CN"/>
                    </w:rPr>
                    <w:t>2</w:t>
                  </w:r>
                  <w:r>
                    <w:rPr>
                      <w:rFonts w:hint="default" w:ascii="Times New Roman" w:hAnsi="Times New Roman" w:eastAsia="宋体" w:cs="Times New Roman"/>
                      <w:b w:val="0"/>
                      <w:bCs/>
                      <w:color w:val="auto"/>
                      <w:sz w:val="21"/>
                      <w:szCs w:val="24"/>
                      <w:highlight w:val="none"/>
                      <w:vertAlign w:val="baseline"/>
                      <w:lang w:val="en-US" w:eastAsia="zh-CN"/>
                    </w:rPr>
                    <w:t>·</w:t>
                  </w:r>
                  <w:r>
                    <w:rPr>
                      <w:rFonts w:hint="default" w:ascii="Times New Roman" w:hAnsi="Times New Roman" w:eastAsia="宋体" w:cs="Times New Roman"/>
                      <w:b w:val="0"/>
                      <w:bCs/>
                      <w:color w:val="auto"/>
                      <w:sz w:val="21"/>
                      <w:szCs w:val="24"/>
                      <w:highlight w:val="none"/>
                      <w:lang w:val="en-US" w:eastAsia="zh-CN"/>
                    </w:rPr>
                    <w:t>d</w:t>
                  </w:r>
                  <w:r>
                    <w:rPr>
                      <w:rFonts w:hint="eastAsia" w:cs="Times New Roman"/>
                      <w:b w:val="0"/>
                      <w:bCs/>
                      <w:color w:val="auto"/>
                      <w:sz w:val="21"/>
                      <w:szCs w:val="24"/>
                      <w:highlight w:val="none"/>
                      <w:lang w:val="en-US" w:eastAsia="zh-CN"/>
                    </w:rPr>
                    <w:t>）</w:t>
                  </w:r>
                </w:p>
              </w:tc>
              <w:tc>
                <w:tcPr>
                  <w:tcW w:w="1043" w:type="dxa"/>
                  <w:tcBorders>
                    <w:tl2br w:val="nil"/>
                    <w:tr2bl w:val="nil"/>
                  </w:tcBorders>
                  <w:vAlign w:val="center"/>
                </w:tcPr>
                <w:p w14:paraId="41C9F62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077" w:type="dxa"/>
                  <w:tcBorders>
                    <w:tl2br w:val="nil"/>
                    <w:tr2bl w:val="nil"/>
                  </w:tcBorders>
                  <w:vAlign w:val="center"/>
                </w:tcPr>
                <w:p w14:paraId="20A394F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65.7</w:t>
                  </w:r>
                </w:p>
              </w:tc>
              <w:tc>
                <w:tcPr>
                  <w:tcW w:w="1110" w:type="dxa"/>
                  <w:tcBorders>
                    <w:tl2br w:val="nil"/>
                    <w:tr2bl w:val="nil"/>
                  </w:tcBorders>
                  <w:shd w:val="clear" w:color="auto" w:fill="auto"/>
                  <w:vAlign w:val="center"/>
                </w:tcPr>
                <w:p w14:paraId="7AA2605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0.162</w:t>
                  </w:r>
                </w:p>
              </w:tc>
              <w:tc>
                <w:tcPr>
                  <w:tcW w:w="1073" w:type="dxa"/>
                  <w:tcBorders>
                    <w:tl2br w:val="nil"/>
                    <w:tr2bl w:val="nil"/>
                  </w:tcBorders>
                  <w:shd w:val="clear" w:color="auto" w:fill="auto"/>
                  <w:vAlign w:val="center"/>
                </w:tcPr>
                <w:p w14:paraId="7B34180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59.13</w:t>
                  </w:r>
                </w:p>
              </w:tc>
            </w:tr>
            <w:tr w14:paraId="3BE08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2A0E03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34" w:type="dxa"/>
                  <w:tcBorders>
                    <w:tl2br w:val="nil"/>
                    <w:tr2bl w:val="nil"/>
                  </w:tcBorders>
                  <w:vAlign w:val="center"/>
                </w:tcPr>
                <w:p w14:paraId="78A603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4"/>
                      <w:highlight w:val="none"/>
                      <w:lang w:val="en-US" w:eastAsia="zh-CN"/>
                    </w:rPr>
                    <w:t>洗衣用水</w:t>
                  </w:r>
                </w:p>
              </w:tc>
              <w:tc>
                <w:tcPr>
                  <w:tcW w:w="888" w:type="dxa"/>
                  <w:tcBorders>
                    <w:tl2br w:val="nil"/>
                    <w:tr2bl w:val="nil"/>
                  </w:tcBorders>
                  <w:vAlign w:val="center"/>
                </w:tcPr>
                <w:p w14:paraId="4F4F29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r>
                    <w:rPr>
                      <w:rFonts w:hint="eastAsia" w:ascii="Times New Roman" w:hAnsi="Times New Roman" w:eastAsia="宋体" w:cs="Times New Roman"/>
                      <w:b w:val="0"/>
                      <w:bCs/>
                      <w:color w:val="auto"/>
                      <w:sz w:val="21"/>
                      <w:szCs w:val="21"/>
                      <w:highlight w:val="none"/>
                      <w:vertAlign w:val="baseline"/>
                      <w:lang w:val="en-US" w:eastAsia="zh-CN"/>
                    </w:rPr>
                    <w:t>kg/d</w:t>
                  </w:r>
                </w:p>
              </w:tc>
              <w:tc>
                <w:tcPr>
                  <w:tcW w:w="1246" w:type="dxa"/>
                  <w:tcBorders>
                    <w:tl2br w:val="nil"/>
                    <w:tr2bl w:val="nil"/>
                  </w:tcBorders>
                  <w:vAlign w:val="center"/>
                </w:tcPr>
                <w:p w14:paraId="60C7BA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4"/>
                      <w:highlight w:val="none"/>
                      <w:lang w:val="en-US" w:eastAsia="zh-CN"/>
                    </w:rPr>
                    <w:t>60L/kg</w:t>
                  </w:r>
                </w:p>
              </w:tc>
              <w:tc>
                <w:tcPr>
                  <w:tcW w:w="1043" w:type="dxa"/>
                  <w:tcBorders>
                    <w:tl2br w:val="nil"/>
                    <w:tr2bl w:val="nil"/>
                  </w:tcBorders>
                  <w:vAlign w:val="center"/>
                </w:tcPr>
                <w:p w14:paraId="1B3BCA3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077" w:type="dxa"/>
                  <w:tcBorders>
                    <w:tl2br w:val="nil"/>
                    <w:tr2bl w:val="nil"/>
                  </w:tcBorders>
                  <w:vAlign w:val="center"/>
                </w:tcPr>
                <w:p w14:paraId="467595B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65.7</w:t>
                  </w:r>
                </w:p>
              </w:tc>
              <w:tc>
                <w:tcPr>
                  <w:tcW w:w="1110" w:type="dxa"/>
                  <w:tcBorders>
                    <w:tl2br w:val="nil"/>
                    <w:tr2bl w:val="nil"/>
                  </w:tcBorders>
                  <w:shd w:val="clear" w:color="auto" w:fill="auto"/>
                  <w:vAlign w:val="center"/>
                </w:tcPr>
                <w:p w14:paraId="6F37424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0.162</w:t>
                  </w:r>
                </w:p>
              </w:tc>
              <w:tc>
                <w:tcPr>
                  <w:tcW w:w="1073" w:type="dxa"/>
                  <w:tcBorders>
                    <w:tl2br w:val="nil"/>
                    <w:tr2bl w:val="nil"/>
                  </w:tcBorders>
                  <w:shd w:val="clear" w:color="auto" w:fill="auto"/>
                  <w:vAlign w:val="center"/>
                </w:tcPr>
                <w:p w14:paraId="4CC4EE3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59.13</w:t>
                  </w:r>
                </w:p>
              </w:tc>
            </w:tr>
            <w:tr w14:paraId="10A8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2D0D2C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3268" w:type="dxa"/>
                  <w:gridSpan w:val="3"/>
                  <w:tcBorders>
                    <w:tl2br w:val="nil"/>
                    <w:tr2bl w:val="nil"/>
                  </w:tcBorders>
                  <w:vAlign w:val="center"/>
                </w:tcPr>
                <w:p w14:paraId="012BF1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小计</w:t>
                  </w:r>
                </w:p>
              </w:tc>
              <w:tc>
                <w:tcPr>
                  <w:tcW w:w="1043" w:type="dxa"/>
                  <w:tcBorders>
                    <w:tl2br w:val="nil"/>
                    <w:tr2bl w:val="nil"/>
                  </w:tcBorders>
                  <w:vAlign w:val="center"/>
                </w:tcPr>
                <w:p w14:paraId="4130E9E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0.878</w:t>
                  </w:r>
                </w:p>
              </w:tc>
              <w:tc>
                <w:tcPr>
                  <w:tcW w:w="1077" w:type="dxa"/>
                  <w:tcBorders>
                    <w:tl2br w:val="nil"/>
                    <w:tr2bl w:val="nil"/>
                  </w:tcBorders>
                  <w:vAlign w:val="center"/>
                </w:tcPr>
                <w:p w14:paraId="3B6E1F0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320.47</w:t>
                  </w:r>
                </w:p>
              </w:tc>
              <w:tc>
                <w:tcPr>
                  <w:tcW w:w="1110" w:type="dxa"/>
                  <w:tcBorders>
                    <w:tl2br w:val="nil"/>
                    <w:tr2bl w:val="nil"/>
                  </w:tcBorders>
                  <w:shd w:val="clear" w:color="auto" w:fill="auto"/>
                  <w:vAlign w:val="center"/>
                </w:tcPr>
                <w:p w14:paraId="5D9FC37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0.774</w:t>
                  </w:r>
                </w:p>
              </w:tc>
              <w:tc>
                <w:tcPr>
                  <w:tcW w:w="1073" w:type="dxa"/>
                  <w:tcBorders>
                    <w:tl2br w:val="nil"/>
                    <w:tr2bl w:val="nil"/>
                  </w:tcBorders>
                  <w:shd w:val="clear" w:color="auto" w:fill="auto"/>
                  <w:vAlign w:val="center"/>
                </w:tcPr>
                <w:p w14:paraId="4CCA483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282.51</w:t>
                  </w:r>
                </w:p>
              </w:tc>
            </w:tr>
            <w:tr w14:paraId="65A5F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restart"/>
                  <w:tcBorders>
                    <w:tl2br w:val="nil"/>
                    <w:tr2bl w:val="nil"/>
                  </w:tcBorders>
                  <w:vAlign w:val="center"/>
                </w:tcPr>
                <w:p w14:paraId="38B1CF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生活用水</w:t>
                  </w:r>
                </w:p>
              </w:tc>
              <w:tc>
                <w:tcPr>
                  <w:tcW w:w="1134" w:type="dxa"/>
                  <w:tcBorders>
                    <w:tl2br w:val="nil"/>
                    <w:tr2bl w:val="nil"/>
                  </w:tcBorders>
                  <w:vAlign w:val="center"/>
                </w:tcPr>
                <w:p w14:paraId="22BFFA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职工</w:t>
                  </w:r>
                  <w:r>
                    <w:rPr>
                      <w:rFonts w:hint="default" w:ascii="Times New Roman" w:hAnsi="Times New Roman" w:eastAsia="宋体" w:cs="Times New Roman"/>
                      <w:b w:val="0"/>
                      <w:bCs/>
                      <w:color w:val="auto"/>
                      <w:sz w:val="21"/>
                      <w:szCs w:val="21"/>
                      <w:highlight w:val="none"/>
                      <w:vertAlign w:val="baseline"/>
                      <w:lang w:val="en-US" w:eastAsia="zh-CN"/>
                    </w:rPr>
                    <w:t>生活用水</w:t>
                  </w:r>
                </w:p>
              </w:tc>
              <w:tc>
                <w:tcPr>
                  <w:tcW w:w="888" w:type="dxa"/>
                  <w:tcBorders>
                    <w:tl2br w:val="nil"/>
                    <w:tr2bl w:val="nil"/>
                  </w:tcBorders>
                  <w:vAlign w:val="center"/>
                </w:tcPr>
                <w:p w14:paraId="4C3A3A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r>
                    <w:rPr>
                      <w:rFonts w:hint="default" w:ascii="Times New Roman" w:hAnsi="Times New Roman" w:eastAsia="宋体" w:cs="Times New Roman"/>
                      <w:b w:val="0"/>
                      <w:bCs/>
                      <w:color w:val="auto"/>
                      <w:sz w:val="21"/>
                      <w:szCs w:val="21"/>
                      <w:highlight w:val="none"/>
                      <w:vertAlign w:val="baseline"/>
                      <w:lang w:val="en-US" w:eastAsia="zh-CN"/>
                    </w:rPr>
                    <w:t>人</w:t>
                  </w:r>
                  <w:r>
                    <w:rPr>
                      <w:rFonts w:hint="eastAsia" w:ascii="Times New Roman" w:hAnsi="Times New Roman" w:eastAsia="宋体" w:cs="Times New Roman"/>
                      <w:b w:val="0"/>
                      <w:bCs/>
                      <w:color w:val="auto"/>
                      <w:sz w:val="21"/>
                      <w:szCs w:val="21"/>
                      <w:highlight w:val="none"/>
                      <w:vertAlign w:val="baseline"/>
                      <w:lang w:val="en-US" w:eastAsia="zh-CN"/>
                    </w:rPr>
                    <w:t>/d</w:t>
                  </w:r>
                </w:p>
              </w:tc>
              <w:tc>
                <w:tcPr>
                  <w:tcW w:w="1246" w:type="dxa"/>
                  <w:tcBorders>
                    <w:tl2br w:val="nil"/>
                    <w:tr2bl w:val="nil"/>
                  </w:tcBorders>
                  <w:vAlign w:val="center"/>
                </w:tcPr>
                <w:p w14:paraId="3A200C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50L/</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人</w:t>
                  </w:r>
                  <w:r>
                    <w:rPr>
                      <w:rFonts w:hint="default" w:ascii="Times New Roman" w:hAnsi="Times New Roman" w:eastAsia="宋体" w:cs="Times New Roman"/>
                      <w:b w:val="0"/>
                      <w:bCs/>
                      <w:color w:val="auto"/>
                      <w:sz w:val="21"/>
                      <w:szCs w:val="24"/>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d</w:t>
                  </w:r>
                  <w:r>
                    <w:rPr>
                      <w:rFonts w:hint="eastAsia" w:ascii="Times New Roman" w:hAnsi="Times New Roman" w:eastAsia="宋体" w:cs="Times New Roman"/>
                      <w:b w:val="0"/>
                      <w:bCs/>
                      <w:color w:val="auto"/>
                      <w:sz w:val="21"/>
                      <w:szCs w:val="21"/>
                      <w:highlight w:val="none"/>
                      <w:vertAlign w:val="baseline"/>
                      <w:lang w:val="en-US" w:eastAsia="zh-CN"/>
                    </w:rPr>
                    <w:t>）</w:t>
                  </w:r>
                </w:p>
              </w:tc>
              <w:tc>
                <w:tcPr>
                  <w:tcW w:w="1043" w:type="dxa"/>
                  <w:tcBorders>
                    <w:tl2br w:val="nil"/>
                    <w:tr2bl w:val="nil"/>
                  </w:tcBorders>
                  <w:vAlign w:val="center"/>
                </w:tcPr>
                <w:p w14:paraId="39A3C90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077" w:type="dxa"/>
                  <w:tcBorders>
                    <w:tl2br w:val="nil"/>
                    <w:tr2bl w:val="nil"/>
                  </w:tcBorders>
                  <w:vAlign w:val="center"/>
                </w:tcPr>
                <w:p w14:paraId="24F568C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110" w:type="dxa"/>
                  <w:tcBorders>
                    <w:tl2br w:val="nil"/>
                    <w:tr2bl w:val="nil"/>
                  </w:tcBorders>
                  <w:vAlign w:val="center"/>
                </w:tcPr>
                <w:p w14:paraId="01090DA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073" w:type="dxa"/>
                  <w:tcBorders>
                    <w:tl2br w:val="nil"/>
                    <w:tr2bl w:val="nil"/>
                  </w:tcBorders>
                  <w:vAlign w:val="center"/>
                </w:tcPr>
                <w:p w14:paraId="130153F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65.7</w:t>
                  </w:r>
                </w:p>
              </w:tc>
            </w:tr>
            <w:tr w14:paraId="5BCEF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41C157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34" w:type="dxa"/>
                  <w:tcBorders>
                    <w:tl2br w:val="nil"/>
                    <w:tr2bl w:val="nil"/>
                  </w:tcBorders>
                  <w:vAlign w:val="center"/>
                </w:tcPr>
                <w:p w14:paraId="73CEED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流动顾客用水</w:t>
                  </w:r>
                </w:p>
              </w:tc>
              <w:tc>
                <w:tcPr>
                  <w:tcW w:w="888" w:type="dxa"/>
                  <w:tcBorders>
                    <w:tl2br w:val="nil"/>
                    <w:tr2bl w:val="nil"/>
                  </w:tcBorders>
                  <w:vAlign w:val="center"/>
                </w:tcPr>
                <w:p w14:paraId="08CD77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40</w:t>
                  </w:r>
                  <w:r>
                    <w:rPr>
                      <w:rFonts w:hint="default" w:ascii="Times New Roman" w:hAnsi="Times New Roman" w:eastAsia="宋体" w:cs="Times New Roman"/>
                      <w:b w:val="0"/>
                      <w:bCs/>
                      <w:color w:val="auto"/>
                      <w:sz w:val="21"/>
                      <w:szCs w:val="21"/>
                      <w:highlight w:val="none"/>
                      <w:vertAlign w:val="baseline"/>
                      <w:lang w:val="en-US" w:eastAsia="zh-CN"/>
                    </w:rPr>
                    <w:t>人/d</w:t>
                  </w:r>
                </w:p>
              </w:tc>
              <w:tc>
                <w:tcPr>
                  <w:tcW w:w="1246" w:type="dxa"/>
                  <w:tcBorders>
                    <w:tl2br w:val="nil"/>
                    <w:tr2bl w:val="nil"/>
                  </w:tcBorders>
                  <w:vAlign w:val="center"/>
                </w:tcPr>
                <w:p w14:paraId="68ED4B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10L/</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人</w:t>
                  </w:r>
                  <w:r>
                    <w:rPr>
                      <w:rFonts w:hint="default" w:ascii="Times New Roman" w:hAnsi="Times New Roman" w:eastAsia="宋体" w:cs="Times New Roman"/>
                      <w:b w:val="0"/>
                      <w:bCs/>
                      <w:color w:val="auto"/>
                      <w:sz w:val="21"/>
                      <w:szCs w:val="24"/>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d</w:t>
                  </w:r>
                  <w:r>
                    <w:rPr>
                      <w:rFonts w:hint="eastAsia" w:ascii="Times New Roman" w:hAnsi="Times New Roman" w:eastAsia="宋体" w:cs="Times New Roman"/>
                      <w:b w:val="0"/>
                      <w:bCs/>
                      <w:color w:val="auto"/>
                      <w:sz w:val="21"/>
                      <w:szCs w:val="21"/>
                      <w:highlight w:val="none"/>
                      <w:vertAlign w:val="baseline"/>
                      <w:lang w:val="en-US" w:eastAsia="zh-CN"/>
                    </w:rPr>
                    <w:t>）</w:t>
                  </w:r>
                </w:p>
              </w:tc>
              <w:tc>
                <w:tcPr>
                  <w:tcW w:w="1043" w:type="dxa"/>
                  <w:tcBorders>
                    <w:tl2br w:val="nil"/>
                    <w:tr2bl w:val="nil"/>
                  </w:tcBorders>
                  <w:vAlign w:val="center"/>
                </w:tcPr>
                <w:p w14:paraId="4430523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w:t>
                  </w:r>
                </w:p>
              </w:tc>
              <w:tc>
                <w:tcPr>
                  <w:tcW w:w="1077" w:type="dxa"/>
                  <w:tcBorders>
                    <w:tl2br w:val="nil"/>
                    <w:tr2bl w:val="nil"/>
                  </w:tcBorders>
                  <w:vAlign w:val="center"/>
                </w:tcPr>
                <w:p w14:paraId="1C16406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1110" w:type="dxa"/>
                  <w:tcBorders>
                    <w:tl2br w:val="nil"/>
                    <w:tr2bl w:val="nil"/>
                  </w:tcBorders>
                  <w:vAlign w:val="center"/>
                </w:tcPr>
                <w:p w14:paraId="7BDD4F6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0.36</w:t>
                  </w:r>
                </w:p>
              </w:tc>
              <w:tc>
                <w:tcPr>
                  <w:tcW w:w="1073" w:type="dxa"/>
                  <w:tcBorders>
                    <w:tl2br w:val="nil"/>
                    <w:tr2bl w:val="nil"/>
                  </w:tcBorders>
                  <w:vAlign w:val="center"/>
                </w:tcPr>
                <w:p w14:paraId="507B0DC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131.4</w:t>
                  </w:r>
                </w:p>
              </w:tc>
            </w:tr>
            <w:tr w14:paraId="4DC60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9" w:type="dxa"/>
                  <w:vMerge w:val="continue"/>
                  <w:tcBorders>
                    <w:tl2br w:val="nil"/>
                    <w:tr2bl w:val="nil"/>
                  </w:tcBorders>
                  <w:vAlign w:val="center"/>
                </w:tcPr>
                <w:p w14:paraId="37A1D8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3268" w:type="dxa"/>
                  <w:gridSpan w:val="3"/>
                  <w:tcBorders>
                    <w:tl2br w:val="nil"/>
                    <w:tr2bl w:val="nil"/>
                  </w:tcBorders>
                  <w:vAlign w:val="center"/>
                </w:tcPr>
                <w:p w14:paraId="4F18D3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小计</w:t>
                  </w:r>
                </w:p>
              </w:tc>
              <w:tc>
                <w:tcPr>
                  <w:tcW w:w="1043" w:type="dxa"/>
                  <w:tcBorders>
                    <w:tl2br w:val="nil"/>
                    <w:tr2bl w:val="nil"/>
                  </w:tcBorders>
                  <w:vAlign w:val="center"/>
                </w:tcPr>
                <w:p w14:paraId="492C682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077" w:type="dxa"/>
                  <w:tcBorders>
                    <w:tl2br w:val="nil"/>
                    <w:tr2bl w:val="nil"/>
                  </w:tcBorders>
                  <w:vAlign w:val="center"/>
                </w:tcPr>
                <w:p w14:paraId="53AE4D5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1110" w:type="dxa"/>
                  <w:tcBorders>
                    <w:tl2br w:val="nil"/>
                    <w:tr2bl w:val="nil"/>
                  </w:tcBorders>
                  <w:vAlign w:val="center"/>
                </w:tcPr>
                <w:p w14:paraId="70CE1DA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0.54</w:t>
                  </w:r>
                </w:p>
              </w:tc>
              <w:tc>
                <w:tcPr>
                  <w:tcW w:w="1073" w:type="dxa"/>
                  <w:tcBorders>
                    <w:tl2br w:val="nil"/>
                    <w:tr2bl w:val="nil"/>
                  </w:tcBorders>
                  <w:vAlign w:val="center"/>
                </w:tcPr>
                <w:p w14:paraId="65E695A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197.1</w:t>
                  </w:r>
                </w:p>
              </w:tc>
            </w:tr>
            <w:tr w14:paraId="386F2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47" w:type="dxa"/>
                  <w:gridSpan w:val="4"/>
                  <w:tcBorders>
                    <w:tl2br w:val="nil"/>
                    <w:tr2bl w:val="nil"/>
                  </w:tcBorders>
                  <w:vAlign w:val="center"/>
                </w:tcPr>
                <w:p w14:paraId="57DB19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合计</w:t>
                  </w:r>
                </w:p>
              </w:tc>
              <w:tc>
                <w:tcPr>
                  <w:tcW w:w="1043" w:type="dxa"/>
                  <w:tcBorders>
                    <w:tl2br w:val="nil"/>
                    <w:tr2bl w:val="nil"/>
                  </w:tcBorders>
                  <w:vAlign w:val="center"/>
                </w:tcPr>
                <w:p w14:paraId="77924F2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2.123</w:t>
                  </w:r>
                </w:p>
              </w:tc>
              <w:tc>
                <w:tcPr>
                  <w:tcW w:w="1077" w:type="dxa"/>
                  <w:tcBorders>
                    <w:tl2br w:val="nil"/>
                    <w:tr2bl w:val="nil"/>
                  </w:tcBorders>
                  <w:vAlign w:val="center"/>
                </w:tcPr>
                <w:p w14:paraId="7A088C3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774.895</w:t>
                  </w:r>
                </w:p>
              </w:tc>
              <w:tc>
                <w:tcPr>
                  <w:tcW w:w="1110" w:type="dxa"/>
                  <w:tcBorders>
                    <w:tl2br w:val="nil"/>
                    <w:tr2bl w:val="nil"/>
                  </w:tcBorders>
                  <w:vAlign w:val="center"/>
                </w:tcPr>
                <w:p w14:paraId="1604C09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1.895 </w:t>
                  </w:r>
                </w:p>
              </w:tc>
              <w:tc>
                <w:tcPr>
                  <w:tcW w:w="1073" w:type="dxa"/>
                  <w:tcBorders>
                    <w:tl2br w:val="nil"/>
                    <w:tr2bl w:val="nil"/>
                  </w:tcBorders>
                  <w:vAlign w:val="center"/>
                </w:tcPr>
                <w:p w14:paraId="68F2064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691.493 </w:t>
                  </w:r>
                </w:p>
              </w:tc>
            </w:tr>
            <w:tr w14:paraId="34AD5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0" w:type="dxa"/>
                  <w:gridSpan w:val="8"/>
                  <w:tcBorders>
                    <w:tl2br w:val="nil"/>
                    <w:tr2bl w:val="nil"/>
                  </w:tcBorders>
                  <w:vAlign w:val="center"/>
                </w:tcPr>
                <w:p w14:paraId="7E99AF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备注：宠物住院规模按照最大</w:t>
                  </w:r>
                  <w:r>
                    <w:rPr>
                      <w:rFonts w:hint="eastAsia" w:cs="Times New Roman"/>
                      <w:b w:val="0"/>
                      <w:bCs/>
                      <w:color w:val="auto"/>
                      <w:sz w:val="21"/>
                      <w:szCs w:val="21"/>
                      <w:highlight w:val="none"/>
                      <w:vertAlign w:val="baseline"/>
                      <w:lang w:val="en-US" w:eastAsia="zh-CN"/>
                    </w:rPr>
                    <w:t>规模</w:t>
                  </w:r>
                  <w:r>
                    <w:rPr>
                      <w:rFonts w:hint="default" w:ascii="Times New Roman" w:hAnsi="Times New Roman" w:eastAsia="宋体" w:cs="Times New Roman"/>
                      <w:b w:val="0"/>
                      <w:bCs/>
                      <w:color w:val="auto"/>
                      <w:sz w:val="21"/>
                      <w:szCs w:val="21"/>
                      <w:highlight w:val="none"/>
                      <w:vertAlign w:val="baseline"/>
                      <w:lang w:val="en-US" w:eastAsia="zh-CN"/>
                    </w:rPr>
                    <w:t>进行核算</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门诊规模为建设单位提供的最大接诊量</w:t>
                  </w:r>
                  <w:r>
                    <w:rPr>
                      <w:rFonts w:hint="eastAsia" w:ascii="Times New Roman" w:hAnsi="Times New Roman" w:eastAsia="宋体" w:cs="Times New Roman"/>
                      <w:b w:val="0"/>
                      <w:bCs/>
                      <w:color w:val="auto"/>
                      <w:sz w:val="21"/>
                      <w:szCs w:val="21"/>
                      <w:highlight w:val="none"/>
                      <w:vertAlign w:val="baseline"/>
                      <w:lang w:val="en-US" w:eastAsia="zh-CN"/>
                    </w:rPr>
                    <w:t>。</w:t>
                  </w:r>
                </w:p>
              </w:tc>
            </w:tr>
          </w:tbl>
          <w:p w14:paraId="379D33E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eastAsia" w:cs="Times New Roman"/>
                <w:b w:val="0"/>
                <w:bCs/>
                <w:color w:val="auto"/>
                <w:sz w:val="24"/>
                <w:szCs w:val="24"/>
                <w:highlight w:val="none"/>
                <w:vertAlign w:val="baseline"/>
                <w:lang w:val="en-US" w:eastAsia="zh-CN"/>
              </w:rPr>
              <w:t>（3）水平衡</w:t>
            </w:r>
          </w:p>
          <w:p w14:paraId="01679E27">
            <w:pPr>
              <w:pStyle w:val="20"/>
              <w:keepNext w:val="0"/>
              <w:keepLines w:val="0"/>
              <w:pageBreakBefore w:val="0"/>
              <w:widowControl w:val="0"/>
              <w:numPr>
                <w:ilvl w:val="0"/>
                <w:numId w:val="0"/>
              </w:numPr>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cs="Times New Roman"/>
                <w:b w:val="0"/>
                <w:bCs/>
                <w:color w:val="auto"/>
                <w:sz w:val="24"/>
                <w:szCs w:val="24"/>
                <w:highlight w:val="none"/>
                <w:vertAlign w:val="baseline"/>
                <w:lang w:val="en-US" w:eastAsia="zh-CN"/>
              </w:rPr>
            </w:pPr>
            <w:r>
              <w:rPr>
                <w:rFonts w:hint="eastAsia"/>
                <w:color w:val="auto"/>
                <w:sz w:val="24"/>
                <w:szCs w:val="22"/>
                <w:lang w:val="en-US" w:eastAsia="zh-CN"/>
              </w:rPr>
              <w:t>项目</w:t>
            </w:r>
            <w:r>
              <w:rPr>
                <w:rFonts w:hint="eastAsia"/>
                <w:color w:val="auto"/>
                <w:sz w:val="24"/>
                <w:szCs w:val="22"/>
              </w:rPr>
              <w:t>用水量</w:t>
            </w:r>
            <w:r>
              <w:rPr>
                <w:rFonts w:hint="eastAsia"/>
                <w:color w:val="auto"/>
                <w:sz w:val="24"/>
                <w:szCs w:val="22"/>
                <w:lang w:val="en-US" w:eastAsia="zh-CN"/>
              </w:rPr>
              <w:t>为2.123</w:t>
            </w:r>
            <w:r>
              <w:rPr>
                <w:rFonts w:hint="eastAsia"/>
                <w:color w:val="auto"/>
                <w:sz w:val="24"/>
                <w:szCs w:val="22"/>
              </w:rPr>
              <w:t>m</w:t>
            </w:r>
            <w:r>
              <w:rPr>
                <w:rFonts w:hint="eastAsia"/>
                <w:color w:val="auto"/>
                <w:sz w:val="24"/>
                <w:szCs w:val="22"/>
                <w:vertAlign w:val="superscript"/>
              </w:rPr>
              <w:t>3</w:t>
            </w:r>
            <w:r>
              <w:rPr>
                <w:rFonts w:hint="eastAsia"/>
                <w:color w:val="auto"/>
                <w:sz w:val="24"/>
                <w:szCs w:val="22"/>
              </w:rPr>
              <w:t>/</w:t>
            </w:r>
            <w:r>
              <w:rPr>
                <w:rFonts w:hint="eastAsia"/>
                <w:color w:val="auto"/>
                <w:sz w:val="24"/>
                <w:szCs w:val="22"/>
                <w:lang w:val="en-US" w:eastAsia="zh-CN"/>
              </w:rPr>
              <w:t>d，排水量为1.895</w:t>
            </w:r>
            <w:r>
              <w:rPr>
                <w:rFonts w:hint="eastAsia"/>
                <w:color w:val="auto"/>
                <w:sz w:val="24"/>
                <w:szCs w:val="22"/>
              </w:rPr>
              <w:t>m</w:t>
            </w:r>
            <w:r>
              <w:rPr>
                <w:rFonts w:hint="eastAsia"/>
                <w:color w:val="auto"/>
                <w:sz w:val="24"/>
                <w:szCs w:val="22"/>
                <w:vertAlign w:val="superscript"/>
              </w:rPr>
              <w:t>3</w:t>
            </w:r>
            <w:r>
              <w:rPr>
                <w:rFonts w:hint="eastAsia"/>
                <w:color w:val="auto"/>
                <w:sz w:val="24"/>
                <w:szCs w:val="22"/>
              </w:rPr>
              <w:t>/</w:t>
            </w:r>
            <w:r>
              <w:rPr>
                <w:rFonts w:hint="eastAsia"/>
                <w:color w:val="auto"/>
                <w:sz w:val="24"/>
                <w:szCs w:val="22"/>
                <w:lang w:val="en-US" w:eastAsia="zh-CN"/>
              </w:rPr>
              <w:t>d</w:t>
            </w:r>
            <w:r>
              <w:rPr>
                <w:rFonts w:hint="eastAsia"/>
                <w:color w:val="auto"/>
                <w:sz w:val="24"/>
                <w:szCs w:val="22"/>
              </w:rPr>
              <w:t>。</w:t>
            </w:r>
            <w:r>
              <w:rPr>
                <w:rFonts w:hint="eastAsia"/>
                <w:color w:val="auto"/>
                <w:sz w:val="24"/>
                <w:szCs w:val="22"/>
                <w:lang w:val="en-US" w:eastAsia="zh-CN"/>
              </w:rPr>
              <w:t>项目</w:t>
            </w:r>
            <w:r>
              <w:rPr>
                <w:rFonts w:hint="default" w:ascii="Times New Roman" w:hAnsi="Times New Roman" w:cs="Times New Roman"/>
                <w:b w:val="0"/>
                <w:bCs/>
                <w:color w:val="auto"/>
                <w:sz w:val="24"/>
                <w:szCs w:val="24"/>
                <w:highlight w:val="none"/>
                <w:vertAlign w:val="baseline"/>
                <w:lang w:val="en-US" w:eastAsia="zh-CN"/>
              </w:rPr>
              <w:t>医疗废水经</w:t>
            </w:r>
            <w:r>
              <w:rPr>
                <w:rFonts w:hint="eastAsia" w:ascii="Times New Roman" w:hAnsi="Times New Roman" w:cs="Times New Roman"/>
                <w:b w:val="0"/>
                <w:bCs/>
                <w:color w:val="auto"/>
                <w:sz w:val="24"/>
                <w:szCs w:val="24"/>
                <w:highlight w:val="none"/>
                <w:vertAlign w:val="baseline"/>
                <w:lang w:val="en-US" w:eastAsia="zh-CN"/>
              </w:rPr>
              <w:t>消毒</w:t>
            </w:r>
            <w:r>
              <w:rPr>
                <w:rFonts w:hint="default" w:ascii="Times New Roman" w:hAnsi="Times New Roman" w:cs="Times New Roman"/>
                <w:b w:val="0"/>
                <w:bCs/>
                <w:color w:val="auto"/>
                <w:sz w:val="24"/>
                <w:szCs w:val="24"/>
                <w:highlight w:val="none"/>
                <w:vertAlign w:val="baseline"/>
                <w:lang w:val="en-US" w:eastAsia="zh-CN"/>
              </w:rPr>
              <w:t>设施预处理后（出水参照执行《医疗机构水污染物排放标准》</w:t>
            </w:r>
            <w:r>
              <w:rPr>
                <w:rFonts w:hint="eastAsia" w:cs="Times New Roman"/>
                <w:b w:val="0"/>
                <w:bCs/>
                <w:color w:val="auto"/>
                <w:sz w:val="24"/>
                <w:szCs w:val="24"/>
                <w:highlight w:val="none"/>
                <w:vertAlign w:val="baseline"/>
                <w:lang w:val="en-US" w:eastAsia="zh-CN"/>
              </w:rPr>
              <w:t>（GB18466-2005）</w:t>
            </w:r>
            <w:r>
              <w:rPr>
                <w:rFonts w:hint="default" w:ascii="Times New Roman" w:hAnsi="Times New Roman" w:cs="Times New Roman"/>
                <w:b w:val="0"/>
                <w:bCs/>
                <w:color w:val="auto"/>
                <w:sz w:val="24"/>
                <w:szCs w:val="24"/>
                <w:highlight w:val="none"/>
                <w:vertAlign w:val="baseline"/>
                <w:lang w:val="en-US" w:eastAsia="zh-CN"/>
              </w:rPr>
              <w:t>预处理标准），</w:t>
            </w:r>
            <w:r>
              <w:rPr>
                <w:rFonts w:hint="eastAsia" w:cs="Times New Roman"/>
                <w:b w:val="0"/>
                <w:bCs/>
                <w:color w:val="auto"/>
                <w:sz w:val="24"/>
                <w:szCs w:val="24"/>
                <w:highlight w:val="none"/>
                <w:vertAlign w:val="baseline"/>
                <w:lang w:val="en-US" w:eastAsia="zh-CN"/>
              </w:rPr>
              <w:t>宠物洗浴废水</w:t>
            </w:r>
            <w:r>
              <w:rPr>
                <w:rFonts w:hint="default" w:ascii="Times New Roman" w:hAnsi="Times New Roman" w:cs="Times New Roman"/>
                <w:b w:val="0"/>
                <w:bCs/>
                <w:color w:val="auto"/>
                <w:sz w:val="24"/>
                <w:szCs w:val="24"/>
                <w:highlight w:val="none"/>
                <w:vertAlign w:val="baseline"/>
                <w:lang w:val="en-US" w:eastAsia="zh-CN"/>
              </w:rPr>
              <w:t>经滤网过滤后</w:t>
            </w:r>
            <w:r>
              <w:rPr>
                <w:rFonts w:hint="eastAsia" w:ascii="Times New Roman" w:hAnsi="Times New Roman" w:cs="Times New Roman"/>
                <w:b w:val="0"/>
                <w:bCs/>
                <w:color w:val="auto"/>
                <w:sz w:val="24"/>
                <w:szCs w:val="24"/>
                <w:highlight w:val="none"/>
                <w:vertAlign w:val="baseline"/>
                <w:lang w:val="en-US" w:eastAsia="zh-CN"/>
              </w:rPr>
              <w:t>，与</w:t>
            </w:r>
            <w:r>
              <w:rPr>
                <w:rFonts w:hint="eastAsia" w:cs="Times New Roman"/>
                <w:b w:val="0"/>
                <w:bCs/>
                <w:color w:val="auto"/>
                <w:sz w:val="24"/>
                <w:szCs w:val="24"/>
                <w:highlight w:val="none"/>
                <w:vertAlign w:val="baseline"/>
                <w:lang w:val="en-US" w:eastAsia="zh-CN"/>
              </w:rPr>
              <w:t>其他废水</w:t>
            </w:r>
            <w:r>
              <w:rPr>
                <w:rFonts w:hint="eastAsia" w:ascii="Times New Roman" w:hAnsi="Times New Roman" w:cs="Times New Roman"/>
                <w:b w:val="0"/>
                <w:bCs/>
                <w:color w:val="auto"/>
                <w:sz w:val="24"/>
                <w:szCs w:val="24"/>
                <w:highlight w:val="none"/>
                <w:vertAlign w:val="baseline"/>
                <w:lang w:val="en-US" w:eastAsia="zh-CN"/>
              </w:rPr>
              <w:t>和生活污水</w:t>
            </w:r>
            <w:r>
              <w:rPr>
                <w:rFonts w:hint="default" w:ascii="Times New Roman" w:hAnsi="Times New Roman" w:cs="Times New Roman"/>
                <w:b w:val="0"/>
                <w:bCs/>
                <w:color w:val="auto"/>
                <w:sz w:val="24"/>
                <w:szCs w:val="24"/>
                <w:highlight w:val="none"/>
                <w:vertAlign w:val="baseline"/>
                <w:lang w:val="en-US" w:eastAsia="zh-CN"/>
              </w:rPr>
              <w:t>一并进入</w:t>
            </w:r>
            <w:r>
              <w:rPr>
                <w:rFonts w:hint="eastAsia" w:cs="Times New Roman"/>
                <w:b w:val="0"/>
                <w:bCs/>
                <w:color w:val="auto"/>
                <w:sz w:val="24"/>
                <w:szCs w:val="24"/>
                <w:highlight w:val="none"/>
                <w:vertAlign w:val="baseline"/>
                <w:lang w:val="en-US" w:eastAsia="zh-CN"/>
              </w:rPr>
              <w:t>金科阳光小镇6期</w:t>
            </w:r>
            <w:r>
              <w:rPr>
                <w:rFonts w:hint="default" w:ascii="Times New Roman" w:hAnsi="Times New Roman" w:cs="Times New Roman"/>
                <w:b w:val="0"/>
                <w:bCs/>
                <w:color w:val="auto"/>
                <w:sz w:val="24"/>
                <w:szCs w:val="24"/>
                <w:highlight w:val="none"/>
                <w:vertAlign w:val="baseline"/>
                <w:lang w:val="en-US" w:eastAsia="zh-CN"/>
              </w:rPr>
              <w:t>生化池处理达《污水综合排放标准》（GB8978-1996）三级标准后排入市政污水管网，再进入</w:t>
            </w:r>
            <w:r>
              <w:rPr>
                <w:rFonts w:hint="eastAsia" w:cs="Times New Roman"/>
                <w:b w:val="0"/>
                <w:bCs/>
                <w:color w:val="auto"/>
                <w:sz w:val="24"/>
                <w:szCs w:val="24"/>
                <w:highlight w:val="none"/>
                <w:vertAlign w:val="baseline"/>
                <w:lang w:val="en-US" w:eastAsia="zh-CN"/>
              </w:rPr>
              <w:t>中梁山污水处理厂处理达</w:t>
            </w:r>
            <w:r>
              <w:rPr>
                <w:rFonts w:hint="default" w:ascii="Times New Roman" w:hAnsi="Times New Roman" w:cs="Times New Roman"/>
                <w:b w:val="0"/>
                <w:bCs/>
                <w:color w:val="auto"/>
                <w:sz w:val="24"/>
                <w:szCs w:val="24"/>
                <w:highlight w:val="none"/>
                <w:vertAlign w:val="baseline"/>
                <w:lang w:val="en-US" w:eastAsia="zh-CN"/>
              </w:rPr>
              <w:t>《城镇污水处理厂污染物排放标准》（GB18918-2002）一级A标后</w:t>
            </w:r>
            <w:r>
              <w:rPr>
                <w:rFonts w:hint="eastAsia" w:cs="Times New Roman"/>
                <w:b w:val="0"/>
                <w:bCs/>
                <w:color w:val="auto"/>
                <w:sz w:val="24"/>
                <w:szCs w:val="24"/>
                <w:highlight w:val="none"/>
                <w:vertAlign w:val="baseline"/>
                <w:lang w:val="en-US" w:eastAsia="zh-CN"/>
              </w:rPr>
              <w:t>排入长江</w:t>
            </w:r>
            <w:r>
              <w:rPr>
                <w:rFonts w:hint="default" w:ascii="Times New Roman" w:hAnsi="Times New Roman" w:cs="Times New Roman"/>
                <w:b w:val="0"/>
                <w:bCs/>
                <w:color w:val="auto"/>
                <w:sz w:val="24"/>
                <w:szCs w:val="24"/>
                <w:highlight w:val="none"/>
                <w:vertAlign w:val="baseline"/>
                <w:lang w:val="en-US" w:eastAsia="zh-CN"/>
              </w:rPr>
              <w:t>。</w:t>
            </w:r>
          </w:p>
          <w:p w14:paraId="7C337C72">
            <w:pPr>
              <w:jc w:val="center"/>
              <w:rPr>
                <w:rFonts w:hint="default"/>
                <w:color w:val="auto"/>
                <w:lang w:val="en-US" w:eastAsia="zh-CN"/>
              </w:rPr>
            </w:pPr>
            <w:r>
              <w:rPr>
                <w:rFonts w:hint="default"/>
                <w:color w:val="auto"/>
                <w:lang w:val="en-US" w:eastAsia="zh-CN"/>
              </w:rPr>
              <w:drawing>
                <wp:inline distT="0" distB="0" distL="114300" distR="114300">
                  <wp:extent cx="5244465" cy="3101975"/>
                  <wp:effectExtent l="0" t="0" r="0" b="0"/>
                  <wp:docPr id="5" name="ECB019B1-382A-4266-B25C-5B523AA43C14-1" descr="C:/Users/Administrator/AppData/Local/Temp/wps.gIbEv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Administrator/AppData/Local/Temp/wps.gIbEvPwps"/>
                          <pic:cNvPicPr>
                            <a:picLocks noChangeAspect="1"/>
                          </pic:cNvPicPr>
                        </pic:nvPicPr>
                        <pic:blipFill>
                          <a:blip r:embed="rId12"/>
                          <a:stretch>
                            <a:fillRect/>
                          </a:stretch>
                        </pic:blipFill>
                        <pic:spPr>
                          <a:xfrm>
                            <a:off x="0" y="0"/>
                            <a:ext cx="5244465" cy="3101975"/>
                          </a:xfrm>
                          <a:prstGeom prst="rect">
                            <a:avLst/>
                          </a:prstGeom>
                        </pic:spPr>
                      </pic:pic>
                    </a:graphicData>
                  </a:graphic>
                </wp:inline>
              </w:drawing>
            </w:r>
          </w:p>
          <w:p w14:paraId="71CF27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图2</w:t>
            </w:r>
            <w:r>
              <w:rPr>
                <w:rFonts w:hint="eastAsia" w:cs="Times New Roman"/>
                <w:b w:val="0"/>
                <w:bCs/>
                <w:color w:val="auto"/>
                <w:sz w:val="21"/>
                <w:szCs w:val="21"/>
                <w:highlight w:val="none"/>
                <w:lang w:val="en-US" w:eastAsia="zh-CN"/>
              </w:rPr>
              <w:t>.7-</w:t>
            </w:r>
            <w:r>
              <w:rPr>
                <w:rFonts w:hint="default" w:ascii="Times New Roman" w:hAnsi="Times New Roman" w:cs="Times New Roman"/>
                <w:b w:val="0"/>
                <w:bCs/>
                <w:color w:val="auto"/>
                <w:sz w:val="21"/>
                <w:szCs w:val="21"/>
                <w:highlight w:val="none"/>
                <w:lang w:val="en-US" w:eastAsia="zh-CN"/>
              </w:rPr>
              <w:t>1项目水平衡图（m</w:t>
            </w:r>
            <w:r>
              <w:rPr>
                <w:rFonts w:hint="default" w:ascii="Times New Roman" w:hAnsi="Times New Roman" w:cs="Times New Roman"/>
                <w:b w:val="0"/>
                <w:bCs/>
                <w:color w:val="auto"/>
                <w:sz w:val="21"/>
                <w:szCs w:val="21"/>
                <w:highlight w:val="none"/>
                <w:vertAlign w:val="superscript"/>
                <w:lang w:val="en-US" w:eastAsia="zh-CN"/>
              </w:rPr>
              <w:t>3</w:t>
            </w:r>
            <w:r>
              <w:rPr>
                <w:rFonts w:hint="default" w:ascii="Times New Roman" w:hAnsi="Times New Roman" w:cs="Times New Roman"/>
                <w:b w:val="0"/>
                <w:bCs/>
                <w:color w:val="auto"/>
                <w:sz w:val="21"/>
                <w:szCs w:val="21"/>
                <w:highlight w:val="none"/>
                <w:lang w:val="en-US" w:eastAsia="zh-CN"/>
              </w:rPr>
              <w:t>/d）</w:t>
            </w:r>
          </w:p>
          <w:p w14:paraId="4D942F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both"/>
              <w:textAlignment w:val="auto"/>
              <w:rPr>
                <w:rFonts w:hint="default" w:ascii="Times New Roman" w:hAnsi="Times New Roman" w:cs="Times New Roman"/>
                <w:b w:val="0"/>
                <w:bCs/>
                <w:color w:val="auto"/>
                <w:sz w:val="24"/>
                <w:szCs w:val="24"/>
                <w:highlight w:val="none"/>
                <w:lang w:val="en-US" w:eastAsia="zh-CN"/>
              </w:rPr>
            </w:pPr>
          </w:p>
          <w:p w14:paraId="73BC499A">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7</w:t>
            </w:r>
            <w:r>
              <w:rPr>
                <w:rFonts w:hint="default" w:ascii="Times New Roman" w:hAnsi="Times New Roman" w:cs="Times New Roman"/>
                <w:b/>
                <w:bCs w:val="0"/>
                <w:color w:val="auto"/>
                <w:sz w:val="24"/>
                <w:szCs w:val="24"/>
                <w:highlight w:val="none"/>
                <w:vertAlign w:val="baseline"/>
                <w:lang w:val="en-US" w:eastAsia="zh-CN"/>
              </w:rPr>
              <w:t>.</w:t>
            </w:r>
            <w:r>
              <w:rPr>
                <w:rFonts w:hint="eastAsia" w:cs="Times New Roman"/>
                <w:b/>
                <w:bCs w:val="0"/>
                <w:color w:val="auto"/>
                <w:sz w:val="24"/>
                <w:szCs w:val="24"/>
                <w:highlight w:val="none"/>
                <w:vertAlign w:val="baseline"/>
                <w:lang w:val="en-US" w:eastAsia="zh-CN"/>
              </w:rPr>
              <w:t>2</w:t>
            </w:r>
            <w:r>
              <w:rPr>
                <w:rFonts w:hint="default" w:ascii="Times New Roman" w:hAnsi="Times New Roman" w:cs="Times New Roman"/>
                <w:b/>
                <w:bCs w:val="0"/>
                <w:color w:val="auto"/>
                <w:sz w:val="24"/>
                <w:szCs w:val="24"/>
                <w:highlight w:val="none"/>
                <w:vertAlign w:val="baseline"/>
                <w:lang w:val="en-US" w:eastAsia="zh-CN"/>
              </w:rPr>
              <w:t>供电</w:t>
            </w:r>
          </w:p>
          <w:p w14:paraId="6775AA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由市政供电设施供电，能满足项目需要。</w:t>
            </w:r>
          </w:p>
          <w:p w14:paraId="75E860B1">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7</w:t>
            </w:r>
            <w:r>
              <w:rPr>
                <w:rFonts w:hint="default" w:ascii="Times New Roman" w:hAnsi="Times New Roman" w:cs="Times New Roman"/>
                <w:b/>
                <w:bCs w:val="0"/>
                <w:color w:val="auto"/>
                <w:sz w:val="24"/>
                <w:szCs w:val="24"/>
                <w:highlight w:val="none"/>
                <w:vertAlign w:val="baseline"/>
                <w:lang w:val="en-US" w:eastAsia="zh-CN"/>
              </w:rPr>
              <w:t>.</w:t>
            </w:r>
            <w:r>
              <w:rPr>
                <w:rFonts w:hint="eastAsia" w:cs="Times New Roman"/>
                <w:b/>
                <w:bCs w:val="0"/>
                <w:color w:val="auto"/>
                <w:sz w:val="24"/>
                <w:szCs w:val="24"/>
                <w:highlight w:val="none"/>
                <w:vertAlign w:val="baseline"/>
                <w:lang w:val="en-US" w:eastAsia="zh-CN"/>
              </w:rPr>
              <w:t>3</w:t>
            </w:r>
            <w:r>
              <w:rPr>
                <w:rFonts w:hint="default" w:ascii="Times New Roman" w:hAnsi="Times New Roman" w:cs="Times New Roman"/>
                <w:b/>
                <w:bCs w:val="0"/>
                <w:color w:val="auto"/>
                <w:sz w:val="24"/>
                <w:szCs w:val="24"/>
                <w:highlight w:val="none"/>
                <w:vertAlign w:val="baseline"/>
                <w:lang w:val="en-US" w:eastAsia="zh-CN"/>
              </w:rPr>
              <w:t>热水</w:t>
            </w:r>
          </w:p>
          <w:p w14:paraId="399443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项目采用电热水器烧水。</w:t>
            </w:r>
          </w:p>
          <w:p w14:paraId="0A3DC75D">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7</w:t>
            </w:r>
            <w:r>
              <w:rPr>
                <w:rFonts w:hint="default" w:ascii="Times New Roman" w:hAnsi="Times New Roman" w:cs="Times New Roman"/>
                <w:b/>
                <w:bCs w:val="0"/>
                <w:color w:val="auto"/>
                <w:sz w:val="24"/>
                <w:szCs w:val="24"/>
                <w:highlight w:val="none"/>
                <w:vertAlign w:val="baseline"/>
                <w:lang w:val="en-US" w:eastAsia="zh-CN"/>
              </w:rPr>
              <w:t>.</w:t>
            </w:r>
            <w:r>
              <w:rPr>
                <w:rFonts w:hint="eastAsia" w:cs="Times New Roman"/>
                <w:b/>
                <w:bCs w:val="0"/>
                <w:color w:val="auto"/>
                <w:sz w:val="24"/>
                <w:szCs w:val="24"/>
                <w:highlight w:val="none"/>
                <w:vertAlign w:val="baseline"/>
                <w:lang w:val="en-US" w:eastAsia="zh-CN"/>
              </w:rPr>
              <w:t>4</w:t>
            </w:r>
            <w:r>
              <w:rPr>
                <w:rFonts w:hint="default" w:ascii="Times New Roman" w:hAnsi="Times New Roman" w:cs="Times New Roman"/>
                <w:b/>
                <w:bCs w:val="0"/>
                <w:color w:val="auto"/>
                <w:sz w:val="24"/>
                <w:szCs w:val="24"/>
                <w:highlight w:val="none"/>
                <w:vertAlign w:val="baseline"/>
                <w:lang w:val="en-US" w:eastAsia="zh-CN"/>
              </w:rPr>
              <w:t>消毒系统</w:t>
            </w:r>
          </w:p>
          <w:p w14:paraId="107F91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项目的</w:t>
            </w:r>
            <w:r>
              <w:rPr>
                <w:rFonts w:hint="default" w:ascii="Times New Roman" w:hAnsi="Times New Roman" w:cs="Times New Roman"/>
                <w:b w:val="0"/>
                <w:bCs/>
                <w:color w:val="auto"/>
                <w:sz w:val="24"/>
                <w:szCs w:val="24"/>
                <w:highlight w:val="none"/>
                <w:vertAlign w:val="baseline"/>
                <w:lang w:val="en-US" w:eastAsia="zh-CN"/>
              </w:rPr>
              <w:t>医疗器械、玻璃器皿等采用</w:t>
            </w:r>
            <w:r>
              <w:rPr>
                <w:rFonts w:hint="eastAsia" w:ascii="Times New Roman" w:hAnsi="Times New Roman" w:cs="Times New Roman"/>
                <w:b w:val="0"/>
                <w:bCs/>
                <w:color w:val="auto"/>
                <w:sz w:val="24"/>
                <w:szCs w:val="24"/>
                <w:highlight w:val="none"/>
                <w:vertAlign w:val="baseline"/>
                <w:lang w:val="en-US" w:eastAsia="zh-CN"/>
              </w:rPr>
              <w:t>手提式压力蒸汽灭菌器、消毒柜进行灭菌消毒</w:t>
            </w:r>
            <w:r>
              <w:rPr>
                <w:rFonts w:hint="default" w:ascii="Times New Roman" w:hAnsi="Times New Roman" w:cs="Times New Roman"/>
                <w:b w:val="0"/>
                <w:bCs/>
                <w:color w:val="auto"/>
                <w:sz w:val="24"/>
                <w:szCs w:val="24"/>
                <w:highlight w:val="none"/>
                <w:vertAlign w:val="baseline"/>
                <w:lang w:val="en-US" w:eastAsia="zh-CN"/>
              </w:rPr>
              <w:t>；</w:t>
            </w:r>
            <w:r>
              <w:rPr>
                <w:rFonts w:hint="eastAsia" w:cs="Times New Roman"/>
                <w:b w:val="0"/>
                <w:bCs/>
                <w:color w:val="auto"/>
                <w:sz w:val="24"/>
                <w:szCs w:val="24"/>
                <w:highlight w:val="none"/>
                <w:vertAlign w:val="baseline"/>
                <w:lang w:val="en-US" w:eastAsia="zh-CN"/>
              </w:rPr>
              <w:t>病房</w:t>
            </w:r>
            <w:r>
              <w:rPr>
                <w:rFonts w:hint="default" w:ascii="Times New Roman" w:hAnsi="Times New Roman" w:cs="Times New Roman"/>
                <w:b w:val="0"/>
                <w:bCs/>
                <w:color w:val="auto"/>
                <w:sz w:val="24"/>
                <w:szCs w:val="24"/>
                <w:highlight w:val="none"/>
                <w:vertAlign w:val="baseline"/>
                <w:lang w:val="en-US" w:eastAsia="zh-CN"/>
              </w:rPr>
              <w:t>采用</w:t>
            </w:r>
            <w:r>
              <w:rPr>
                <w:rFonts w:hint="eastAsia" w:ascii="Times New Roman" w:hAnsi="Times New Roman" w:cs="Times New Roman"/>
                <w:b w:val="0"/>
                <w:bCs/>
                <w:color w:val="auto"/>
                <w:sz w:val="24"/>
                <w:szCs w:val="24"/>
                <w:highlight w:val="none"/>
                <w:vertAlign w:val="baseline"/>
                <w:lang w:val="en-US" w:eastAsia="zh-CN"/>
              </w:rPr>
              <w:t>紫外灯</w:t>
            </w:r>
            <w:r>
              <w:rPr>
                <w:rFonts w:hint="default" w:ascii="Times New Roman" w:hAnsi="Times New Roman" w:cs="Times New Roman"/>
                <w:b w:val="0"/>
                <w:bCs/>
                <w:color w:val="auto"/>
                <w:sz w:val="24"/>
                <w:szCs w:val="24"/>
                <w:highlight w:val="none"/>
                <w:vertAlign w:val="baseline"/>
                <w:lang w:val="en-US" w:eastAsia="zh-CN"/>
              </w:rPr>
              <w:t>消毒</w:t>
            </w:r>
            <w:r>
              <w:rPr>
                <w:rFonts w:hint="eastAsia"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vertAlign w:val="baseline"/>
                <w:lang w:val="en-US" w:eastAsia="zh-CN"/>
              </w:rPr>
              <w:t>公共区域</w:t>
            </w:r>
            <w:r>
              <w:rPr>
                <w:rFonts w:hint="eastAsia" w:ascii="Times New Roman" w:hAnsi="Times New Roman" w:cs="Times New Roman"/>
                <w:b w:val="0"/>
                <w:bCs/>
                <w:color w:val="auto"/>
                <w:sz w:val="24"/>
                <w:szCs w:val="24"/>
                <w:highlight w:val="none"/>
                <w:vertAlign w:val="baseline"/>
                <w:lang w:val="en-US" w:eastAsia="zh-CN"/>
              </w:rPr>
              <w:t>采用</w:t>
            </w:r>
            <w:r>
              <w:rPr>
                <w:rFonts w:hint="eastAsia" w:cs="Times New Roman"/>
                <w:b w:val="0"/>
                <w:bCs/>
                <w:color w:val="auto"/>
                <w:sz w:val="24"/>
                <w:szCs w:val="24"/>
                <w:highlight w:val="none"/>
                <w:vertAlign w:val="baseline"/>
                <w:lang w:val="en-US" w:eastAsia="zh-CN"/>
              </w:rPr>
              <w:t>新洁尔灭、84消毒液喷洒</w:t>
            </w:r>
            <w:r>
              <w:rPr>
                <w:rFonts w:hint="default" w:ascii="Times New Roman" w:hAnsi="Times New Roman" w:cs="Times New Roman"/>
                <w:b w:val="0"/>
                <w:bCs/>
                <w:color w:val="auto"/>
                <w:sz w:val="24"/>
                <w:szCs w:val="24"/>
                <w:highlight w:val="none"/>
                <w:vertAlign w:val="baseline"/>
                <w:lang w:val="en-US" w:eastAsia="zh-CN"/>
              </w:rPr>
              <w:t>消毒；医疗废水通过投加</w:t>
            </w:r>
            <w:r>
              <w:rPr>
                <w:rFonts w:hint="eastAsia" w:cs="Times New Roman"/>
                <w:b w:val="0"/>
                <w:bCs/>
                <w:color w:val="auto"/>
                <w:sz w:val="24"/>
                <w:szCs w:val="24"/>
                <w:highlight w:val="none"/>
                <w:vertAlign w:val="baseline"/>
                <w:lang w:val="en-US" w:eastAsia="zh-CN"/>
              </w:rPr>
              <w:t>二氧化氯消毒片</w:t>
            </w:r>
            <w:r>
              <w:rPr>
                <w:rFonts w:hint="default" w:ascii="Times New Roman" w:hAnsi="Times New Roman" w:cs="Times New Roman"/>
                <w:b w:val="0"/>
                <w:bCs/>
                <w:color w:val="auto"/>
                <w:sz w:val="24"/>
                <w:szCs w:val="24"/>
                <w:highlight w:val="none"/>
                <w:vertAlign w:val="baseline"/>
                <w:lang w:val="en-US" w:eastAsia="zh-CN"/>
              </w:rPr>
              <w:t>消毒</w:t>
            </w:r>
            <w:r>
              <w:rPr>
                <w:rFonts w:hint="eastAsia" w:ascii="Times New Roman" w:hAnsi="Times New Roman" w:cs="Times New Roman"/>
                <w:b w:val="0"/>
                <w:bCs/>
                <w:color w:val="auto"/>
                <w:sz w:val="24"/>
                <w:szCs w:val="24"/>
                <w:highlight w:val="none"/>
                <w:vertAlign w:val="baseline"/>
                <w:lang w:val="en-US" w:eastAsia="zh-CN"/>
              </w:rPr>
              <w:t>。</w:t>
            </w:r>
          </w:p>
          <w:p w14:paraId="3310A4AD">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7</w:t>
            </w:r>
            <w:r>
              <w:rPr>
                <w:rFonts w:hint="default" w:ascii="Times New Roman" w:hAnsi="Times New Roman" w:cs="Times New Roman"/>
                <w:b/>
                <w:bCs w:val="0"/>
                <w:color w:val="auto"/>
                <w:sz w:val="24"/>
                <w:szCs w:val="24"/>
                <w:highlight w:val="none"/>
                <w:vertAlign w:val="baseline"/>
                <w:lang w:val="en-US" w:eastAsia="zh-CN"/>
              </w:rPr>
              <w:t>.</w:t>
            </w:r>
            <w:r>
              <w:rPr>
                <w:rFonts w:hint="eastAsia" w:cs="Times New Roman"/>
                <w:b/>
                <w:bCs w:val="0"/>
                <w:color w:val="auto"/>
                <w:sz w:val="24"/>
                <w:szCs w:val="24"/>
                <w:highlight w:val="none"/>
                <w:vertAlign w:val="baseline"/>
                <w:lang w:val="en-US" w:eastAsia="zh-CN"/>
              </w:rPr>
              <w:t>5</w:t>
            </w:r>
            <w:r>
              <w:rPr>
                <w:rFonts w:hint="eastAsia" w:ascii="Times New Roman" w:hAnsi="Times New Roman" w:cs="Times New Roman"/>
                <w:b/>
                <w:bCs w:val="0"/>
                <w:color w:val="auto"/>
                <w:sz w:val="24"/>
                <w:szCs w:val="24"/>
                <w:highlight w:val="none"/>
                <w:vertAlign w:val="baseline"/>
                <w:lang w:val="en-US" w:eastAsia="zh-CN"/>
              </w:rPr>
              <w:t>供氧</w:t>
            </w:r>
          </w:p>
          <w:p w14:paraId="1D8518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项目在手术室设置</w:t>
            </w:r>
            <w:r>
              <w:rPr>
                <w:rFonts w:hint="eastAsia" w:cs="Times New Roman"/>
                <w:b w:val="0"/>
                <w:bCs/>
                <w:color w:val="auto"/>
                <w:sz w:val="24"/>
                <w:szCs w:val="24"/>
                <w:highlight w:val="none"/>
                <w:vertAlign w:val="baseline"/>
                <w:lang w:val="en-US" w:eastAsia="zh-CN"/>
              </w:rPr>
              <w:t>2</w:t>
            </w:r>
            <w:r>
              <w:rPr>
                <w:rFonts w:hint="default" w:ascii="Times New Roman" w:hAnsi="Times New Roman" w:cs="Times New Roman"/>
                <w:b w:val="0"/>
                <w:bCs/>
                <w:color w:val="auto"/>
                <w:sz w:val="24"/>
                <w:szCs w:val="24"/>
                <w:highlight w:val="none"/>
                <w:vertAlign w:val="baseline"/>
                <w:lang w:val="en-US" w:eastAsia="zh-CN"/>
              </w:rPr>
              <w:t>个成品氧气瓶（各</w:t>
            </w:r>
            <w:r>
              <w:rPr>
                <w:rFonts w:hint="eastAsia" w:cs="Times New Roman"/>
                <w:b w:val="0"/>
                <w:bCs/>
                <w:color w:val="auto"/>
                <w:sz w:val="24"/>
                <w:szCs w:val="24"/>
                <w:highlight w:val="none"/>
                <w:vertAlign w:val="baseline"/>
                <w:lang w:val="en-US" w:eastAsia="zh-CN"/>
              </w:rPr>
              <w:t>40</w:t>
            </w:r>
            <w:r>
              <w:rPr>
                <w:rFonts w:hint="default" w:ascii="Times New Roman" w:hAnsi="Times New Roman" w:cs="Times New Roman"/>
                <w:b w:val="0"/>
                <w:bCs/>
                <w:color w:val="auto"/>
                <w:sz w:val="24"/>
                <w:szCs w:val="24"/>
                <w:highlight w:val="none"/>
                <w:vertAlign w:val="baseline"/>
                <w:lang w:val="en-US" w:eastAsia="zh-CN"/>
              </w:rPr>
              <w:t>L，</w:t>
            </w:r>
            <w:r>
              <w:rPr>
                <w:rFonts w:hint="eastAsia" w:cs="Times New Roman"/>
                <w:b w:val="0"/>
                <w:bCs/>
                <w:color w:val="auto"/>
                <w:sz w:val="24"/>
                <w:szCs w:val="24"/>
                <w:highlight w:val="none"/>
                <w:vertAlign w:val="baseline"/>
                <w:lang w:val="en-US" w:eastAsia="zh-CN"/>
              </w:rPr>
              <w:t>1</w:t>
            </w:r>
            <w:r>
              <w:rPr>
                <w:rFonts w:hint="default" w:ascii="Times New Roman" w:hAnsi="Times New Roman" w:cs="Times New Roman"/>
                <w:b w:val="0"/>
                <w:bCs/>
                <w:color w:val="auto"/>
                <w:sz w:val="24"/>
                <w:szCs w:val="24"/>
                <w:highlight w:val="none"/>
                <w:vertAlign w:val="baseline"/>
                <w:lang w:val="en-US" w:eastAsia="zh-CN"/>
              </w:rPr>
              <w:t>用</w:t>
            </w:r>
            <w:r>
              <w:rPr>
                <w:rFonts w:hint="eastAsia" w:ascii="Times New Roman" w:hAnsi="Times New Roman" w:cs="Times New Roman"/>
                <w:b w:val="0"/>
                <w:bCs/>
                <w:color w:val="auto"/>
                <w:sz w:val="24"/>
                <w:szCs w:val="24"/>
                <w:highlight w:val="none"/>
                <w:vertAlign w:val="baseline"/>
                <w:lang w:val="en-US" w:eastAsia="zh-CN"/>
              </w:rPr>
              <w:t>1</w:t>
            </w:r>
            <w:r>
              <w:rPr>
                <w:rFonts w:hint="default" w:ascii="Times New Roman" w:hAnsi="Times New Roman" w:cs="Times New Roman"/>
                <w:b w:val="0"/>
                <w:bCs/>
                <w:color w:val="auto"/>
                <w:sz w:val="24"/>
                <w:szCs w:val="24"/>
                <w:highlight w:val="none"/>
                <w:vertAlign w:val="baseline"/>
                <w:lang w:val="en-US" w:eastAsia="zh-CN"/>
              </w:rPr>
              <w:t>备）。</w:t>
            </w:r>
          </w:p>
          <w:p w14:paraId="1560398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val="0"/>
                <w:color w:val="auto"/>
                <w:sz w:val="24"/>
                <w:szCs w:val="24"/>
                <w:highlight w:val="none"/>
                <w:vertAlign w:val="baseline"/>
                <w:lang w:val="en-US" w:eastAsia="zh-CN"/>
              </w:rPr>
            </w:pPr>
            <w:r>
              <w:rPr>
                <w:rFonts w:hint="eastAsia" w:ascii="Times New Roman" w:hAnsi="Times New Roman" w:cs="Times New Roman"/>
                <w:b/>
                <w:bCs w:val="0"/>
                <w:color w:val="auto"/>
                <w:sz w:val="24"/>
                <w:szCs w:val="24"/>
                <w:highlight w:val="none"/>
                <w:vertAlign w:val="baseline"/>
                <w:lang w:val="en-US" w:eastAsia="zh-CN"/>
              </w:rPr>
              <w:t>2.</w:t>
            </w:r>
            <w:r>
              <w:rPr>
                <w:rFonts w:hint="eastAsia" w:cs="Times New Roman"/>
                <w:b/>
                <w:bCs w:val="0"/>
                <w:color w:val="auto"/>
                <w:sz w:val="24"/>
                <w:szCs w:val="24"/>
                <w:highlight w:val="none"/>
                <w:vertAlign w:val="baseline"/>
                <w:lang w:val="en-US" w:eastAsia="zh-CN"/>
              </w:rPr>
              <w:t>7</w:t>
            </w:r>
            <w:r>
              <w:rPr>
                <w:rFonts w:hint="eastAsia" w:ascii="Times New Roman" w:hAnsi="Times New Roman" w:cs="Times New Roman"/>
                <w:b/>
                <w:bCs w:val="0"/>
                <w:color w:val="auto"/>
                <w:sz w:val="24"/>
                <w:szCs w:val="24"/>
                <w:highlight w:val="none"/>
                <w:vertAlign w:val="baseline"/>
                <w:lang w:val="en-US" w:eastAsia="zh-CN"/>
              </w:rPr>
              <w:t>.</w:t>
            </w:r>
            <w:r>
              <w:rPr>
                <w:rFonts w:hint="eastAsia" w:cs="Times New Roman"/>
                <w:b/>
                <w:bCs w:val="0"/>
                <w:color w:val="auto"/>
                <w:sz w:val="24"/>
                <w:szCs w:val="24"/>
                <w:highlight w:val="none"/>
                <w:vertAlign w:val="baseline"/>
                <w:lang w:val="en-US" w:eastAsia="zh-CN"/>
              </w:rPr>
              <w:t>6</w:t>
            </w:r>
            <w:r>
              <w:rPr>
                <w:rFonts w:hint="eastAsia" w:ascii="Times New Roman" w:hAnsi="Times New Roman" w:cs="Times New Roman"/>
                <w:b/>
                <w:bCs w:val="0"/>
                <w:color w:val="auto"/>
                <w:sz w:val="24"/>
                <w:szCs w:val="24"/>
                <w:highlight w:val="none"/>
                <w:vertAlign w:val="baseline"/>
                <w:lang w:val="en-US" w:eastAsia="zh-CN"/>
              </w:rPr>
              <w:t>通风系统</w:t>
            </w:r>
          </w:p>
          <w:p w14:paraId="579920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本项目采用自然通风和空调结合的形式进行通风。</w:t>
            </w:r>
          </w:p>
        </w:tc>
      </w:tr>
      <w:tr w14:paraId="47103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dxa"/>
            <w:noWrap w:val="0"/>
            <w:vAlign w:val="center"/>
          </w:tcPr>
          <w:p w14:paraId="39E466F5">
            <w:pPr>
              <w:pStyle w:val="17"/>
              <w:adjustRightInd w:val="0"/>
              <w:snapToGrid w:val="0"/>
              <w:spacing w:before="0" w:beforeAutospacing="0" w:after="0" w:afterAutospacing="0"/>
              <w:jc w:val="center"/>
              <w:rPr>
                <w:rFonts w:cs="宋体"/>
                <w:color w:val="auto"/>
                <w:sz w:val="21"/>
                <w:szCs w:val="21"/>
              </w:rPr>
            </w:pPr>
            <w:r>
              <w:rPr>
                <w:rFonts w:hint="eastAsia" w:cs="宋体"/>
                <w:color w:val="auto"/>
                <w:sz w:val="24"/>
                <w:szCs w:val="24"/>
              </w:rPr>
              <w:t>工艺流程和产排污环节</w:t>
            </w:r>
          </w:p>
        </w:tc>
        <w:tc>
          <w:tcPr>
            <w:tcW w:w="8499" w:type="dxa"/>
            <w:noWrap w:val="0"/>
            <w:vAlign w:val="top"/>
          </w:tcPr>
          <w:p w14:paraId="3557D44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2.</w:t>
            </w:r>
            <w:r>
              <w:rPr>
                <w:rFonts w:hint="eastAsia" w:cs="Times New Roman"/>
                <w:b/>
                <w:bCs w:val="0"/>
                <w:color w:val="auto"/>
                <w:sz w:val="24"/>
                <w:szCs w:val="24"/>
                <w:lang w:val="en-US" w:eastAsia="zh-CN"/>
              </w:rPr>
              <w:t>8</w:t>
            </w:r>
            <w:r>
              <w:rPr>
                <w:rFonts w:hint="default" w:ascii="Times New Roman" w:hAnsi="Times New Roman" w:cs="Times New Roman"/>
                <w:b/>
                <w:bCs w:val="0"/>
                <w:color w:val="auto"/>
                <w:sz w:val="24"/>
                <w:szCs w:val="24"/>
              </w:rPr>
              <w:t>工艺流程及产排污环节分析</w:t>
            </w:r>
          </w:p>
          <w:p w14:paraId="2C22ACDB">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textAlignment w:val="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2.</w:t>
            </w:r>
            <w:r>
              <w:rPr>
                <w:rFonts w:hint="eastAsia" w:cs="Times New Roman"/>
                <w:b/>
                <w:bCs w:val="0"/>
                <w:color w:val="auto"/>
                <w:sz w:val="24"/>
                <w:szCs w:val="24"/>
                <w:lang w:val="en-US" w:eastAsia="zh-CN"/>
              </w:rPr>
              <w:t>8</w:t>
            </w:r>
            <w:r>
              <w:rPr>
                <w:rFonts w:hint="default" w:ascii="Times New Roman" w:hAnsi="Times New Roman" w:cs="Times New Roman"/>
                <w:b/>
                <w:bCs w:val="0"/>
                <w:color w:val="auto"/>
                <w:sz w:val="24"/>
                <w:szCs w:val="24"/>
              </w:rPr>
              <w:t>.</w:t>
            </w:r>
            <w:r>
              <w:rPr>
                <w:rFonts w:hint="eastAsia" w:cs="Times New Roman"/>
                <w:b/>
                <w:bCs w:val="0"/>
                <w:color w:val="auto"/>
                <w:sz w:val="24"/>
                <w:szCs w:val="24"/>
                <w:lang w:val="en-US" w:eastAsia="zh-CN"/>
              </w:rPr>
              <w:t>1</w:t>
            </w:r>
            <w:r>
              <w:rPr>
                <w:rFonts w:hint="default" w:ascii="Times New Roman" w:hAnsi="Times New Roman" w:cs="Times New Roman"/>
                <w:b/>
                <w:bCs w:val="0"/>
                <w:color w:val="auto"/>
                <w:sz w:val="24"/>
                <w:szCs w:val="24"/>
              </w:rPr>
              <w:t xml:space="preserve"> </w:t>
            </w:r>
            <w:r>
              <w:rPr>
                <w:rFonts w:hint="eastAsia" w:ascii="Times New Roman" w:hAnsi="Times New Roman" w:cs="Times New Roman"/>
                <w:b/>
                <w:bCs w:val="0"/>
                <w:color w:val="auto"/>
                <w:sz w:val="24"/>
                <w:szCs w:val="24"/>
                <w:lang w:val="en-US" w:eastAsia="zh-CN"/>
              </w:rPr>
              <w:t>施工期</w:t>
            </w:r>
            <w:r>
              <w:rPr>
                <w:rFonts w:hint="default" w:ascii="Times New Roman" w:hAnsi="Times New Roman" w:cs="Times New Roman"/>
                <w:b/>
                <w:bCs w:val="0"/>
                <w:color w:val="auto"/>
                <w:sz w:val="24"/>
                <w:szCs w:val="24"/>
              </w:rPr>
              <w:t>工艺流程及产排污分析</w:t>
            </w:r>
          </w:p>
          <w:p w14:paraId="15E33A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本次扩建是在宠物医院现有手术基础上增设动物颅腔、胸腔、腹腔手术服务，仅新增部分设备，无需重新装修，无施工期。故本次评价不再对施工期进行分析</w:t>
            </w:r>
            <w:r>
              <w:rPr>
                <w:rFonts w:hint="eastAsia" w:cs="Times New Roman"/>
                <w:b w:val="0"/>
                <w:bCs/>
                <w:color w:val="auto"/>
                <w:sz w:val="24"/>
                <w:szCs w:val="24"/>
                <w:highlight w:val="none"/>
                <w:lang w:val="en-US" w:eastAsia="zh-CN"/>
              </w:rPr>
              <w:t>。</w:t>
            </w:r>
          </w:p>
          <w:p w14:paraId="2C924DD4">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textAlignment w:val="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2.</w:t>
            </w:r>
            <w:r>
              <w:rPr>
                <w:rFonts w:hint="eastAsia" w:cs="Times New Roman"/>
                <w:b/>
                <w:bCs w:val="0"/>
                <w:color w:val="auto"/>
                <w:sz w:val="24"/>
                <w:szCs w:val="24"/>
                <w:lang w:val="en-US" w:eastAsia="zh-CN"/>
              </w:rPr>
              <w:t>8</w:t>
            </w:r>
            <w:r>
              <w:rPr>
                <w:rFonts w:hint="default" w:ascii="Times New Roman" w:hAnsi="Times New Roman" w:cs="Times New Roman"/>
                <w:b/>
                <w:bCs w:val="0"/>
                <w:color w:val="auto"/>
                <w:sz w:val="24"/>
                <w:szCs w:val="24"/>
              </w:rPr>
              <w:t>.</w:t>
            </w:r>
            <w:r>
              <w:rPr>
                <w:rFonts w:hint="eastAsia" w:cs="Times New Roman"/>
                <w:b/>
                <w:bCs w:val="0"/>
                <w:color w:val="auto"/>
                <w:sz w:val="24"/>
                <w:szCs w:val="24"/>
                <w:lang w:val="en-US" w:eastAsia="zh-CN"/>
              </w:rPr>
              <w:t>2</w:t>
            </w:r>
            <w:r>
              <w:rPr>
                <w:rFonts w:hint="default" w:ascii="Times New Roman" w:hAnsi="Times New Roman" w:cs="Times New Roman"/>
                <w:b/>
                <w:bCs w:val="0"/>
                <w:color w:val="auto"/>
                <w:sz w:val="24"/>
                <w:szCs w:val="24"/>
              </w:rPr>
              <w:t xml:space="preserve"> 营运期工艺流程及产排污分析</w:t>
            </w:r>
          </w:p>
          <w:p w14:paraId="191F2C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项目建成后主要进行狗、猫等宠物疾病预防、诊疗、治疗和手术</w:t>
            </w:r>
            <w:r>
              <w:rPr>
                <w:rFonts w:hint="eastAsia"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含三腔手术</w:t>
            </w:r>
            <w:r>
              <w:rPr>
                <w:rFonts w:hint="eastAsia" w:ascii="Times New Roman" w:hAnsi="Times New Roman" w:cs="Times New Roman"/>
                <w:b w:val="0"/>
                <w:bCs/>
                <w:color w:val="auto"/>
                <w:sz w:val="24"/>
                <w:szCs w:val="24"/>
                <w:lang w:eastAsia="zh-CN"/>
              </w:rPr>
              <w:t>）</w:t>
            </w:r>
            <w:r>
              <w:rPr>
                <w:rFonts w:hint="eastAsia" w:cs="Times New Roman"/>
                <w:b w:val="0"/>
                <w:bCs/>
                <w:color w:val="auto"/>
                <w:sz w:val="24"/>
                <w:szCs w:val="24"/>
                <w:lang w:val="en-US" w:eastAsia="zh-CN"/>
              </w:rPr>
              <w:t>及美容服务</w:t>
            </w:r>
            <w:r>
              <w:rPr>
                <w:rFonts w:hint="default" w:ascii="Times New Roman" w:hAnsi="Times New Roman" w:cs="Times New Roman"/>
                <w:b w:val="0"/>
                <w:bCs/>
                <w:color w:val="auto"/>
                <w:sz w:val="24"/>
                <w:szCs w:val="24"/>
              </w:rPr>
              <w:t>，宠物进行挂号、就诊、化验、治疗和手术、住院观察等，部分宠物仅打疫苗预防疾病。</w:t>
            </w:r>
            <w:r>
              <w:rPr>
                <w:rFonts w:hint="default" w:ascii="Times New Roman" w:hAnsi="Times New Roman" w:cs="Times New Roman"/>
                <w:b w:val="0"/>
                <w:bCs/>
                <w:color w:val="auto"/>
                <w:sz w:val="24"/>
                <w:szCs w:val="24"/>
                <w:highlight w:val="none"/>
              </w:rPr>
              <w:t>项目配备1台DR自带数字直接成像系统。不需要出片，不设置洗片室，不涉及洗片废水产生。</w:t>
            </w:r>
            <w:r>
              <w:rPr>
                <w:rFonts w:hint="default" w:ascii="Times New Roman" w:hAnsi="Times New Roman" w:cs="Times New Roman"/>
                <w:b w:val="0"/>
                <w:bCs/>
                <w:color w:val="auto"/>
                <w:sz w:val="24"/>
                <w:szCs w:val="24"/>
              </w:rPr>
              <w:t>项目医疗服务的工作流程及产污节点见下图。</w:t>
            </w:r>
          </w:p>
          <w:p w14:paraId="055967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drawing>
                <wp:inline distT="0" distB="0" distL="114300" distR="114300">
                  <wp:extent cx="4799965" cy="2415540"/>
                  <wp:effectExtent l="0" t="0" r="0" b="0"/>
                  <wp:docPr id="17" name="ECB019B1-382A-4266-B25C-5B523AA43C14-2" descr="C:/Users/Administrator/AppData/Local/Temp/wps.tdyRn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2" descr="C:/Users/Administrator/AppData/Local/Temp/wps.tdyRnMwps"/>
                          <pic:cNvPicPr>
                            <a:picLocks noChangeAspect="1"/>
                          </pic:cNvPicPr>
                        </pic:nvPicPr>
                        <pic:blipFill>
                          <a:blip r:embed="rId13"/>
                          <a:stretch>
                            <a:fillRect/>
                          </a:stretch>
                        </pic:blipFill>
                        <pic:spPr>
                          <a:xfrm>
                            <a:off x="0" y="0"/>
                            <a:ext cx="4799965" cy="2415540"/>
                          </a:xfrm>
                          <a:prstGeom prst="rect">
                            <a:avLst/>
                          </a:prstGeom>
                        </pic:spPr>
                      </pic:pic>
                    </a:graphicData>
                  </a:graphic>
                </wp:inline>
              </w:drawing>
            </w:r>
          </w:p>
          <w:p w14:paraId="3925301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图2.</w:t>
            </w:r>
            <w:r>
              <w:rPr>
                <w:rFonts w:hint="eastAsia" w:cs="Times New Roman"/>
                <w:b w:val="0"/>
                <w:bCs/>
                <w:color w:val="auto"/>
                <w:sz w:val="21"/>
                <w:szCs w:val="21"/>
                <w:lang w:val="en-US" w:eastAsia="zh-CN"/>
              </w:rPr>
              <w:t>8</w:t>
            </w:r>
            <w:r>
              <w:rPr>
                <w:rFonts w:hint="eastAsia" w:ascii="Times New Roman" w:hAnsi="Times New Roman" w:eastAsia="宋体" w:cs="Times New Roman"/>
                <w:b w:val="0"/>
                <w:bCs/>
                <w:color w:val="auto"/>
                <w:sz w:val="21"/>
                <w:szCs w:val="21"/>
                <w:lang w:eastAsia="zh-CN"/>
              </w:rPr>
              <w:t>-1 医疗服务工作流程及产污环节分析</w:t>
            </w:r>
          </w:p>
          <w:p w14:paraId="03289A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工艺流程简述</w:t>
            </w:r>
            <w:r>
              <w:rPr>
                <w:rFonts w:hint="eastAsia" w:ascii="Times New Roman" w:hAnsi="Times New Roman" w:cs="Times New Roman"/>
                <w:b w:val="0"/>
                <w:bCs/>
                <w:color w:val="auto"/>
                <w:sz w:val="24"/>
                <w:szCs w:val="24"/>
                <w:lang w:eastAsia="zh-CN"/>
              </w:rPr>
              <w:t>：</w:t>
            </w:r>
          </w:p>
          <w:p w14:paraId="08FF93A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（1）挂号</w:t>
            </w:r>
          </w:p>
          <w:p w14:paraId="1D68D4AB">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szCs w:val="32"/>
                <w:highlight w:val="none"/>
                <w:lang w:val="en-US" w:eastAsia="zh-CN"/>
              </w:rPr>
            </w:pPr>
            <w:r>
              <w:rPr>
                <w:rFonts w:hint="eastAsia" w:ascii="Times New Roman" w:hAnsi="Times New Roman" w:eastAsia="宋体" w:cs="Times New Roman"/>
                <w:b w:val="0"/>
                <w:bCs/>
                <w:color w:val="auto"/>
                <w:sz w:val="24"/>
                <w:szCs w:val="32"/>
                <w:highlight w:val="none"/>
                <w:lang w:val="en-US" w:eastAsia="zh-CN"/>
              </w:rPr>
              <w:t>顾客携带患病动物到接待区挂号并进行初检，如发现患病动物染疫或疑似染疫，需在隔离室进行隔离并及时向有关部门报备，符合治疗条件的患病动物由导诊人员带至诊室就诊。</w:t>
            </w:r>
          </w:p>
          <w:p w14:paraId="15DF83B7">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szCs w:val="32"/>
                <w:highlight w:val="none"/>
                <w:lang w:val="en-US" w:eastAsia="zh-CN"/>
              </w:rPr>
            </w:pPr>
            <w:r>
              <w:rPr>
                <w:rFonts w:hint="eastAsia" w:ascii="Times New Roman" w:hAnsi="Times New Roman" w:eastAsia="宋体" w:cs="Times New Roman"/>
                <w:b w:val="0"/>
                <w:bCs/>
                <w:color w:val="auto"/>
                <w:sz w:val="24"/>
                <w:szCs w:val="32"/>
                <w:highlight w:val="none"/>
                <w:lang w:val="en-US" w:eastAsia="zh-CN"/>
              </w:rPr>
              <w:t>（2）检查</w:t>
            </w:r>
          </w:p>
          <w:p w14:paraId="793A11A2">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szCs w:val="32"/>
                <w:highlight w:val="none"/>
                <w:lang w:val="en-US" w:eastAsia="zh-CN"/>
              </w:rPr>
            </w:pPr>
            <w:r>
              <w:rPr>
                <w:rFonts w:hint="eastAsia" w:ascii="Times New Roman" w:hAnsi="Times New Roman" w:eastAsia="宋体" w:cs="Times New Roman"/>
                <w:b w:val="0"/>
                <w:bCs/>
                <w:color w:val="auto"/>
                <w:sz w:val="24"/>
                <w:szCs w:val="32"/>
                <w:highlight w:val="none"/>
                <w:lang w:val="en-US" w:eastAsia="zh-CN"/>
              </w:rPr>
              <w:t>医生对宠物的病情进行了解，并根据顾客描述以及现场视诊、听诊、触诊情况，结合临床经验，检查宠物存在疾病，并告知顾客患病宠物需进行化验的常规项目，随后由医护人员对化验样品进行化验。部分动物进行疫苗接种，医生需对其是否适合接种进行诊断。医护人员对宠物进行基础检查，会使用医用酒精棉进行消毒，使用后的酒精棉属于医疗废物，在与患病宠物接触前后需进行手部清洗。</w:t>
            </w:r>
          </w:p>
          <w:p w14:paraId="534E2014">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szCs w:val="32"/>
                <w:highlight w:val="none"/>
                <w:lang w:val="en-US" w:eastAsia="zh-CN"/>
              </w:rPr>
            </w:pPr>
            <w:r>
              <w:rPr>
                <w:rFonts w:hint="eastAsia" w:ascii="Times New Roman" w:hAnsi="Times New Roman" w:eastAsia="宋体" w:cs="Times New Roman"/>
                <w:b w:val="0"/>
                <w:bCs/>
                <w:color w:val="auto"/>
                <w:sz w:val="24"/>
                <w:szCs w:val="32"/>
                <w:highlight w:val="none"/>
                <w:lang w:val="en-US" w:eastAsia="zh-CN"/>
              </w:rPr>
              <w:t>此环节将产生宠物自身异味G1、诊疗废水W3、医疗废物S1、动物毛发S5和动物叫声N。</w:t>
            </w:r>
          </w:p>
          <w:p w14:paraId="2EE220AB">
            <w:pPr>
              <w:pStyle w:val="8"/>
              <w:keepNext w:val="0"/>
              <w:keepLines w:val="0"/>
              <w:pageBreakBefore w:val="0"/>
              <w:widowControl w:val="0"/>
              <w:kinsoku/>
              <w:wordWrap/>
              <w:overflowPunct/>
              <w:topLinePunct w:val="0"/>
              <w:autoSpaceDE/>
              <w:autoSpaceDN/>
              <w:bidi w:val="0"/>
              <w:adjustRightInd w:val="0"/>
              <w:spacing w:before="0" w:after="0" w:line="360" w:lineRule="auto"/>
              <w:ind w:right="0" w:firstLine="480" w:firstLineChars="200"/>
              <w:textAlignment w:val="auto"/>
              <w:outlineLvl w:val="2"/>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（3）化验</w:t>
            </w:r>
          </w:p>
          <w:p w14:paraId="591E538D">
            <w:pPr>
              <w:pStyle w:val="8"/>
              <w:keepNext w:val="0"/>
              <w:keepLines w:val="0"/>
              <w:pageBreakBefore w:val="0"/>
              <w:widowControl w:val="0"/>
              <w:kinsoku/>
              <w:wordWrap/>
              <w:overflowPunct/>
              <w:topLinePunct w:val="0"/>
              <w:autoSpaceDE/>
              <w:autoSpaceDN/>
              <w:bidi w:val="0"/>
              <w:adjustRightInd w:val="0"/>
              <w:spacing w:before="0" w:after="0" w:line="360" w:lineRule="auto"/>
              <w:ind w:right="0" w:firstLine="480" w:firstLineChars="200"/>
              <w:textAlignment w:val="auto"/>
              <w:outlineLvl w:val="2"/>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医护人员对检查过程中取出的化验样品进行常规化验，包括血常规检验、生化检验、尿液检验、粪便检验、B超等；使用生化分析仪采用干式生化试剂片对ALT（谷丙转氨酶）、ALB（白蛋白）、ALP（碱性磷酸酶）、AMY（淀粉酶）等因子进行检测；使用荧光免疫分析仪采用干式试剂片对犬胰腺炎、猫胰腺炎等进行检测及DR检测等。随后医生根据化验数据做出诊断结果，并根据患病动物的情况进行输液、手术、疫苗接种等治疗过程。</w:t>
            </w:r>
          </w:p>
          <w:p w14:paraId="75017DAA">
            <w:pPr>
              <w:pStyle w:val="8"/>
              <w:keepNext w:val="0"/>
              <w:keepLines w:val="0"/>
              <w:pageBreakBefore w:val="0"/>
              <w:widowControl w:val="0"/>
              <w:kinsoku/>
              <w:wordWrap/>
              <w:overflowPunct/>
              <w:topLinePunct w:val="0"/>
              <w:autoSpaceDE/>
              <w:autoSpaceDN/>
              <w:bidi w:val="0"/>
              <w:adjustRightInd w:val="0"/>
              <w:spacing w:before="0" w:after="0" w:line="360" w:lineRule="auto"/>
              <w:ind w:right="0" w:firstLine="480" w:firstLineChars="200"/>
              <w:textAlignment w:val="auto"/>
              <w:outlineLvl w:val="2"/>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化验室采用各类自动分析仪器进行医学检验，使用标准配置的试剂盒，无须现场配置化学试剂。采样、化验以及诊断过程中，医护人员在与患病动物接触前后进行手部清洗。</w:t>
            </w:r>
          </w:p>
          <w:p w14:paraId="6E304937">
            <w:pPr>
              <w:pStyle w:val="8"/>
              <w:keepNext w:val="0"/>
              <w:keepLines w:val="0"/>
              <w:pageBreakBefore w:val="0"/>
              <w:widowControl w:val="0"/>
              <w:kinsoku/>
              <w:wordWrap/>
              <w:overflowPunct/>
              <w:topLinePunct w:val="0"/>
              <w:autoSpaceDE/>
              <w:autoSpaceDN/>
              <w:bidi w:val="0"/>
              <w:adjustRightInd w:val="0"/>
              <w:spacing w:before="0" w:after="0" w:line="360" w:lineRule="auto"/>
              <w:ind w:right="0" w:firstLine="480" w:firstLineChars="200"/>
              <w:textAlignment w:val="auto"/>
              <w:outlineLvl w:val="2"/>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此环节将产生诊疗废水W3和医疗废物S1。</w:t>
            </w:r>
          </w:p>
          <w:p w14:paraId="08045A61">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（4）诊断</w:t>
            </w:r>
          </w:p>
          <w:p w14:paraId="72EB41E5">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根据化验结果诊断宠物健康情况，告知宠物主人下一步治疗方案：疫苗接种、手术治疗或者普通治疗。</w:t>
            </w:r>
          </w:p>
          <w:p w14:paraId="30BF03BC">
            <w:pPr>
              <w:pStyle w:val="8"/>
              <w:keepNext w:val="0"/>
              <w:keepLines w:val="0"/>
              <w:pageBreakBefore w:val="0"/>
              <w:widowControl w:val="0"/>
              <w:kinsoku/>
              <w:wordWrap/>
              <w:overflowPunct/>
              <w:topLinePunct w:val="0"/>
              <w:autoSpaceDE/>
              <w:autoSpaceDN/>
              <w:bidi w:val="0"/>
              <w:adjustRightInd w:val="0"/>
              <w:spacing w:before="0" w:after="0" w:line="360" w:lineRule="auto"/>
              <w:ind w:right="0" w:firstLine="480" w:firstLineChars="200"/>
              <w:textAlignment w:val="auto"/>
              <w:outlineLvl w:val="2"/>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（5）疫苗接种</w:t>
            </w:r>
          </w:p>
          <w:p w14:paraId="5869BCE9">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来院进行疫苗接种宠物，在检查符合接种条件后开展接种，疫苗接种后离院，</w:t>
            </w:r>
            <w:r>
              <w:rPr>
                <w:rFonts w:hint="eastAsia" w:ascii="Times New Roman" w:hAnsi="Times New Roman" w:eastAsia="宋体" w:cs="Times New Roman"/>
                <w:b w:val="0"/>
                <w:bCs/>
                <w:color w:val="auto"/>
                <w:sz w:val="24"/>
                <w:szCs w:val="24"/>
                <w:highlight w:val="none"/>
                <w:lang w:val="en-US" w:eastAsia="zh-CN"/>
              </w:rPr>
              <w:t>医护人员在与患病动物接触前后进行手部清洗，</w:t>
            </w:r>
            <w:r>
              <w:rPr>
                <w:rFonts w:hint="eastAsia" w:ascii="Times New Roman" w:hAnsi="Times New Roman" w:eastAsia="宋体" w:cs="Times New Roman"/>
                <w:b w:val="0"/>
                <w:bCs/>
                <w:color w:val="auto"/>
                <w:sz w:val="24"/>
                <w:szCs w:val="32"/>
                <w:highlight w:val="none"/>
                <w:lang w:val="en-US" w:eastAsia="zh-CN"/>
              </w:rPr>
              <w:t>会使用医用酒精棉进行消毒，使用后的酒精棉属于医疗废物。</w:t>
            </w:r>
          </w:p>
          <w:p w14:paraId="3E2B3A2A">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此环节将产生宠物自身异味G1、诊疗废水W3、医疗废物S1和动物叫声N。</w:t>
            </w:r>
          </w:p>
          <w:p w14:paraId="1790AB57">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（6）手术治疗</w:t>
            </w:r>
          </w:p>
          <w:p w14:paraId="41E9F742">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手术治疗主要包括</w:t>
            </w:r>
            <w:r>
              <w:rPr>
                <w:rFonts w:hint="eastAsia" w:ascii="Times New Roman" w:hAnsi="Times New Roman" w:eastAsia="宋体" w:cs="Times New Roman"/>
                <w:color w:val="auto"/>
                <w:sz w:val="24"/>
                <w:highlight w:val="none"/>
                <w:lang w:val="en-US" w:eastAsia="zh-CN"/>
              </w:rPr>
              <w:t>宠物伤口处理、</w:t>
            </w:r>
            <w:r>
              <w:rPr>
                <w:rFonts w:hint="eastAsia" w:ascii="Times New Roman" w:hAnsi="Times New Roman" w:eastAsia="宋体"/>
                <w:color w:val="auto"/>
                <w:sz w:val="24"/>
                <w:highlight w:val="none"/>
                <w:lang w:val="en-US" w:eastAsia="zh-CN"/>
              </w:rPr>
              <w:t>软组织、骨科和节育手术</w:t>
            </w:r>
            <w:r>
              <w:rPr>
                <w:rFonts w:hint="eastAsia" w:ascii="Times New Roman" w:hAnsi="Times New Roman" w:eastAsia="宋体" w:cs="Times New Roman"/>
                <w:bCs/>
                <w:color w:val="auto"/>
                <w:sz w:val="24"/>
                <w:szCs w:val="32"/>
                <w:highlight w:val="none"/>
                <w:lang w:val="en-US" w:eastAsia="zh-CN"/>
              </w:rPr>
              <w:t>以及胸腔、腹腔类手术等，此部分宠物需进行住院观察病情，方便及时处置。手术过程中手术台上铺的医用纱布、护理垫等，手术过程中产生的血液、废弃医用棉花、宠物医生的一次性手套、口罩，输液及手术过程中的一次性注射器、缝合针等，切除的宠物组织等属于医疗废物。</w:t>
            </w:r>
            <w:r>
              <w:rPr>
                <w:rFonts w:hint="eastAsia" w:ascii="Times New Roman" w:hAnsi="Times New Roman" w:eastAsia="宋体" w:cs="Times New Roman"/>
                <w:b w:val="0"/>
                <w:bCs w:val="0"/>
                <w:color w:val="auto"/>
                <w:kern w:val="2"/>
                <w:sz w:val="24"/>
                <w:szCs w:val="24"/>
                <w:lang w:val="en-US" w:eastAsia="zh-CN" w:bidi="ar-SA"/>
              </w:rPr>
              <w:t>手术器械使用高温灭菌锅进行消毒杀菌，将产生蒸汽消毒杀菌废水。</w:t>
            </w:r>
            <w:r>
              <w:rPr>
                <w:rFonts w:hint="eastAsia" w:ascii="Times New Roman" w:hAnsi="Times New Roman" w:eastAsia="宋体" w:cs="Times New Roman"/>
                <w:b w:val="0"/>
                <w:bCs/>
                <w:color w:val="auto"/>
                <w:sz w:val="24"/>
                <w:szCs w:val="24"/>
                <w:highlight w:val="none"/>
                <w:lang w:val="en-US" w:eastAsia="zh-CN"/>
              </w:rPr>
              <w:t>医护人员在手术前后需进行手部清洗，手术过程中</w:t>
            </w:r>
            <w:r>
              <w:rPr>
                <w:rFonts w:hint="eastAsia" w:ascii="Times New Roman" w:hAnsi="Times New Roman" w:eastAsia="宋体" w:cs="Times New Roman"/>
                <w:b w:val="0"/>
                <w:bCs/>
                <w:color w:val="auto"/>
                <w:sz w:val="24"/>
                <w:szCs w:val="32"/>
                <w:highlight w:val="none"/>
                <w:lang w:val="en-US" w:eastAsia="zh-CN"/>
              </w:rPr>
              <w:t>会使用医用酒精棉进行消毒，使用后的酒精棉属于医疗废物。</w:t>
            </w:r>
          </w:p>
          <w:p w14:paraId="4019B2DE">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此环节将产生宠物自身异味G1</w:t>
            </w:r>
            <w:r>
              <w:rPr>
                <w:rFonts w:hint="eastAsia" w:ascii="Times New Roman" w:hAnsi="Times New Roman" w:eastAsia="宋体" w:cs="Times New Roman"/>
                <w:b w:val="0"/>
                <w:bCs/>
                <w:color w:val="auto"/>
                <w:sz w:val="24"/>
                <w:szCs w:val="32"/>
                <w:highlight w:val="none"/>
                <w:lang w:val="en-US" w:eastAsia="zh-CN"/>
              </w:rPr>
              <w:t>、</w:t>
            </w:r>
            <w:r>
              <w:rPr>
                <w:rFonts w:hint="eastAsia" w:ascii="Times New Roman" w:hAnsi="Times New Roman" w:eastAsia="宋体" w:cs="Times New Roman"/>
                <w:b w:val="0"/>
                <w:bCs w:val="0"/>
                <w:color w:val="auto"/>
                <w:kern w:val="2"/>
                <w:sz w:val="24"/>
                <w:szCs w:val="24"/>
                <w:lang w:val="en-US" w:eastAsia="zh-CN" w:bidi="ar-SA"/>
              </w:rPr>
              <w:t>手术废水W1、</w:t>
            </w:r>
            <w:r>
              <w:rPr>
                <w:rFonts w:hint="eastAsia" w:ascii="Times New Roman" w:hAnsi="Times New Roman" w:eastAsia="宋体" w:cs="Times New Roman"/>
                <w:b w:val="0"/>
                <w:bCs/>
                <w:color w:val="auto"/>
                <w:sz w:val="24"/>
                <w:szCs w:val="32"/>
                <w:highlight w:val="none"/>
                <w:lang w:val="en-US" w:eastAsia="zh-CN"/>
              </w:rPr>
              <w:t>手术器械清洗</w:t>
            </w:r>
            <w:r>
              <w:rPr>
                <w:rFonts w:hint="eastAsia" w:ascii="Times New Roman" w:hAnsi="Times New Roman" w:eastAsia="宋体" w:cs="Times New Roman"/>
                <w:b w:val="0"/>
                <w:bCs/>
                <w:color w:val="auto"/>
                <w:sz w:val="24"/>
                <w:szCs w:val="24"/>
                <w:highlight w:val="none"/>
                <w:lang w:val="en-US" w:eastAsia="zh-CN"/>
              </w:rPr>
              <w:t>废水W2、医疗废物S1、动物毛发S5和动物叫声N。</w:t>
            </w:r>
          </w:p>
          <w:p w14:paraId="6CB59947">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（7）普通治疗</w:t>
            </w:r>
          </w:p>
          <w:p w14:paraId="4DD4900D">
            <w:pPr>
              <w:pStyle w:val="15"/>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普通治疗包括口服药物、注射药物、输液、药敷治疗等，病情较重的宠物需留院观察，病情简单的宠物治疗完成后即可离开。</w:t>
            </w:r>
          </w:p>
          <w:p w14:paraId="3A9C596D">
            <w:pPr>
              <w:pStyle w:val="16"/>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此环节将产生宠物自身异味G1、诊疗废水W3、医疗废物S1和动物叫声N。</w:t>
            </w:r>
          </w:p>
          <w:p w14:paraId="5064E1C8">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（8）住院</w:t>
            </w:r>
          </w:p>
          <w:p w14:paraId="7925D6D2">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宠物住院进行观察，经过治疗得以治愈的动物康复离院。</w:t>
            </w:r>
          </w:p>
          <w:p w14:paraId="3BE5B4F8">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此环节将产生宠物自身异味G1、诊疗废水W3、宠物笼清洗废水W4、医疗废物S1、动物粪污S3和动物叫声N。</w:t>
            </w:r>
          </w:p>
          <w:p w14:paraId="727BFDE0">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eastAsia="宋体" w:cs="Times New Roman"/>
                <w:bCs/>
                <w:color w:val="auto"/>
                <w:sz w:val="24"/>
                <w:szCs w:val="32"/>
                <w:highlight w:val="none"/>
                <w:lang w:val="en-US" w:eastAsia="zh-CN"/>
              </w:rPr>
              <w:t>（9）美容</w:t>
            </w:r>
          </w:p>
          <w:p w14:paraId="186F9EF4">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default" w:ascii="Times New Roman" w:hAnsi="Times New Roman" w:eastAsia="宋体" w:cs="Times New Roman"/>
                <w:color w:val="auto"/>
                <w:kern w:val="0"/>
                <w:sz w:val="24"/>
                <w:szCs w:val="24"/>
                <w:lang w:val="en-US" w:eastAsia="zh-CN" w:bidi="ar"/>
              </w:rPr>
              <w:t>宠物美容主要包括给宠物修剪指（趾）甲、剃脚毛、挖耳朵、洗澡等，进行美容后的宠物由其主人带离医院，本项目美容不包括染色项目。</w:t>
            </w:r>
          </w:p>
          <w:p w14:paraId="685804DA">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default" w:ascii="Times New Roman" w:hAnsi="Times New Roman" w:eastAsia="宋体" w:cs="Times New Roman"/>
                <w:bCs/>
                <w:color w:val="auto"/>
                <w:sz w:val="24"/>
                <w:szCs w:val="32"/>
                <w:highlight w:val="none"/>
                <w:lang w:val="en-US" w:eastAsia="zh-CN"/>
              </w:rPr>
              <w:t>美容洗浴：洗护人员对宠物进行全身清洗，该过程会产生</w:t>
            </w:r>
            <w:r>
              <w:rPr>
                <w:rFonts w:hint="eastAsia" w:ascii="Times New Roman" w:hAnsi="Times New Roman" w:eastAsia="宋体" w:cs="Times New Roman"/>
                <w:bCs/>
                <w:color w:val="auto"/>
                <w:sz w:val="24"/>
                <w:szCs w:val="32"/>
                <w:highlight w:val="none"/>
                <w:lang w:val="en-US" w:eastAsia="zh-CN"/>
              </w:rPr>
              <w:t>宠物洗浴废水W5和</w:t>
            </w:r>
            <w:r>
              <w:rPr>
                <w:rFonts w:hint="eastAsia" w:ascii="Times New Roman" w:hAnsi="Times New Roman" w:eastAsia="宋体" w:cs="Times New Roman"/>
                <w:b w:val="0"/>
                <w:bCs/>
                <w:color w:val="auto"/>
                <w:sz w:val="24"/>
                <w:szCs w:val="24"/>
                <w:highlight w:val="none"/>
                <w:lang w:val="en-US" w:eastAsia="zh-CN"/>
              </w:rPr>
              <w:t>动物叫声N</w:t>
            </w:r>
            <w:r>
              <w:rPr>
                <w:rFonts w:hint="default" w:ascii="Times New Roman" w:hAnsi="Times New Roman" w:eastAsia="宋体" w:cs="Times New Roman"/>
                <w:bCs/>
                <w:color w:val="auto"/>
                <w:sz w:val="24"/>
                <w:szCs w:val="32"/>
                <w:highlight w:val="none"/>
                <w:lang w:val="en-US" w:eastAsia="zh-CN"/>
              </w:rPr>
              <w:t>。</w:t>
            </w:r>
          </w:p>
          <w:p w14:paraId="67C1A60F">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lang w:val="en-US" w:eastAsia="zh-CN"/>
              </w:rPr>
            </w:pPr>
            <w:r>
              <w:rPr>
                <w:rFonts w:hint="default" w:ascii="Times New Roman" w:hAnsi="Times New Roman" w:eastAsia="宋体" w:cs="Times New Roman"/>
                <w:bCs/>
                <w:color w:val="auto"/>
                <w:sz w:val="24"/>
                <w:szCs w:val="32"/>
                <w:highlight w:val="none"/>
                <w:lang w:val="en-US" w:eastAsia="zh-CN"/>
              </w:rPr>
              <w:t>剪毛：医护人员对宠物进行毛发修整，该过程会产生动物毛发</w:t>
            </w:r>
            <w:r>
              <w:rPr>
                <w:rFonts w:hint="eastAsia" w:ascii="Times New Roman" w:hAnsi="Times New Roman" w:eastAsia="宋体" w:cs="Times New Roman"/>
                <w:bCs/>
                <w:color w:val="auto"/>
                <w:sz w:val="24"/>
                <w:szCs w:val="32"/>
                <w:highlight w:val="none"/>
                <w:lang w:val="en-US" w:eastAsia="zh-CN"/>
              </w:rPr>
              <w:t>S5和</w:t>
            </w:r>
            <w:r>
              <w:rPr>
                <w:rFonts w:hint="eastAsia" w:ascii="Times New Roman" w:hAnsi="Times New Roman" w:eastAsia="宋体" w:cs="Times New Roman"/>
                <w:b w:val="0"/>
                <w:bCs/>
                <w:color w:val="auto"/>
                <w:sz w:val="24"/>
                <w:szCs w:val="24"/>
                <w:highlight w:val="none"/>
                <w:lang w:val="en-US" w:eastAsia="zh-CN"/>
              </w:rPr>
              <w:t>动物叫声N</w:t>
            </w:r>
            <w:r>
              <w:rPr>
                <w:rFonts w:hint="default" w:ascii="Times New Roman" w:hAnsi="Times New Roman" w:eastAsia="宋体" w:cs="Times New Roman"/>
                <w:bCs/>
                <w:color w:val="auto"/>
                <w:sz w:val="24"/>
                <w:szCs w:val="32"/>
                <w:highlight w:val="none"/>
                <w:lang w:val="en-US" w:eastAsia="zh-CN"/>
              </w:rPr>
              <w:t>。</w:t>
            </w:r>
          </w:p>
          <w:p w14:paraId="1BBC6253">
            <w:pPr>
              <w:keepNext w:val="0"/>
              <w:keepLines w:val="0"/>
              <w:pageBreakBefore w:val="0"/>
              <w:widowControl w:val="0"/>
              <w:tabs>
                <w:tab w:val="left" w:pos="826"/>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32"/>
                <w:highlight w:val="none"/>
              </w:rPr>
            </w:pPr>
            <w:r>
              <w:rPr>
                <w:rFonts w:hint="default" w:ascii="Times New Roman" w:hAnsi="Times New Roman" w:eastAsia="宋体" w:cs="Times New Roman"/>
                <w:bCs/>
                <w:color w:val="auto"/>
                <w:sz w:val="24"/>
                <w:szCs w:val="32"/>
                <w:highlight w:val="none"/>
                <w:lang w:val="en-US" w:eastAsia="zh-CN"/>
              </w:rPr>
              <w:t>（</w:t>
            </w:r>
            <w:r>
              <w:rPr>
                <w:rFonts w:hint="eastAsia" w:ascii="Times New Roman" w:hAnsi="Times New Roman" w:eastAsia="宋体" w:cs="Times New Roman"/>
                <w:bCs/>
                <w:color w:val="auto"/>
                <w:sz w:val="24"/>
                <w:szCs w:val="32"/>
                <w:highlight w:val="none"/>
                <w:lang w:val="en-US" w:eastAsia="zh-CN"/>
              </w:rPr>
              <w:t>1</w:t>
            </w:r>
            <w:r>
              <w:rPr>
                <w:rFonts w:hint="eastAsia" w:cs="Times New Roman"/>
                <w:bCs/>
                <w:color w:val="auto"/>
                <w:sz w:val="24"/>
                <w:szCs w:val="32"/>
                <w:highlight w:val="none"/>
                <w:lang w:val="en-US" w:eastAsia="zh-CN"/>
              </w:rPr>
              <w:t>0</w:t>
            </w:r>
            <w:r>
              <w:rPr>
                <w:rFonts w:hint="default" w:ascii="Times New Roman" w:hAnsi="Times New Roman" w:eastAsia="宋体" w:cs="Times New Roman"/>
                <w:bCs/>
                <w:color w:val="auto"/>
                <w:sz w:val="24"/>
                <w:szCs w:val="32"/>
                <w:highlight w:val="none"/>
                <w:lang w:val="en-US" w:eastAsia="zh-CN"/>
              </w:rPr>
              <w:t>）</w:t>
            </w:r>
            <w:r>
              <w:rPr>
                <w:rFonts w:hint="default" w:ascii="Times New Roman" w:hAnsi="Times New Roman" w:eastAsia="宋体" w:cs="Times New Roman"/>
                <w:bCs/>
                <w:color w:val="auto"/>
                <w:sz w:val="24"/>
                <w:szCs w:val="32"/>
                <w:highlight w:val="none"/>
              </w:rPr>
              <w:t>其他</w:t>
            </w:r>
          </w:p>
          <w:p w14:paraId="740FF08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废水：</w:t>
            </w:r>
            <w:r>
              <w:rPr>
                <w:rFonts w:hint="eastAsia" w:ascii="Times New Roman" w:hAnsi="Times New Roman" w:eastAsia="宋体" w:cs="Times New Roman"/>
                <w:color w:val="auto"/>
                <w:sz w:val="24"/>
                <w:highlight w:val="none"/>
                <w:lang w:val="en-US" w:eastAsia="zh-CN"/>
              </w:rPr>
              <w:t>地面进行清洁产生的地面清洁废水W6，</w:t>
            </w:r>
            <w:r>
              <w:rPr>
                <w:rFonts w:hint="eastAsia" w:ascii="Times New Roman" w:hAnsi="Times New Roman" w:eastAsia="宋体" w:cs="Times New Roman"/>
                <w:b w:val="0"/>
                <w:bCs/>
                <w:color w:val="auto"/>
                <w:sz w:val="24"/>
                <w:szCs w:val="24"/>
                <w:highlight w:val="none"/>
                <w:lang w:val="en-US" w:eastAsia="zh-CN"/>
              </w:rPr>
              <w:t>员工工服和健康宠物洗浴后的毛毯</w:t>
            </w:r>
            <w:r>
              <w:rPr>
                <w:rFonts w:hint="eastAsia" w:ascii="Times New Roman" w:hAnsi="Times New Roman" w:eastAsia="宋体" w:cs="Times New Roman"/>
                <w:color w:val="auto"/>
                <w:sz w:val="24"/>
                <w:highlight w:val="none"/>
                <w:lang w:val="en-US" w:eastAsia="zh-CN"/>
              </w:rPr>
              <w:t>每天进行清洗消毒产生的洗衣废水W7，员工、顾客产生的</w:t>
            </w:r>
            <w:r>
              <w:rPr>
                <w:rFonts w:hint="default" w:ascii="Times New Roman" w:hAnsi="Times New Roman" w:eastAsia="宋体" w:cs="Times New Roman"/>
                <w:color w:val="auto"/>
                <w:sz w:val="24"/>
                <w:highlight w:val="none"/>
              </w:rPr>
              <w:t>生活污水</w:t>
            </w:r>
            <w:r>
              <w:rPr>
                <w:rFonts w:hint="eastAsia" w:ascii="Times New Roman" w:hAnsi="Times New Roman" w:eastAsia="宋体" w:cs="Times New Roman"/>
                <w:color w:val="auto"/>
                <w:sz w:val="24"/>
                <w:highlight w:val="none"/>
                <w:lang w:val="en-US" w:eastAsia="zh-CN"/>
              </w:rPr>
              <w:t>W8</w:t>
            </w:r>
            <w:r>
              <w:rPr>
                <w:rFonts w:hint="default" w:ascii="Times New Roman" w:hAnsi="Times New Roman" w:eastAsia="宋体" w:cs="Times New Roman"/>
                <w:color w:val="auto"/>
                <w:sz w:val="24"/>
                <w:highlight w:val="none"/>
                <w:lang w:eastAsia="zh-CN"/>
              </w:rPr>
              <w:t>。</w:t>
            </w:r>
          </w:p>
          <w:p w14:paraId="6E129FA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废气：医疗废物在暂存过程中产生的医疗废物暂存异味G1。</w:t>
            </w:r>
          </w:p>
          <w:p w14:paraId="2EAB3D7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噪声：</w:t>
            </w:r>
            <w:r>
              <w:rPr>
                <w:rFonts w:hint="eastAsia" w:ascii="Times New Roman" w:hAnsi="Times New Roman" w:eastAsia="宋体" w:cs="Times New Roman"/>
                <w:color w:val="auto"/>
                <w:sz w:val="24"/>
                <w:highlight w:val="none"/>
                <w:lang w:val="en-US" w:eastAsia="zh-CN"/>
              </w:rPr>
              <w:t>空调使用</w:t>
            </w:r>
            <w:r>
              <w:rPr>
                <w:rFonts w:hint="default" w:ascii="Times New Roman" w:hAnsi="Times New Roman" w:eastAsia="宋体" w:cs="Times New Roman"/>
                <w:color w:val="auto"/>
                <w:sz w:val="24"/>
                <w:highlight w:val="none"/>
              </w:rPr>
              <w:t>过程中会产生设备噪声N。</w:t>
            </w:r>
          </w:p>
          <w:p w14:paraId="53DD67F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sz w:val="24"/>
                <w:highlight w:val="none"/>
              </w:rPr>
              <w:t>固废：</w:t>
            </w:r>
            <w:r>
              <w:rPr>
                <w:rFonts w:hint="eastAsia" w:ascii="Times New Roman" w:hAnsi="Times New Roman" w:eastAsia="宋体" w:cs="Times New Roman"/>
                <w:color w:val="auto"/>
                <w:sz w:val="24"/>
                <w:highlight w:val="none"/>
                <w:lang w:val="en-US" w:eastAsia="zh-CN"/>
              </w:rPr>
              <w:t>消毒设施定期更换产生的废紫外线灯管S2，诊疗过程中产生的少量动物尸体S4，各类药品、试剂盒脱袋</w:t>
            </w:r>
            <w:r>
              <w:rPr>
                <w:rFonts w:hint="default" w:ascii="Times New Roman" w:hAnsi="Times New Roman" w:eastAsia="宋体" w:cs="Times New Roman"/>
                <w:color w:val="auto"/>
                <w:sz w:val="24"/>
                <w:highlight w:val="none"/>
                <w:lang w:val="en-US" w:eastAsia="zh-CN"/>
              </w:rPr>
              <w:t>过程中产生的废包装材料S</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员工</w:t>
            </w:r>
            <w:r>
              <w:rPr>
                <w:rFonts w:hint="default" w:ascii="Times New Roman" w:hAnsi="Times New Roman" w:eastAsia="宋体" w:cs="Times New Roman"/>
                <w:color w:val="auto"/>
                <w:sz w:val="24"/>
                <w:highlight w:val="none"/>
                <w:lang w:val="en-US" w:eastAsia="zh-CN"/>
              </w:rPr>
              <w:t>日常办公产生的生活垃圾S</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w:t>
            </w:r>
          </w:p>
          <w:p w14:paraId="123D8D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b/>
                <w:bCs w:val="0"/>
                <w:color w:val="auto"/>
                <w:sz w:val="24"/>
                <w:szCs w:val="24"/>
                <w:lang w:eastAsia="zh-CN"/>
              </w:rPr>
            </w:pPr>
            <w:r>
              <w:rPr>
                <w:rFonts w:hint="eastAsia" w:ascii="Times New Roman" w:hAnsi="Times New Roman" w:eastAsia="宋体" w:cs="Times New Roman"/>
                <w:b/>
                <w:bCs w:val="0"/>
                <w:color w:val="auto"/>
                <w:sz w:val="24"/>
                <w:szCs w:val="24"/>
                <w:lang w:eastAsia="zh-CN"/>
              </w:rPr>
              <w:t>2.</w:t>
            </w:r>
            <w:r>
              <w:rPr>
                <w:rFonts w:hint="eastAsia" w:cs="Times New Roman"/>
                <w:b/>
                <w:bCs w:val="0"/>
                <w:color w:val="auto"/>
                <w:sz w:val="24"/>
                <w:szCs w:val="24"/>
                <w:lang w:val="en-US" w:eastAsia="zh-CN"/>
              </w:rPr>
              <w:t>9</w:t>
            </w:r>
            <w:r>
              <w:rPr>
                <w:rFonts w:hint="eastAsia" w:ascii="Times New Roman" w:hAnsi="Times New Roman" w:eastAsia="宋体" w:cs="Times New Roman"/>
                <w:b/>
                <w:bCs w:val="0"/>
                <w:color w:val="auto"/>
                <w:sz w:val="24"/>
                <w:szCs w:val="24"/>
                <w:lang w:eastAsia="zh-CN"/>
              </w:rPr>
              <w:t xml:space="preserve"> 项目产排污环节分析</w:t>
            </w:r>
          </w:p>
          <w:p w14:paraId="1D9FE1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项目产排污节点详见表2.</w:t>
            </w:r>
            <w:r>
              <w:rPr>
                <w:rFonts w:hint="eastAsia" w:cs="Times New Roman"/>
                <w:b w:val="0"/>
                <w:bCs/>
                <w:color w:val="auto"/>
                <w:sz w:val="24"/>
                <w:szCs w:val="24"/>
                <w:lang w:val="en-US" w:eastAsia="zh-CN"/>
              </w:rPr>
              <w:t>9</w:t>
            </w:r>
            <w:r>
              <w:rPr>
                <w:rFonts w:hint="eastAsia" w:ascii="Times New Roman" w:hAnsi="Times New Roman" w:eastAsia="宋体" w:cs="Times New Roman"/>
                <w:b w:val="0"/>
                <w:bCs/>
                <w:color w:val="auto"/>
                <w:sz w:val="24"/>
                <w:szCs w:val="24"/>
                <w:lang w:eastAsia="zh-CN"/>
              </w:rPr>
              <w:t>-1。</w:t>
            </w:r>
          </w:p>
          <w:p w14:paraId="2929C1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表2.</w:t>
            </w:r>
            <w:r>
              <w:rPr>
                <w:rFonts w:hint="eastAsia" w:cs="Times New Roman"/>
                <w:b w:val="0"/>
                <w:bCs/>
                <w:color w:val="auto"/>
                <w:sz w:val="21"/>
                <w:szCs w:val="21"/>
                <w:lang w:val="en-US" w:eastAsia="zh-CN"/>
              </w:rPr>
              <w:t>9</w:t>
            </w:r>
            <w:r>
              <w:rPr>
                <w:rFonts w:hint="eastAsia" w:ascii="Times New Roman" w:hAnsi="Times New Roman" w:eastAsia="宋体" w:cs="Times New Roman"/>
                <w:b w:val="0"/>
                <w:bCs/>
                <w:color w:val="auto"/>
                <w:sz w:val="21"/>
                <w:szCs w:val="21"/>
                <w:lang w:eastAsia="zh-CN"/>
              </w:rPr>
              <w:t>-1项目产排污节点分析一览表</w:t>
            </w:r>
          </w:p>
          <w:tbl>
            <w:tblPr>
              <w:tblStyle w:val="21"/>
              <w:tblW w:w="82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450"/>
              <w:gridCol w:w="1670"/>
              <w:gridCol w:w="1101"/>
              <w:gridCol w:w="754"/>
              <w:gridCol w:w="3704"/>
            </w:tblGrid>
            <w:tr w14:paraId="27918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tcBorders>
                    <w:tl2br w:val="nil"/>
                    <w:tr2bl w:val="nil"/>
                  </w:tcBorders>
                  <w:noWrap w:val="0"/>
                  <w:vAlign w:val="center"/>
                </w:tcPr>
                <w:p w14:paraId="3EB2297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类</w:t>
                  </w:r>
                  <w:r>
                    <w:rPr>
                      <w:rFonts w:hint="default" w:ascii="Times New Roman" w:hAnsi="Times New Roman" w:eastAsia="宋体" w:cs="Times New Roman"/>
                      <w:b w:val="0"/>
                      <w:bCs w:val="0"/>
                      <w:color w:val="auto"/>
                      <w:sz w:val="21"/>
                      <w:szCs w:val="21"/>
                      <w:highlight w:val="none"/>
                      <w:lang w:val="en-US" w:eastAsia="zh-CN"/>
                    </w:rPr>
                    <w:t>别</w:t>
                  </w:r>
                </w:p>
              </w:tc>
              <w:tc>
                <w:tcPr>
                  <w:tcW w:w="450" w:type="dxa"/>
                  <w:tcBorders>
                    <w:tl2br w:val="nil"/>
                    <w:tr2bl w:val="nil"/>
                  </w:tcBorders>
                  <w:noWrap w:val="0"/>
                  <w:vAlign w:val="center"/>
                </w:tcPr>
                <w:p w14:paraId="6783AAD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代码</w:t>
                  </w:r>
                </w:p>
              </w:tc>
              <w:tc>
                <w:tcPr>
                  <w:tcW w:w="1670" w:type="dxa"/>
                  <w:tcBorders>
                    <w:tl2br w:val="nil"/>
                    <w:tr2bl w:val="nil"/>
                  </w:tcBorders>
                  <w:noWrap w:val="0"/>
                  <w:vAlign w:val="center"/>
                </w:tcPr>
                <w:p w14:paraId="5EA2CB4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产污工序</w:t>
                  </w:r>
                </w:p>
              </w:tc>
              <w:tc>
                <w:tcPr>
                  <w:tcW w:w="1101" w:type="dxa"/>
                  <w:tcBorders>
                    <w:tl2br w:val="nil"/>
                    <w:tr2bl w:val="nil"/>
                  </w:tcBorders>
                  <w:noWrap w:val="0"/>
                  <w:vAlign w:val="center"/>
                </w:tcPr>
                <w:p w14:paraId="64C33DE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主要污染物</w:t>
                  </w:r>
                </w:p>
              </w:tc>
              <w:tc>
                <w:tcPr>
                  <w:tcW w:w="4458" w:type="dxa"/>
                  <w:gridSpan w:val="2"/>
                  <w:tcBorders>
                    <w:tl2br w:val="nil"/>
                    <w:tr2bl w:val="nil"/>
                  </w:tcBorders>
                  <w:noWrap w:val="0"/>
                  <w:vAlign w:val="center"/>
                </w:tcPr>
                <w:p w14:paraId="10C9978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污染因子</w:t>
                  </w:r>
                </w:p>
              </w:tc>
            </w:tr>
            <w:tr w14:paraId="78F90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tcBorders>
                    <w:tl2br w:val="nil"/>
                    <w:tr2bl w:val="nil"/>
                  </w:tcBorders>
                  <w:noWrap w:val="0"/>
                  <w:vAlign w:val="center"/>
                </w:tcPr>
                <w:p w14:paraId="176FB56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废气</w:t>
                  </w:r>
                </w:p>
              </w:tc>
              <w:tc>
                <w:tcPr>
                  <w:tcW w:w="450" w:type="dxa"/>
                  <w:tcBorders>
                    <w:tl2br w:val="nil"/>
                    <w:tr2bl w:val="nil"/>
                  </w:tcBorders>
                  <w:noWrap w:val="0"/>
                  <w:vAlign w:val="center"/>
                </w:tcPr>
                <w:p w14:paraId="26B2C29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G1</w:t>
                  </w:r>
                </w:p>
              </w:tc>
              <w:tc>
                <w:tcPr>
                  <w:tcW w:w="1670" w:type="dxa"/>
                  <w:tcBorders>
                    <w:tl2br w:val="nil"/>
                    <w:tr2bl w:val="nil"/>
                  </w:tcBorders>
                  <w:noWrap w:val="0"/>
                  <w:vAlign w:val="center"/>
                </w:tcPr>
                <w:p w14:paraId="1E14E68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检验、化验诊断、疫苗接种、手术治疗、普通治疗、住院、医疗废物贮存</w:t>
                  </w:r>
                </w:p>
              </w:tc>
              <w:tc>
                <w:tcPr>
                  <w:tcW w:w="1101" w:type="dxa"/>
                  <w:tcBorders>
                    <w:tl2br w:val="nil"/>
                    <w:tr2bl w:val="nil"/>
                  </w:tcBorders>
                  <w:noWrap w:val="0"/>
                  <w:vAlign w:val="center"/>
                </w:tcPr>
                <w:p w14:paraId="6D38711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宠物自身异味、医疗废物暂存异味</w:t>
                  </w:r>
                </w:p>
              </w:tc>
              <w:tc>
                <w:tcPr>
                  <w:tcW w:w="4458" w:type="dxa"/>
                  <w:gridSpan w:val="2"/>
                  <w:tcBorders>
                    <w:tl2br w:val="nil"/>
                    <w:tr2bl w:val="nil"/>
                  </w:tcBorders>
                  <w:noWrap w:val="0"/>
                  <w:vAlign w:val="center"/>
                </w:tcPr>
                <w:p w14:paraId="6A3D485C">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臭气浓度</w:t>
                  </w:r>
                </w:p>
              </w:tc>
            </w:tr>
            <w:tr w14:paraId="7E67B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restart"/>
                  <w:tcBorders>
                    <w:tl2br w:val="nil"/>
                    <w:tr2bl w:val="nil"/>
                  </w:tcBorders>
                  <w:noWrap w:val="0"/>
                  <w:vAlign w:val="center"/>
                </w:tcPr>
                <w:p w14:paraId="0754DEC0">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固废</w:t>
                  </w:r>
                </w:p>
              </w:tc>
              <w:tc>
                <w:tcPr>
                  <w:tcW w:w="450" w:type="dxa"/>
                  <w:vMerge w:val="restart"/>
                  <w:tcBorders>
                    <w:tl2br w:val="nil"/>
                    <w:tr2bl w:val="nil"/>
                  </w:tcBorders>
                  <w:noWrap w:val="0"/>
                  <w:vAlign w:val="center"/>
                </w:tcPr>
                <w:p w14:paraId="590DCB60">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S1</w:t>
                  </w:r>
                </w:p>
              </w:tc>
              <w:tc>
                <w:tcPr>
                  <w:tcW w:w="1670" w:type="dxa"/>
                  <w:vMerge w:val="restart"/>
                  <w:tcBorders>
                    <w:tl2br w:val="nil"/>
                    <w:tr2bl w:val="nil"/>
                  </w:tcBorders>
                  <w:noWrap w:val="0"/>
                  <w:vAlign w:val="center"/>
                </w:tcPr>
                <w:p w14:paraId="1C3BC145">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检验、化验诊断、疫苗接种、手术治疗、普通治疗、住院</w:t>
                  </w:r>
                </w:p>
              </w:tc>
              <w:tc>
                <w:tcPr>
                  <w:tcW w:w="1101" w:type="dxa"/>
                  <w:vMerge w:val="restart"/>
                  <w:tcBorders>
                    <w:tl2br w:val="nil"/>
                    <w:tr2bl w:val="nil"/>
                  </w:tcBorders>
                  <w:noWrap w:val="0"/>
                  <w:vAlign w:val="center"/>
                </w:tcPr>
                <w:p w14:paraId="7B003B3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医疗废物</w:t>
                  </w:r>
                </w:p>
              </w:tc>
              <w:tc>
                <w:tcPr>
                  <w:tcW w:w="754" w:type="dxa"/>
                  <w:tcBorders>
                    <w:tl2br w:val="nil"/>
                    <w:tr2bl w:val="nil"/>
                  </w:tcBorders>
                  <w:noWrap w:val="0"/>
                  <w:vAlign w:val="center"/>
                </w:tcPr>
                <w:p w14:paraId="337854E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感染性废物</w:t>
                  </w:r>
                </w:p>
              </w:tc>
              <w:tc>
                <w:tcPr>
                  <w:tcW w:w="3704" w:type="dxa"/>
                  <w:tcBorders>
                    <w:tl2br w:val="nil"/>
                    <w:tr2bl w:val="nil"/>
                  </w:tcBorders>
                  <w:noWrap w:val="0"/>
                  <w:vAlign w:val="center"/>
                </w:tcPr>
                <w:p w14:paraId="5794B43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被患病宠物血液、体液、排泄物等污染的除锐器以外的废物；②使用后废弃的一次性注射器、输液器等；③化验室产生的废弃血液、血清、分泌物等标本和容器；④隔离的传染病宠物或疑似传染病宠物产生的废弃物。</w:t>
                  </w:r>
                </w:p>
              </w:tc>
            </w:tr>
            <w:tr w14:paraId="637DB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2DD2195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vMerge w:val="continue"/>
                  <w:tcBorders>
                    <w:tl2br w:val="nil"/>
                    <w:tr2bl w:val="nil"/>
                  </w:tcBorders>
                  <w:noWrap w:val="0"/>
                  <w:vAlign w:val="center"/>
                </w:tcPr>
                <w:p w14:paraId="4A8DFD2D">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670" w:type="dxa"/>
                  <w:vMerge w:val="continue"/>
                  <w:tcBorders>
                    <w:tl2br w:val="nil"/>
                    <w:tr2bl w:val="nil"/>
                  </w:tcBorders>
                  <w:noWrap w:val="0"/>
                  <w:vAlign w:val="center"/>
                </w:tcPr>
                <w:p w14:paraId="728CFFE3">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101" w:type="dxa"/>
                  <w:vMerge w:val="continue"/>
                  <w:tcBorders>
                    <w:tl2br w:val="nil"/>
                    <w:tr2bl w:val="nil"/>
                  </w:tcBorders>
                  <w:noWrap w:val="0"/>
                  <w:vAlign w:val="center"/>
                </w:tcPr>
                <w:p w14:paraId="2599330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754" w:type="dxa"/>
                  <w:tcBorders>
                    <w:tl2br w:val="nil"/>
                    <w:tr2bl w:val="nil"/>
                  </w:tcBorders>
                  <w:noWrap w:val="0"/>
                  <w:vAlign w:val="center"/>
                </w:tcPr>
                <w:p w14:paraId="49D1B91C">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损伤性</w:t>
                  </w:r>
                  <w:r>
                    <w:rPr>
                      <w:rFonts w:hint="eastAsia" w:ascii="Times New Roman" w:hAnsi="Times New Roman" w:eastAsia="宋体" w:cs="Times New Roman"/>
                      <w:b w:val="0"/>
                      <w:bCs w:val="0"/>
                      <w:color w:val="auto"/>
                      <w:sz w:val="21"/>
                      <w:szCs w:val="21"/>
                      <w:highlight w:val="none"/>
                      <w:lang w:val="en-US" w:eastAsia="zh-CN"/>
                    </w:rPr>
                    <w:t>废物</w:t>
                  </w:r>
                </w:p>
              </w:tc>
              <w:tc>
                <w:tcPr>
                  <w:tcW w:w="3704" w:type="dxa"/>
                  <w:tcBorders>
                    <w:tl2br w:val="nil"/>
                    <w:tr2bl w:val="nil"/>
                  </w:tcBorders>
                  <w:noWrap w:val="0"/>
                  <w:vAlign w:val="center"/>
                </w:tcPr>
                <w:p w14:paraId="0E95B13C">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①废弃的针头、缝合针、探针、穿刺针、解剖刀、手术刀等废弃的金属类锐器；②废弃的载玻片等玻璃类锐器。</w:t>
                  </w:r>
                </w:p>
              </w:tc>
            </w:tr>
            <w:tr w14:paraId="5FEB3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6537777A">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vMerge w:val="continue"/>
                  <w:tcBorders>
                    <w:tl2br w:val="nil"/>
                    <w:tr2bl w:val="nil"/>
                  </w:tcBorders>
                  <w:noWrap w:val="0"/>
                  <w:vAlign w:val="center"/>
                </w:tcPr>
                <w:p w14:paraId="541F218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670" w:type="dxa"/>
                  <w:vMerge w:val="continue"/>
                  <w:tcBorders>
                    <w:tl2br w:val="nil"/>
                    <w:tr2bl w:val="nil"/>
                  </w:tcBorders>
                  <w:noWrap w:val="0"/>
                  <w:vAlign w:val="center"/>
                </w:tcPr>
                <w:p w14:paraId="4D9FE460">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101" w:type="dxa"/>
                  <w:vMerge w:val="continue"/>
                  <w:tcBorders>
                    <w:tl2br w:val="nil"/>
                    <w:tr2bl w:val="nil"/>
                  </w:tcBorders>
                  <w:noWrap w:val="0"/>
                  <w:vAlign w:val="center"/>
                </w:tcPr>
                <w:p w14:paraId="33ED2570">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754" w:type="dxa"/>
                  <w:tcBorders>
                    <w:tl2br w:val="nil"/>
                    <w:tr2bl w:val="nil"/>
                  </w:tcBorders>
                  <w:noWrap w:val="0"/>
                  <w:vAlign w:val="center"/>
                </w:tcPr>
                <w:p w14:paraId="5DF7EBA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病理性废物</w:t>
                  </w:r>
                </w:p>
              </w:tc>
              <w:tc>
                <w:tcPr>
                  <w:tcW w:w="3704" w:type="dxa"/>
                  <w:tcBorders>
                    <w:tl2br w:val="nil"/>
                    <w:tr2bl w:val="nil"/>
                  </w:tcBorders>
                  <w:noWrap w:val="0"/>
                  <w:vAlign w:val="center"/>
                </w:tcPr>
                <w:p w14:paraId="06D562C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手术过程中产生的废弃动物组织、器官</w:t>
                  </w:r>
                  <w:r>
                    <w:rPr>
                      <w:rFonts w:hint="eastAsia" w:cs="Times New Roman"/>
                      <w:b w:val="0"/>
                      <w:bCs w:val="0"/>
                      <w:color w:val="auto"/>
                      <w:sz w:val="21"/>
                      <w:szCs w:val="21"/>
                      <w:highlight w:val="none"/>
                      <w:lang w:val="en-US" w:eastAsia="zh-CN"/>
                    </w:rPr>
                    <w:t>。</w:t>
                  </w:r>
                </w:p>
              </w:tc>
            </w:tr>
            <w:tr w14:paraId="14495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16A0EDC3">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vMerge w:val="continue"/>
                  <w:tcBorders>
                    <w:tl2br w:val="nil"/>
                    <w:tr2bl w:val="nil"/>
                  </w:tcBorders>
                  <w:noWrap w:val="0"/>
                  <w:vAlign w:val="center"/>
                </w:tcPr>
                <w:p w14:paraId="68A060A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670" w:type="dxa"/>
                  <w:vMerge w:val="continue"/>
                  <w:tcBorders>
                    <w:tl2br w:val="nil"/>
                    <w:tr2bl w:val="nil"/>
                  </w:tcBorders>
                  <w:noWrap w:val="0"/>
                  <w:vAlign w:val="center"/>
                </w:tcPr>
                <w:p w14:paraId="29982E49">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101" w:type="dxa"/>
                  <w:vMerge w:val="continue"/>
                  <w:tcBorders>
                    <w:tl2br w:val="nil"/>
                    <w:tr2bl w:val="nil"/>
                  </w:tcBorders>
                  <w:noWrap w:val="0"/>
                  <w:vAlign w:val="center"/>
                </w:tcPr>
                <w:p w14:paraId="41B299FA">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754" w:type="dxa"/>
                  <w:tcBorders>
                    <w:tl2br w:val="nil"/>
                    <w:tr2bl w:val="nil"/>
                  </w:tcBorders>
                  <w:noWrap w:val="0"/>
                  <w:vAlign w:val="center"/>
                </w:tcPr>
                <w:p w14:paraId="46C62B4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药物性</w:t>
                  </w:r>
                  <w:r>
                    <w:rPr>
                      <w:rFonts w:hint="eastAsia" w:ascii="Times New Roman" w:hAnsi="Times New Roman" w:eastAsia="宋体" w:cs="Times New Roman"/>
                      <w:b w:val="0"/>
                      <w:bCs w:val="0"/>
                      <w:color w:val="auto"/>
                      <w:sz w:val="21"/>
                      <w:szCs w:val="21"/>
                      <w:highlight w:val="none"/>
                      <w:lang w:val="en-US" w:eastAsia="zh-CN"/>
                    </w:rPr>
                    <w:t>废物</w:t>
                  </w:r>
                </w:p>
              </w:tc>
              <w:tc>
                <w:tcPr>
                  <w:tcW w:w="3704" w:type="dxa"/>
                  <w:tcBorders>
                    <w:tl2br w:val="nil"/>
                    <w:tr2bl w:val="nil"/>
                  </w:tcBorders>
                  <w:noWrap w:val="0"/>
                  <w:vAlign w:val="center"/>
                </w:tcPr>
                <w:p w14:paraId="35B2E0F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过期、淘汰、变质或者被污染的废弃的药物。</w:t>
                  </w:r>
                </w:p>
              </w:tc>
            </w:tr>
            <w:tr w14:paraId="1B5FA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00A1A640">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vMerge w:val="continue"/>
                  <w:tcBorders>
                    <w:tl2br w:val="nil"/>
                    <w:tr2bl w:val="nil"/>
                  </w:tcBorders>
                  <w:noWrap w:val="0"/>
                  <w:vAlign w:val="center"/>
                </w:tcPr>
                <w:p w14:paraId="6D32017E">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670" w:type="dxa"/>
                  <w:vMerge w:val="continue"/>
                  <w:tcBorders>
                    <w:tl2br w:val="nil"/>
                    <w:tr2bl w:val="nil"/>
                  </w:tcBorders>
                  <w:noWrap w:val="0"/>
                  <w:vAlign w:val="center"/>
                </w:tcPr>
                <w:p w14:paraId="4B33274E">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101" w:type="dxa"/>
                  <w:vMerge w:val="continue"/>
                  <w:tcBorders>
                    <w:tl2br w:val="nil"/>
                    <w:tr2bl w:val="nil"/>
                  </w:tcBorders>
                  <w:noWrap w:val="0"/>
                  <w:vAlign w:val="center"/>
                </w:tcPr>
                <w:p w14:paraId="6B0B7713">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754" w:type="dxa"/>
                  <w:tcBorders>
                    <w:tl2br w:val="nil"/>
                    <w:tr2bl w:val="nil"/>
                  </w:tcBorders>
                  <w:noWrap w:val="0"/>
                  <w:vAlign w:val="center"/>
                </w:tcPr>
                <w:p w14:paraId="5208394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化学性药物</w:t>
                  </w:r>
                </w:p>
              </w:tc>
              <w:tc>
                <w:tcPr>
                  <w:tcW w:w="3704" w:type="dxa"/>
                  <w:tcBorders>
                    <w:tl2br w:val="nil"/>
                    <w:tr2bl w:val="nil"/>
                  </w:tcBorders>
                  <w:noWrap w:val="0"/>
                  <w:vAlign w:val="center"/>
                </w:tcPr>
                <w:p w14:paraId="75EDAB0A">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含汞血压计、含汞体温计等列入《国家危险废物名录》中的废弃危险化学品。</w:t>
                  </w:r>
                </w:p>
              </w:tc>
            </w:tr>
            <w:tr w14:paraId="3EF53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15206A9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3886004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S2</w:t>
                  </w:r>
                </w:p>
              </w:tc>
              <w:tc>
                <w:tcPr>
                  <w:tcW w:w="1670" w:type="dxa"/>
                  <w:tcBorders>
                    <w:tl2br w:val="nil"/>
                    <w:tr2bl w:val="nil"/>
                  </w:tcBorders>
                  <w:noWrap w:val="0"/>
                  <w:vAlign w:val="center"/>
                </w:tcPr>
                <w:p w14:paraId="3120C794">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消毒</w:t>
                  </w:r>
                </w:p>
              </w:tc>
              <w:tc>
                <w:tcPr>
                  <w:tcW w:w="1101" w:type="dxa"/>
                  <w:tcBorders>
                    <w:tl2br w:val="nil"/>
                    <w:tr2bl w:val="nil"/>
                  </w:tcBorders>
                  <w:noWrap w:val="0"/>
                  <w:vAlign w:val="center"/>
                </w:tcPr>
                <w:p w14:paraId="0A11C04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废紫外线灯管</w:t>
                  </w:r>
                </w:p>
              </w:tc>
              <w:tc>
                <w:tcPr>
                  <w:tcW w:w="4458" w:type="dxa"/>
                  <w:gridSpan w:val="2"/>
                  <w:tcBorders>
                    <w:tl2br w:val="nil"/>
                    <w:tr2bl w:val="nil"/>
                  </w:tcBorders>
                  <w:noWrap w:val="0"/>
                  <w:vAlign w:val="center"/>
                </w:tcPr>
                <w:p w14:paraId="207C2CE5">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废紫外线灯管</w:t>
                  </w:r>
                </w:p>
              </w:tc>
            </w:tr>
            <w:tr w14:paraId="6365B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4E2C6993">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4166F6E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S3</w:t>
                  </w:r>
                </w:p>
              </w:tc>
              <w:tc>
                <w:tcPr>
                  <w:tcW w:w="1670" w:type="dxa"/>
                  <w:tcBorders>
                    <w:tl2br w:val="nil"/>
                    <w:tr2bl w:val="nil"/>
                  </w:tcBorders>
                  <w:noWrap w:val="0"/>
                  <w:vAlign w:val="center"/>
                </w:tcPr>
                <w:p w14:paraId="24AA471A">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住院</w:t>
                  </w:r>
                </w:p>
              </w:tc>
              <w:tc>
                <w:tcPr>
                  <w:tcW w:w="1101" w:type="dxa"/>
                  <w:tcBorders>
                    <w:tl2br w:val="nil"/>
                    <w:tr2bl w:val="nil"/>
                  </w:tcBorders>
                  <w:noWrap w:val="0"/>
                  <w:vAlign w:val="center"/>
                </w:tcPr>
                <w:p w14:paraId="5AFC85E1">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动物粪污</w:t>
                  </w:r>
                </w:p>
              </w:tc>
              <w:tc>
                <w:tcPr>
                  <w:tcW w:w="4458" w:type="dxa"/>
                  <w:gridSpan w:val="2"/>
                  <w:tcBorders>
                    <w:tl2br w:val="nil"/>
                    <w:tr2bl w:val="nil"/>
                  </w:tcBorders>
                  <w:noWrap w:val="0"/>
                  <w:vAlign w:val="center"/>
                </w:tcPr>
                <w:p w14:paraId="27B8F5E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动物粪污</w:t>
                  </w:r>
                </w:p>
              </w:tc>
            </w:tr>
            <w:tr w14:paraId="11D42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5A0ABB7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2DED365C">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S4</w:t>
                  </w:r>
                </w:p>
              </w:tc>
              <w:tc>
                <w:tcPr>
                  <w:tcW w:w="1670" w:type="dxa"/>
                  <w:tcBorders>
                    <w:tl2br w:val="nil"/>
                    <w:tr2bl w:val="nil"/>
                  </w:tcBorders>
                  <w:noWrap w:val="0"/>
                  <w:vAlign w:val="center"/>
                </w:tcPr>
                <w:p w14:paraId="1BD6A279">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手术</w:t>
                  </w:r>
                </w:p>
              </w:tc>
              <w:tc>
                <w:tcPr>
                  <w:tcW w:w="1101" w:type="dxa"/>
                  <w:tcBorders>
                    <w:tl2br w:val="nil"/>
                    <w:tr2bl w:val="nil"/>
                  </w:tcBorders>
                  <w:noWrap w:val="0"/>
                  <w:vAlign w:val="center"/>
                </w:tcPr>
                <w:p w14:paraId="50DC2445">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动物尸体</w:t>
                  </w:r>
                </w:p>
              </w:tc>
              <w:tc>
                <w:tcPr>
                  <w:tcW w:w="4458" w:type="dxa"/>
                  <w:gridSpan w:val="2"/>
                  <w:tcBorders>
                    <w:tl2br w:val="nil"/>
                    <w:tr2bl w:val="nil"/>
                  </w:tcBorders>
                  <w:noWrap w:val="0"/>
                  <w:vAlign w:val="center"/>
                </w:tcPr>
                <w:p w14:paraId="355236A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动物尸体</w:t>
                  </w:r>
                </w:p>
              </w:tc>
            </w:tr>
            <w:tr w14:paraId="6AA81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59A6F931">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2933905D">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S5</w:t>
                  </w:r>
                </w:p>
              </w:tc>
              <w:tc>
                <w:tcPr>
                  <w:tcW w:w="1670" w:type="dxa"/>
                  <w:tcBorders>
                    <w:tl2br w:val="nil"/>
                    <w:tr2bl w:val="nil"/>
                  </w:tcBorders>
                  <w:shd w:val="clear" w:color="auto" w:fill="auto"/>
                  <w:noWrap w:val="0"/>
                  <w:vAlign w:val="center"/>
                </w:tcPr>
                <w:p w14:paraId="676DFCFA">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检查、手术、美容</w:t>
                  </w:r>
                </w:p>
              </w:tc>
              <w:tc>
                <w:tcPr>
                  <w:tcW w:w="1101" w:type="dxa"/>
                  <w:tcBorders>
                    <w:tl2br w:val="nil"/>
                    <w:tr2bl w:val="nil"/>
                  </w:tcBorders>
                  <w:shd w:val="clear" w:color="auto" w:fill="auto"/>
                  <w:noWrap w:val="0"/>
                  <w:vAlign w:val="center"/>
                </w:tcPr>
                <w:p w14:paraId="6A80E08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动物毛发</w:t>
                  </w:r>
                </w:p>
              </w:tc>
              <w:tc>
                <w:tcPr>
                  <w:tcW w:w="4458" w:type="dxa"/>
                  <w:gridSpan w:val="2"/>
                  <w:tcBorders>
                    <w:tl2br w:val="nil"/>
                    <w:tr2bl w:val="nil"/>
                  </w:tcBorders>
                  <w:shd w:val="clear" w:color="auto" w:fill="auto"/>
                  <w:noWrap w:val="0"/>
                  <w:vAlign w:val="center"/>
                </w:tcPr>
                <w:p w14:paraId="065545C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动物毛发</w:t>
                  </w:r>
                </w:p>
              </w:tc>
            </w:tr>
            <w:tr w14:paraId="668A3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3AF093A1">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4C10A44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S6</w:t>
                  </w:r>
                </w:p>
              </w:tc>
              <w:tc>
                <w:tcPr>
                  <w:tcW w:w="1670" w:type="dxa"/>
                  <w:tcBorders>
                    <w:tl2br w:val="nil"/>
                    <w:tr2bl w:val="nil"/>
                  </w:tcBorders>
                  <w:shd w:val="clear" w:color="auto" w:fill="auto"/>
                  <w:noWrap w:val="0"/>
                  <w:vAlign w:val="center"/>
                </w:tcPr>
                <w:p w14:paraId="60EB074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各类药品、试剂盒脱袋</w:t>
                  </w:r>
                </w:p>
              </w:tc>
              <w:tc>
                <w:tcPr>
                  <w:tcW w:w="1101" w:type="dxa"/>
                  <w:tcBorders>
                    <w:tl2br w:val="nil"/>
                    <w:tr2bl w:val="nil"/>
                  </w:tcBorders>
                  <w:shd w:val="clear" w:color="auto" w:fill="auto"/>
                  <w:noWrap w:val="0"/>
                  <w:vAlign w:val="center"/>
                </w:tcPr>
                <w:p w14:paraId="0D791EDA">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废包装材料</w:t>
                  </w:r>
                </w:p>
              </w:tc>
              <w:tc>
                <w:tcPr>
                  <w:tcW w:w="4458" w:type="dxa"/>
                  <w:gridSpan w:val="2"/>
                  <w:tcBorders>
                    <w:tl2br w:val="nil"/>
                    <w:tr2bl w:val="nil"/>
                  </w:tcBorders>
                  <w:shd w:val="clear" w:color="auto" w:fill="auto"/>
                  <w:noWrap w:val="0"/>
                  <w:vAlign w:val="center"/>
                </w:tcPr>
                <w:p w14:paraId="6AD205CC">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废包装材料</w:t>
                  </w:r>
                </w:p>
              </w:tc>
            </w:tr>
            <w:tr w14:paraId="34552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76E6498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75C5C8D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S7</w:t>
                  </w:r>
                </w:p>
              </w:tc>
              <w:tc>
                <w:tcPr>
                  <w:tcW w:w="1670" w:type="dxa"/>
                  <w:tcBorders>
                    <w:tl2br w:val="nil"/>
                    <w:tr2bl w:val="nil"/>
                  </w:tcBorders>
                  <w:shd w:val="clear" w:color="auto" w:fill="auto"/>
                  <w:noWrap w:val="0"/>
                  <w:vAlign w:val="center"/>
                </w:tcPr>
                <w:p w14:paraId="122EA67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w:t>
                  </w:r>
                </w:p>
              </w:tc>
              <w:tc>
                <w:tcPr>
                  <w:tcW w:w="1101" w:type="dxa"/>
                  <w:tcBorders>
                    <w:tl2br w:val="nil"/>
                    <w:tr2bl w:val="nil"/>
                  </w:tcBorders>
                  <w:shd w:val="clear" w:color="auto" w:fill="auto"/>
                  <w:noWrap w:val="0"/>
                  <w:vAlign w:val="center"/>
                </w:tcPr>
                <w:p w14:paraId="098B0660">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w:t>
                  </w:r>
                </w:p>
              </w:tc>
              <w:tc>
                <w:tcPr>
                  <w:tcW w:w="4458" w:type="dxa"/>
                  <w:gridSpan w:val="2"/>
                  <w:tcBorders>
                    <w:tl2br w:val="nil"/>
                    <w:tr2bl w:val="nil"/>
                  </w:tcBorders>
                  <w:shd w:val="clear" w:color="auto" w:fill="auto"/>
                  <w:noWrap w:val="0"/>
                  <w:vAlign w:val="center"/>
                </w:tcPr>
                <w:p w14:paraId="25C83BA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w:t>
                  </w:r>
                </w:p>
              </w:tc>
            </w:tr>
            <w:tr w14:paraId="15819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70" w:type="dxa"/>
                  <w:vMerge w:val="restart"/>
                  <w:tcBorders>
                    <w:tl2br w:val="nil"/>
                    <w:tr2bl w:val="nil"/>
                  </w:tcBorders>
                  <w:noWrap w:val="0"/>
                  <w:vAlign w:val="center"/>
                </w:tcPr>
                <w:p w14:paraId="5F23D074">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废水</w:t>
                  </w:r>
                </w:p>
              </w:tc>
              <w:tc>
                <w:tcPr>
                  <w:tcW w:w="450" w:type="dxa"/>
                  <w:tcBorders>
                    <w:tl2br w:val="nil"/>
                    <w:tr2bl w:val="nil"/>
                  </w:tcBorders>
                  <w:noWrap w:val="0"/>
                  <w:vAlign w:val="center"/>
                </w:tcPr>
                <w:p w14:paraId="5BDA3F8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W1</w:t>
                  </w:r>
                </w:p>
              </w:tc>
              <w:tc>
                <w:tcPr>
                  <w:tcW w:w="1670" w:type="dxa"/>
                  <w:tcBorders>
                    <w:tl2br w:val="nil"/>
                    <w:tr2bl w:val="nil"/>
                  </w:tcBorders>
                  <w:noWrap w:val="0"/>
                  <w:vAlign w:val="center"/>
                </w:tcPr>
                <w:p w14:paraId="2325C11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手术治疗</w:t>
                  </w:r>
                </w:p>
              </w:tc>
              <w:tc>
                <w:tcPr>
                  <w:tcW w:w="1101" w:type="dxa"/>
                  <w:tcBorders>
                    <w:tl2br w:val="nil"/>
                    <w:tr2bl w:val="nil"/>
                  </w:tcBorders>
                  <w:noWrap w:val="0"/>
                  <w:vAlign w:val="center"/>
                </w:tcPr>
                <w:p w14:paraId="7882203A">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4"/>
                      <w:highlight w:val="none"/>
                      <w:lang w:val="en-US" w:eastAsia="zh-CN"/>
                    </w:rPr>
                    <w:t>手术废水</w:t>
                  </w:r>
                </w:p>
              </w:tc>
              <w:tc>
                <w:tcPr>
                  <w:tcW w:w="4458" w:type="dxa"/>
                  <w:gridSpan w:val="2"/>
                  <w:tcBorders>
                    <w:tl2br w:val="nil"/>
                    <w:tr2bl w:val="nil"/>
                  </w:tcBorders>
                  <w:noWrap w:val="0"/>
                  <w:vAlign w:val="center"/>
                </w:tcPr>
                <w:p w14:paraId="78B40AD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粪大肠菌群</w:t>
                  </w:r>
                </w:p>
              </w:tc>
            </w:tr>
            <w:tr w14:paraId="5A744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7D6BAF1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79AE9779">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W2</w:t>
                  </w:r>
                </w:p>
              </w:tc>
              <w:tc>
                <w:tcPr>
                  <w:tcW w:w="1670" w:type="dxa"/>
                  <w:tcBorders>
                    <w:tl2br w:val="nil"/>
                    <w:tr2bl w:val="nil"/>
                  </w:tcBorders>
                  <w:shd w:val="clear" w:color="auto" w:fill="auto"/>
                  <w:noWrap w:val="0"/>
                  <w:vAlign w:val="center"/>
                </w:tcPr>
                <w:p w14:paraId="4C5FF99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手术治疗</w:t>
                  </w:r>
                </w:p>
              </w:tc>
              <w:tc>
                <w:tcPr>
                  <w:tcW w:w="1101" w:type="dxa"/>
                  <w:tcBorders>
                    <w:tl2br w:val="nil"/>
                    <w:tr2bl w:val="nil"/>
                  </w:tcBorders>
                  <w:shd w:val="clear" w:color="auto" w:fill="auto"/>
                  <w:noWrap w:val="0"/>
                  <w:vAlign w:val="center"/>
                </w:tcPr>
                <w:p w14:paraId="531BC46C">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4"/>
                      <w:highlight w:val="none"/>
                      <w:lang w:val="en-US" w:eastAsia="zh-CN"/>
                    </w:rPr>
                    <w:t>手术器械清洗</w:t>
                  </w:r>
                  <w:r>
                    <w:rPr>
                      <w:rFonts w:hint="eastAsia" w:ascii="Times New Roman" w:hAnsi="Times New Roman" w:eastAsia="宋体" w:cs="Times New Roman"/>
                      <w:b w:val="0"/>
                      <w:bCs w:val="0"/>
                      <w:color w:val="auto"/>
                      <w:sz w:val="21"/>
                      <w:szCs w:val="21"/>
                      <w:highlight w:val="none"/>
                      <w:lang w:val="en-US" w:eastAsia="zh-CN"/>
                    </w:rPr>
                    <w:t>废水</w:t>
                  </w:r>
                </w:p>
              </w:tc>
              <w:tc>
                <w:tcPr>
                  <w:tcW w:w="4458" w:type="dxa"/>
                  <w:gridSpan w:val="2"/>
                  <w:tcBorders>
                    <w:tl2br w:val="nil"/>
                    <w:tr2bl w:val="nil"/>
                  </w:tcBorders>
                  <w:shd w:val="clear" w:color="auto" w:fill="auto"/>
                  <w:noWrap w:val="0"/>
                  <w:vAlign w:val="center"/>
                </w:tcPr>
                <w:p w14:paraId="297531D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粪大肠菌群</w:t>
                  </w:r>
                </w:p>
              </w:tc>
            </w:tr>
            <w:tr w14:paraId="1ABBD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298936A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05DD25D4">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W3</w:t>
                  </w:r>
                </w:p>
              </w:tc>
              <w:tc>
                <w:tcPr>
                  <w:tcW w:w="1670" w:type="dxa"/>
                  <w:tcBorders>
                    <w:tl2br w:val="nil"/>
                    <w:tr2bl w:val="nil"/>
                  </w:tcBorders>
                  <w:shd w:val="clear" w:color="auto" w:fill="auto"/>
                  <w:noWrap w:val="0"/>
                  <w:vAlign w:val="center"/>
                </w:tcPr>
                <w:p w14:paraId="7EBE99B4">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检验、化验诊断、疫苗接种、普通治疗、住院</w:t>
                  </w:r>
                </w:p>
              </w:tc>
              <w:tc>
                <w:tcPr>
                  <w:tcW w:w="1101" w:type="dxa"/>
                  <w:tcBorders>
                    <w:tl2br w:val="nil"/>
                    <w:tr2bl w:val="nil"/>
                  </w:tcBorders>
                  <w:shd w:val="clear" w:color="auto" w:fill="auto"/>
                  <w:noWrap w:val="0"/>
                  <w:vAlign w:val="center"/>
                </w:tcPr>
                <w:p w14:paraId="3A7ADFB1">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诊疗废水</w:t>
                  </w:r>
                </w:p>
              </w:tc>
              <w:tc>
                <w:tcPr>
                  <w:tcW w:w="4458" w:type="dxa"/>
                  <w:gridSpan w:val="2"/>
                  <w:tcBorders>
                    <w:tl2br w:val="nil"/>
                    <w:tr2bl w:val="nil"/>
                  </w:tcBorders>
                  <w:shd w:val="clear" w:color="auto" w:fill="auto"/>
                  <w:noWrap w:val="0"/>
                  <w:vAlign w:val="center"/>
                </w:tcPr>
                <w:p w14:paraId="31CFD26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粪大肠菌群</w:t>
                  </w:r>
                </w:p>
              </w:tc>
            </w:tr>
            <w:tr w14:paraId="59570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70" w:type="dxa"/>
                  <w:vMerge w:val="continue"/>
                  <w:tcBorders>
                    <w:tl2br w:val="nil"/>
                    <w:tr2bl w:val="nil"/>
                  </w:tcBorders>
                  <w:noWrap w:val="0"/>
                  <w:vAlign w:val="center"/>
                </w:tcPr>
                <w:p w14:paraId="1C3B7A5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6996AD7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W4</w:t>
                  </w:r>
                </w:p>
              </w:tc>
              <w:tc>
                <w:tcPr>
                  <w:tcW w:w="1670" w:type="dxa"/>
                  <w:tcBorders>
                    <w:tl2br w:val="nil"/>
                    <w:tr2bl w:val="nil"/>
                  </w:tcBorders>
                  <w:shd w:val="clear" w:color="auto" w:fill="auto"/>
                  <w:noWrap w:val="0"/>
                  <w:vAlign w:val="center"/>
                </w:tcPr>
                <w:p w14:paraId="60A4659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住院</w:t>
                  </w:r>
                </w:p>
              </w:tc>
              <w:tc>
                <w:tcPr>
                  <w:tcW w:w="1101" w:type="dxa"/>
                  <w:tcBorders>
                    <w:tl2br w:val="nil"/>
                    <w:tr2bl w:val="nil"/>
                  </w:tcBorders>
                  <w:shd w:val="clear" w:color="auto" w:fill="auto"/>
                  <w:noWrap w:val="0"/>
                  <w:vAlign w:val="center"/>
                </w:tcPr>
                <w:p w14:paraId="67D01A4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宠物笼清洗废水</w:t>
                  </w:r>
                </w:p>
              </w:tc>
              <w:tc>
                <w:tcPr>
                  <w:tcW w:w="4458" w:type="dxa"/>
                  <w:gridSpan w:val="2"/>
                  <w:tcBorders>
                    <w:tl2br w:val="nil"/>
                    <w:tr2bl w:val="nil"/>
                  </w:tcBorders>
                  <w:shd w:val="clear" w:color="auto" w:fill="auto"/>
                  <w:noWrap w:val="0"/>
                  <w:vAlign w:val="center"/>
                </w:tcPr>
                <w:p w14:paraId="668AC77E">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粪大肠菌群</w:t>
                  </w:r>
                </w:p>
              </w:tc>
            </w:tr>
            <w:tr w14:paraId="07608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103E082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4D0FD59D">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W5</w:t>
                  </w:r>
                </w:p>
              </w:tc>
              <w:tc>
                <w:tcPr>
                  <w:tcW w:w="1670" w:type="dxa"/>
                  <w:tcBorders>
                    <w:tl2br w:val="nil"/>
                    <w:tr2bl w:val="nil"/>
                  </w:tcBorders>
                  <w:shd w:val="clear" w:color="auto" w:fill="auto"/>
                  <w:noWrap w:val="0"/>
                  <w:vAlign w:val="center"/>
                </w:tcPr>
                <w:p w14:paraId="323ADC0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美容</w:t>
                  </w:r>
                </w:p>
              </w:tc>
              <w:tc>
                <w:tcPr>
                  <w:tcW w:w="1101" w:type="dxa"/>
                  <w:tcBorders>
                    <w:tl2br w:val="nil"/>
                    <w:tr2bl w:val="nil"/>
                  </w:tcBorders>
                  <w:shd w:val="clear" w:color="auto" w:fill="auto"/>
                  <w:noWrap w:val="0"/>
                  <w:vAlign w:val="center"/>
                </w:tcPr>
                <w:p w14:paraId="3A984BC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宠物洗浴废水</w:t>
                  </w:r>
                </w:p>
              </w:tc>
              <w:tc>
                <w:tcPr>
                  <w:tcW w:w="4458" w:type="dxa"/>
                  <w:gridSpan w:val="2"/>
                  <w:tcBorders>
                    <w:tl2br w:val="nil"/>
                    <w:tr2bl w:val="nil"/>
                  </w:tcBorders>
                  <w:shd w:val="clear" w:color="auto" w:fill="auto"/>
                  <w:noWrap w:val="0"/>
                  <w:vAlign w:val="center"/>
                </w:tcPr>
                <w:p w14:paraId="6555148B">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pH、COD、SS、LAS、总磷</w:t>
                  </w:r>
                </w:p>
              </w:tc>
            </w:tr>
            <w:tr w14:paraId="01DB2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4F3030E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283F4439">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W6</w:t>
                  </w:r>
                </w:p>
              </w:tc>
              <w:tc>
                <w:tcPr>
                  <w:tcW w:w="1670" w:type="dxa"/>
                  <w:tcBorders>
                    <w:tl2br w:val="nil"/>
                    <w:tr2bl w:val="nil"/>
                  </w:tcBorders>
                  <w:shd w:val="clear" w:color="auto" w:fill="auto"/>
                  <w:noWrap w:val="0"/>
                  <w:vAlign w:val="center"/>
                </w:tcPr>
                <w:p w14:paraId="011D6F8A">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地面清洁</w:t>
                  </w:r>
                </w:p>
              </w:tc>
              <w:tc>
                <w:tcPr>
                  <w:tcW w:w="1101" w:type="dxa"/>
                  <w:tcBorders>
                    <w:tl2br w:val="nil"/>
                    <w:tr2bl w:val="nil"/>
                  </w:tcBorders>
                  <w:shd w:val="clear" w:color="auto" w:fill="auto"/>
                  <w:noWrap w:val="0"/>
                  <w:vAlign w:val="center"/>
                </w:tcPr>
                <w:p w14:paraId="1F51ADA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地面清洁废水</w:t>
                  </w:r>
                </w:p>
              </w:tc>
              <w:tc>
                <w:tcPr>
                  <w:tcW w:w="4458" w:type="dxa"/>
                  <w:gridSpan w:val="2"/>
                  <w:tcBorders>
                    <w:tl2br w:val="nil"/>
                    <w:tr2bl w:val="nil"/>
                  </w:tcBorders>
                  <w:shd w:val="clear" w:color="auto" w:fill="auto"/>
                  <w:noWrap w:val="0"/>
                  <w:vAlign w:val="center"/>
                </w:tcPr>
                <w:p w14:paraId="5AE0097D">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b w:val="0"/>
                      <w:bCs w:val="0"/>
                      <w:color w:val="auto"/>
                      <w:sz w:val="21"/>
                      <w:szCs w:val="21"/>
                      <w:highlight w:val="none"/>
                      <w:lang w:val="en-US" w:eastAsia="zh-CN"/>
                    </w:rPr>
                    <w:t>COD、</w:t>
                  </w:r>
                  <w:r>
                    <w:rPr>
                      <w:rFonts w:hint="default" w:ascii="Times New Roman" w:hAnsi="Times New Roman" w:eastAsia="宋体" w:cs="Times New Roman"/>
                      <w:color w:val="auto"/>
                      <w:sz w:val="21"/>
                      <w:szCs w:val="21"/>
                      <w:highlight w:val="none"/>
                      <w:lang w:val="en-US" w:eastAsia="zh-CN"/>
                    </w:rPr>
                    <w:t>SS</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r>
            <w:tr w14:paraId="1EEBB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2668B1A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shd w:val="clear" w:color="auto" w:fill="auto"/>
                  <w:noWrap w:val="0"/>
                  <w:vAlign w:val="center"/>
                </w:tcPr>
                <w:p w14:paraId="15A1255C">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W7</w:t>
                  </w:r>
                </w:p>
              </w:tc>
              <w:tc>
                <w:tcPr>
                  <w:tcW w:w="1670" w:type="dxa"/>
                  <w:tcBorders>
                    <w:tl2br w:val="nil"/>
                    <w:tr2bl w:val="nil"/>
                  </w:tcBorders>
                  <w:shd w:val="clear" w:color="auto" w:fill="auto"/>
                  <w:noWrap w:val="0"/>
                  <w:vAlign w:val="center"/>
                </w:tcPr>
                <w:p w14:paraId="4FC72601">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工服、毛毯清洗</w:t>
                  </w:r>
                </w:p>
              </w:tc>
              <w:tc>
                <w:tcPr>
                  <w:tcW w:w="1101" w:type="dxa"/>
                  <w:tcBorders>
                    <w:tl2br w:val="nil"/>
                    <w:tr2bl w:val="nil"/>
                  </w:tcBorders>
                  <w:shd w:val="clear" w:color="auto" w:fill="auto"/>
                  <w:noWrap w:val="0"/>
                  <w:vAlign w:val="center"/>
                </w:tcPr>
                <w:p w14:paraId="2747DCC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洗衣废水</w:t>
                  </w:r>
                </w:p>
              </w:tc>
              <w:tc>
                <w:tcPr>
                  <w:tcW w:w="4458" w:type="dxa"/>
                  <w:gridSpan w:val="2"/>
                  <w:tcBorders>
                    <w:tl2br w:val="nil"/>
                    <w:tr2bl w:val="nil"/>
                  </w:tcBorders>
                  <w:shd w:val="clear" w:color="auto" w:fill="auto"/>
                  <w:noWrap w:val="0"/>
                  <w:vAlign w:val="center"/>
                </w:tcPr>
                <w:p w14:paraId="7DECB751">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pH、COD、SS、LAS、总磷</w:t>
                  </w:r>
                </w:p>
              </w:tc>
            </w:tr>
            <w:tr w14:paraId="03EE2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vMerge w:val="continue"/>
                  <w:tcBorders>
                    <w:tl2br w:val="nil"/>
                    <w:tr2bl w:val="nil"/>
                  </w:tcBorders>
                  <w:noWrap w:val="0"/>
                  <w:vAlign w:val="center"/>
                </w:tcPr>
                <w:p w14:paraId="035A140D">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dxa"/>
                  <w:tcBorders>
                    <w:tl2br w:val="nil"/>
                    <w:tr2bl w:val="nil"/>
                  </w:tcBorders>
                  <w:noWrap w:val="0"/>
                  <w:vAlign w:val="center"/>
                </w:tcPr>
                <w:p w14:paraId="66AC4F8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W8</w:t>
                  </w:r>
                </w:p>
              </w:tc>
              <w:tc>
                <w:tcPr>
                  <w:tcW w:w="1670" w:type="dxa"/>
                  <w:tcBorders>
                    <w:tl2br w:val="nil"/>
                    <w:tr2bl w:val="nil"/>
                  </w:tcBorders>
                  <w:shd w:val="clear" w:color="auto" w:fill="auto"/>
                  <w:noWrap w:val="0"/>
                  <w:vAlign w:val="center"/>
                </w:tcPr>
                <w:p w14:paraId="3188AC6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员工生活、顾客生活</w:t>
                  </w:r>
                </w:p>
              </w:tc>
              <w:tc>
                <w:tcPr>
                  <w:tcW w:w="1101" w:type="dxa"/>
                  <w:tcBorders>
                    <w:tl2br w:val="nil"/>
                    <w:tr2bl w:val="nil"/>
                  </w:tcBorders>
                  <w:shd w:val="clear" w:color="auto" w:fill="auto"/>
                  <w:noWrap w:val="0"/>
                  <w:vAlign w:val="center"/>
                </w:tcPr>
                <w:p w14:paraId="3957DCD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流动顾客废水</w:t>
                  </w:r>
                </w:p>
              </w:tc>
              <w:tc>
                <w:tcPr>
                  <w:tcW w:w="4458" w:type="dxa"/>
                  <w:gridSpan w:val="2"/>
                  <w:tcBorders>
                    <w:tl2br w:val="nil"/>
                    <w:tr2bl w:val="nil"/>
                  </w:tcBorders>
                  <w:shd w:val="clear" w:color="auto" w:fill="auto"/>
                  <w:noWrap w:val="0"/>
                  <w:vAlign w:val="center"/>
                </w:tcPr>
                <w:p w14:paraId="1E25FFAF">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pH、COD、SS、BOD</w:t>
                  </w:r>
                  <w:r>
                    <w:rPr>
                      <w:rFonts w:hint="default" w:ascii="Times New Roman" w:hAnsi="Times New Roman" w:eastAsia="宋体" w:cs="Times New Roman"/>
                      <w:color w:val="auto"/>
                      <w:kern w:val="2"/>
                      <w:sz w:val="21"/>
                      <w:szCs w:val="21"/>
                      <w:highlight w:val="none"/>
                      <w:vertAlign w:val="subscript"/>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、氨氮、总磷</w:t>
                  </w:r>
                </w:p>
              </w:tc>
            </w:tr>
            <w:tr w14:paraId="5D792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0" w:type="dxa"/>
                  <w:tcBorders>
                    <w:tl2br w:val="nil"/>
                    <w:tr2bl w:val="nil"/>
                  </w:tcBorders>
                  <w:noWrap w:val="0"/>
                  <w:vAlign w:val="center"/>
                </w:tcPr>
                <w:p w14:paraId="36F00CA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450" w:type="dxa"/>
                  <w:tcBorders>
                    <w:tl2br w:val="nil"/>
                    <w:tr2bl w:val="nil"/>
                  </w:tcBorders>
                  <w:noWrap w:val="0"/>
                  <w:vAlign w:val="center"/>
                </w:tcPr>
                <w:p w14:paraId="1F69E96E">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N</w:t>
                  </w:r>
                </w:p>
              </w:tc>
              <w:tc>
                <w:tcPr>
                  <w:tcW w:w="1670" w:type="dxa"/>
                  <w:tcBorders>
                    <w:tl2br w:val="nil"/>
                    <w:tr2bl w:val="nil"/>
                  </w:tcBorders>
                  <w:noWrap w:val="0"/>
                  <w:vAlign w:val="center"/>
                </w:tcPr>
                <w:p w14:paraId="2FDC3209">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动物叫声</w:t>
                  </w:r>
                </w:p>
              </w:tc>
              <w:tc>
                <w:tcPr>
                  <w:tcW w:w="1101" w:type="dxa"/>
                  <w:tcBorders>
                    <w:tl2br w:val="nil"/>
                    <w:tr2bl w:val="nil"/>
                  </w:tcBorders>
                  <w:noWrap w:val="0"/>
                  <w:vAlign w:val="center"/>
                </w:tcPr>
                <w:p w14:paraId="7EE5F478">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4458" w:type="dxa"/>
                  <w:gridSpan w:val="2"/>
                  <w:tcBorders>
                    <w:tl2br w:val="nil"/>
                    <w:tr2bl w:val="nil"/>
                  </w:tcBorders>
                  <w:noWrap w:val="0"/>
                  <w:vAlign w:val="center"/>
                </w:tcPr>
                <w:p w14:paraId="13A366AD">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r>
          </w:tbl>
          <w:p w14:paraId="779257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color w:val="auto"/>
                <w:sz w:val="24"/>
                <w:szCs w:val="24"/>
                <w:lang w:eastAsia="zh-CN"/>
              </w:rPr>
            </w:pPr>
          </w:p>
        </w:tc>
      </w:tr>
      <w:tr w14:paraId="56183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85" w:type="dxa"/>
            <w:noWrap w:val="0"/>
            <w:vAlign w:val="center"/>
          </w:tcPr>
          <w:p w14:paraId="6A4BB27E">
            <w:pPr>
              <w:pStyle w:val="17"/>
              <w:adjustRightInd w:val="0"/>
              <w:snapToGrid w:val="0"/>
              <w:spacing w:before="0" w:beforeAutospacing="0" w:after="0" w:afterAutospacing="0"/>
              <w:jc w:val="center"/>
              <w:rPr>
                <w:rFonts w:cs="宋体"/>
                <w:color w:val="auto"/>
                <w:sz w:val="21"/>
                <w:szCs w:val="21"/>
              </w:rPr>
            </w:pPr>
            <w:r>
              <w:rPr>
                <w:rFonts w:hint="eastAsia" w:cs="宋体"/>
                <w:bCs/>
                <w:color w:val="auto"/>
                <w:kern w:val="2"/>
                <w:sz w:val="24"/>
                <w:szCs w:val="24"/>
              </w:rPr>
              <w:t>与项目有关的原有环境污染问题</w:t>
            </w:r>
          </w:p>
        </w:tc>
        <w:tc>
          <w:tcPr>
            <w:tcW w:w="8499" w:type="dxa"/>
            <w:noWrap w:val="0"/>
            <w:vAlign w:val="top"/>
          </w:tcPr>
          <w:p w14:paraId="43D3D3D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2.1</w:t>
            </w:r>
            <w:r>
              <w:rPr>
                <w:rFonts w:hint="eastAsia" w:cs="Times New Roman"/>
                <w:b/>
                <w:bCs w:val="0"/>
                <w:color w:val="auto"/>
                <w:sz w:val="24"/>
                <w:szCs w:val="24"/>
                <w:lang w:val="en-US" w:eastAsia="zh-CN"/>
              </w:rPr>
              <w:t>0</w:t>
            </w:r>
            <w:r>
              <w:rPr>
                <w:rFonts w:hint="default" w:ascii="Times New Roman" w:hAnsi="Times New Roman" w:eastAsia="宋体" w:cs="Times New Roman"/>
                <w:b/>
                <w:bCs w:val="0"/>
                <w:color w:val="auto"/>
                <w:sz w:val="24"/>
                <w:szCs w:val="24"/>
              </w:rPr>
              <w:t>与项目有关的原有环境污染问题</w:t>
            </w:r>
          </w:p>
          <w:p w14:paraId="4C636F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1、废气</w:t>
            </w:r>
          </w:p>
          <w:p w14:paraId="5CF435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项目</w:t>
            </w:r>
            <w:r>
              <w:rPr>
                <w:rFonts w:hint="eastAsia" w:cs="Times New Roman"/>
                <w:bCs/>
                <w:color w:val="auto"/>
                <w:sz w:val="24"/>
                <w:szCs w:val="24"/>
                <w:highlight w:val="none"/>
                <w:lang w:val="en-US" w:eastAsia="zh-CN"/>
              </w:rPr>
              <w:t>废气主要为宠物自身的异味和医疗废物暂存的异味，医院</w:t>
            </w:r>
            <w:r>
              <w:rPr>
                <w:rFonts w:hint="default" w:ascii="Times New Roman" w:hAnsi="Times New Roman" w:cs="Times New Roman"/>
                <w:bCs/>
                <w:color w:val="auto"/>
                <w:sz w:val="24"/>
                <w:szCs w:val="24"/>
                <w:highlight w:val="none"/>
                <w:lang w:val="en-US" w:eastAsia="zh-CN"/>
              </w:rPr>
              <w:t>采用自然通风和空调系统结合的形式进行通风</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病房设有紫外线灯管消毒杀菌</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每天使用</w:t>
            </w:r>
            <w:r>
              <w:rPr>
                <w:rFonts w:hint="eastAsia" w:cs="Times New Roman"/>
                <w:bCs/>
                <w:color w:val="auto"/>
                <w:sz w:val="24"/>
                <w:szCs w:val="24"/>
                <w:highlight w:val="none"/>
                <w:lang w:val="en-US" w:eastAsia="zh-CN"/>
              </w:rPr>
              <w:t>新洁尔灭、84消毒液</w:t>
            </w:r>
            <w:r>
              <w:rPr>
                <w:rFonts w:hint="default" w:ascii="Times New Roman" w:hAnsi="Times New Roman" w:cs="Times New Roman"/>
                <w:bCs/>
                <w:color w:val="auto"/>
                <w:sz w:val="24"/>
                <w:szCs w:val="24"/>
                <w:highlight w:val="none"/>
                <w:lang w:val="en-US" w:eastAsia="zh-CN"/>
              </w:rPr>
              <w:t>对医院进行</w:t>
            </w:r>
            <w:r>
              <w:rPr>
                <w:rFonts w:hint="eastAsia" w:cs="Times New Roman"/>
                <w:bCs/>
                <w:color w:val="auto"/>
                <w:sz w:val="24"/>
                <w:szCs w:val="24"/>
                <w:highlight w:val="none"/>
                <w:lang w:val="en-US" w:eastAsia="zh-CN"/>
              </w:rPr>
              <w:t>喷洒</w:t>
            </w:r>
            <w:r>
              <w:rPr>
                <w:rFonts w:hint="default" w:ascii="Times New Roman" w:hAnsi="Times New Roman" w:cs="Times New Roman"/>
                <w:bCs/>
                <w:color w:val="auto"/>
                <w:sz w:val="24"/>
                <w:szCs w:val="24"/>
                <w:highlight w:val="none"/>
                <w:lang w:val="en-US" w:eastAsia="zh-CN"/>
              </w:rPr>
              <w:t>消毒，</w:t>
            </w:r>
            <w:r>
              <w:rPr>
                <w:rFonts w:hint="eastAsia" w:cs="Times New Roman"/>
                <w:bCs/>
                <w:color w:val="auto"/>
                <w:sz w:val="24"/>
                <w:szCs w:val="24"/>
                <w:highlight w:val="none"/>
                <w:lang w:val="en-US" w:eastAsia="zh-CN"/>
              </w:rPr>
              <w:t>废水</w:t>
            </w:r>
            <w:r>
              <w:rPr>
                <w:rFonts w:hint="eastAsia" w:ascii="Times New Roman" w:hAnsi="Times New Roman" w:cs="Times New Roman"/>
                <w:bCs/>
                <w:color w:val="auto"/>
                <w:sz w:val="24"/>
                <w:szCs w:val="24"/>
                <w:highlight w:val="none"/>
                <w:lang w:val="en-US" w:eastAsia="zh-CN"/>
              </w:rPr>
              <w:t>消毒设施</w:t>
            </w:r>
            <w:r>
              <w:rPr>
                <w:rFonts w:hint="default" w:ascii="Times New Roman" w:hAnsi="Times New Roman" w:cs="Times New Roman"/>
                <w:bCs/>
                <w:color w:val="auto"/>
                <w:sz w:val="24"/>
                <w:szCs w:val="24"/>
                <w:highlight w:val="none"/>
                <w:lang w:val="en-US" w:eastAsia="zh-CN"/>
              </w:rPr>
              <w:t>密闭处理。经调查医院运行至今未发生</w:t>
            </w:r>
            <w:r>
              <w:rPr>
                <w:rFonts w:hint="eastAsia" w:ascii="Times New Roman" w:hAnsi="Times New Roman" w:cs="Times New Roman"/>
                <w:bCs/>
                <w:color w:val="auto"/>
                <w:sz w:val="24"/>
                <w:szCs w:val="24"/>
                <w:highlight w:val="none"/>
                <w:lang w:val="en-US" w:eastAsia="zh-CN"/>
              </w:rPr>
              <w:t>超标排放或</w:t>
            </w:r>
            <w:r>
              <w:rPr>
                <w:rFonts w:hint="default" w:ascii="Times New Roman" w:hAnsi="Times New Roman" w:cs="Times New Roman"/>
                <w:bCs/>
                <w:color w:val="auto"/>
                <w:sz w:val="24"/>
                <w:szCs w:val="24"/>
                <w:highlight w:val="none"/>
                <w:lang w:val="en-US" w:eastAsia="zh-CN"/>
              </w:rPr>
              <w:t>环境污染问题。</w:t>
            </w:r>
          </w:p>
          <w:p w14:paraId="581170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left"/>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2、废水</w:t>
            </w:r>
          </w:p>
          <w:p w14:paraId="43E438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现有项目产生的废水主要为宠物诊断治疗过程中产生的医疗废水</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其他废水</w:t>
            </w:r>
            <w:r>
              <w:rPr>
                <w:rFonts w:hint="eastAsia" w:ascii="Times New Roman" w:hAnsi="Times New Roman" w:cs="Times New Roman"/>
                <w:bCs/>
                <w:color w:val="auto"/>
                <w:sz w:val="24"/>
                <w:szCs w:val="24"/>
                <w:highlight w:val="none"/>
                <w:lang w:val="en-US" w:eastAsia="zh-CN"/>
              </w:rPr>
              <w:t>和</w:t>
            </w:r>
            <w:r>
              <w:rPr>
                <w:rFonts w:hint="default" w:ascii="Times New Roman" w:hAnsi="Times New Roman" w:cs="Times New Roman"/>
                <w:bCs/>
                <w:color w:val="auto"/>
                <w:sz w:val="24"/>
                <w:szCs w:val="24"/>
                <w:highlight w:val="none"/>
              </w:rPr>
              <w:t>生活污水。手术废水、手术器械清洗废水收集后进入1#消毒设施，诊疗废水、宠物笼清洗废水收集后进入2#消毒设施，医疗废水经</w:t>
            </w:r>
            <w:r>
              <w:rPr>
                <w:rFonts w:hint="eastAsia" w:cs="Times New Roman"/>
                <w:bCs/>
                <w:color w:val="auto"/>
                <w:sz w:val="24"/>
                <w:szCs w:val="24"/>
                <w:highlight w:val="none"/>
                <w:lang w:val="en-US" w:eastAsia="zh-CN"/>
              </w:rPr>
              <w:t>相应的</w:t>
            </w:r>
            <w:r>
              <w:rPr>
                <w:rFonts w:hint="eastAsia" w:ascii="Times New Roman" w:hAnsi="Times New Roman" w:cs="Times New Roman"/>
                <w:bCs/>
                <w:color w:val="auto"/>
                <w:sz w:val="24"/>
                <w:szCs w:val="24"/>
                <w:highlight w:val="none"/>
                <w:lang w:val="en-US" w:eastAsia="zh-CN"/>
              </w:rPr>
              <w:t>消毒设施</w:t>
            </w:r>
            <w:r>
              <w:rPr>
                <w:rFonts w:hint="default" w:ascii="Times New Roman" w:hAnsi="Times New Roman" w:cs="Times New Roman"/>
                <w:bCs/>
                <w:color w:val="auto"/>
                <w:sz w:val="24"/>
                <w:szCs w:val="24"/>
                <w:highlight w:val="none"/>
              </w:rPr>
              <w:t>预处理后</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出水参照执行《医疗机构水污染物排放标准》</w:t>
            </w:r>
            <w:r>
              <w:rPr>
                <w:rFonts w:hint="eastAsia" w:cs="Times New Roman"/>
                <w:bCs/>
                <w:color w:val="auto"/>
                <w:sz w:val="24"/>
                <w:szCs w:val="24"/>
                <w:highlight w:val="none"/>
                <w:lang w:eastAsia="zh-CN"/>
              </w:rPr>
              <w:t>（GB18466-2005）</w:t>
            </w:r>
            <w:r>
              <w:rPr>
                <w:rFonts w:hint="default" w:ascii="Times New Roman" w:hAnsi="Times New Roman" w:cs="Times New Roman"/>
                <w:bCs/>
                <w:color w:val="auto"/>
                <w:sz w:val="24"/>
                <w:szCs w:val="24"/>
                <w:highlight w:val="none"/>
              </w:rPr>
              <w:t>预处理</w:t>
            </w:r>
            <w:r>
              <w:rPr>
                <w:rFonts w:hint="eastAsia" w:ascii="Times New Roman" w:hAnsi="Times New Roman" w:cs="Times New Roman"/>
                <w:bCs/>
                <w:color w:val="auto"/>
                <w:sz w:val="24"/>
                <w:szCs w:val="24"/>
                <w:highlight w:val="none"/>
                <w:lang w:val="en-US" w:eastAsia="zh-CN"/>
              </w:rPr>
              <w:t>标准</w:t>
            </w:r>
            <w:r>
              <w:rPr>
                <w:rFonts w:hint="eastAsia"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rPr>
              <w:t>与生活污水、</w:t>
            </w:r>
            <w:r>
              <w:rPr>
                <w:rFonts w:hint="eastAsia" w:cs="Times New Roman"/>
                <w:bCs/>
                <w:color w:val="auto"/>
                <w:sz w:val="24"/>
                <w:szCs w:val="24"/>
                <w:highlight w:val="none"/>
                <w:lang w:eastAsia="zh-CN"/>
              </w:rPr>
              <w:t>其他废水</w:t>
            </w:r>
            <w:r>
              <w:rPr>
                <w:rFonts w:hint="default" w:ascii="Times New Roman" w:hAnsi="Times New Roman" w:cs="Times New Roman"/>
                <w:bCs/>
                <w:color w:val="auto"/>
                <w:sz w:val="24"/>
                <w:szCs w:val="24"/>
                <w:highlight w:val="none"/>
              </w:rPr>
              <w:t>（其中宠物洗浴废水经过滤处理后）一起进入</w:t>
            </w:r>
            <w:r>
              <w:rPr>
                <w:rFonts w:hint="eastAsia" w:cs="Times New Roman"/>
                <w:bCs/>
                <w:color w:val="auto"/>
                <w:sz w:val="24"/>
                <w:szCs w:val="24"/>
                <w:highlight w:val="none"/>
                <w:lang w:eastAsia="zh-CN"/>
              </w:rPr>
              <w:t>金科阳光小镇6期</w:t>
            </w:r>
            <w:r>
              <w:rPr>
                <w:rFonts w:hint="default" w:ascii="Times New Roman" w:hAnsi="Times New Roman" w:cs="Times New Roman"/>
                <w:bCs/>
                <w:color w:val="auto"/>
                <w:sz w:val="24"/>
                <w:szCs w:val="24"/>
                <w:highlight w:val="none"/>
              </w:rPr>
              <w:t>已建生化池进行处理，达《污水综合排放标准》</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GB8978-1996</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三级标准后排入市政污水管网，再经</w:t>
            </w:r>
            <w:r>
              <w:rPr>
                <w:rFonts w:hint="eastAsia" w:cs="Times New Roman"/>
                <w:bCs/>
                <w:color w:val="auto"/>
                <w:sz w:val="24"/>
                <w:szCs w:val="24"/>
                <w:highlight w:val="none"/>
                <w:lang w:eastAsia="zh-CN"/>
              </w:rPr>
              <w:t>中梁山污水处理厂</w:t>
            </w:r>
            <w:r>
              <w:rPr>
                <w:rFonts w:hint="default" w:ascii="Times New Roman" w:hAnsi="Times New Roman" w:cs="Times New Roman"/>
                <w:bCs/>
                <w:color w:val="auto"/>
                <w:sz w:val="24"/>
                <w:szCs w:val="24"/>
                <w:highlight w:val="none"/>
              </w:rPr>
              <w:t>处理达《城镇污水处理厂污染物排放标准》</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GB 18918-2002</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一级A标准后排入长江</w:t>
            </w:r>
            <w:r>
              <w:rPr>
                <w:rFonts w:hint="eastAsia"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经调查医院运行至今未发生</w:t>
            </w:r>
            <w:r>
              <w:rPr>
                <w:rFonts w:hint="eastAsia" w:ascii="Times New Roman" w:hAnsi="Times New Roman" w:cs="Times New Roman"/>
                <w:bCs/>
                <w:color w:val="auto"/>
                <w:sz w:val="24"/>
                <w:szCs w:val="24"/>
                <w:highlight w:val="none"/>
                <w:lang w:val="en-US" w:eastAsia="zh-CN"/>
              </w:rPr>
              <w:t>超标排放或</w:t>
            </w:r>
            <w:r>
              <w:rPr>
                <w:rFonts w:hint="default" w:ascii="Times New Roman" w:hAnsi="Times New Roman" w:cs="Times New Roman"/>
                <w:bCs/>
                <w:color w:val="auto"/>
                <w:sz w:val="24"/>
                <w:szCs w:val="24"/>
                <w:highlight w:val="none"/>
                <w:lang w:val="en-US" w:eastAsia="zh-CN"/>
              </w:rPr>
              <w:t>环境污染问题。</w:t>
            </w:r>
          </w:p>
          <w:p w14:paraId="03E8C2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0" w:leftChars="0" w:firstLine="480" w:firstLineChars="0"/>
              <w:jc w:val="left"/>
              <w:textAlignment w:val="auto"/>
              <w:rPr>
                <w:rFonts w:hint="eastAsia" w:cs="Times New Roman"/>
                <w:b w:val="0"/>
                <w:bCs/>
                <w:color w:val="auto"/>
                <w:sz w:val="24"/>
                <w:szCs w:val="24"/>
                <w:highlight w:val="none"/>
                <w:lang w:val="en-US" w:eastAsia="zh-CN"/>
              </w:rPr>
            </w:pPr>
            <w:r>
              <w:rPr>
                <w:rFonts w:hint="eastAsia" w:cs="Times New Roman"/>
                <w:b w:val="0"/>
                <w:bCs/>
                <w:color w:val="auto"/>
                <w:kern w:val="2"/>
                <w:sz w:val="24"/>
                <w:szCs w:val="24"/>
                <w:lang w:val="en-US" w:eastAsia="zh-CN" w:bidi="ar-SA"/>
              </w:rPr>
              <w:t>3、</w:t>
            </w:r>
            <w:r>
              <w:rPr>
                <w:rFonts w:hint="eastAsia" w:cs="Times New Roman"/>
                <w:b w:val="0"/>
                <w:bCs/>
                <w:color w:val="auto"/>
                <w:sz w:val="24"/>
                <w:szCs w:val="24"/>
                <w:highlight w:val="none"/>
                <w:lang w:val="en-US" w:eastAsia="zh-CN"/>
              </w:rPr>
              <w:t>噪声</w:t>
            </w:r>
          </w:p>
          <w:p w14:paraId="17DE08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现有项目无高噪声设备，主要为动物日常偶发噪声。根据重庆佳圆环境检测有限公司202</w:t>
            </w:r>
            <w:r>
              <w:rPr>
                <w:rFonts w:hint="eastAsia"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3</w:t>
            </w:r>
            <w:r>
              <w:rPr>
                <w:rFonts w:hint="default" w:ascii="Times New Roman" w:hAnsi="Times New Roman" w:cs="Times New Roman"/>
                <w:bCs/>
                <w:color w:val="auto"/>
                <w:sz w:val="24"/>
                <w:szCs w:val="24"/>
                <w:highlight w:val="none"/>
                <w:lang w:val="en-US" w:eastAsia="zh-CN"/>
              </w:rPr>
              <w:t>月</w:t>
            </w:r>
            <w:r>
              <w:rPr>
                <w:rFonts w:hint="eastAsia" w:cs="Times New Roman"/>
                <w:bCs/>
                <w:color w:val="auto"/>
                <w:sz w:val="24"/>
                <w:szCs w:val="24"/>
                <w:highlight w:val="none"/>
                <w:lang w:val="en-US" w:eastAsia="zh-CN"/>
              </w:rPr>
              <w:t>13</w:t>
            </w:r>
            <w:r>
              <w:rPr>
                <w:rFonts w:hint="default" w:ascii="Times New Roman" w:hAnsi="Times New Roman" w:cs="Times New Roman"/>
                <w:bCs/>
                <w:color w:val="auto"/>
                <w:sz w:val="24"/>
                <w:szCs w:val="24"/>
                <w:highlight w:val="none"/>
                <w:lang w:val="en-US" w:eastAsia="zh-CN"/>
              </w:rPr>
              <w:t>日的噪声监测结果，</w:t>
            </w:r>
            <w:r>
              <w:rPr>
                <w:rFonts w:hint="eastAsia" w:cs="Times New Roman"/>
                <w:bCs/>
                <w:color w:val="auto"/>
                <w:sz w:val="24"/>
                <w:szCs w:val="24"/>
                <w:highlight w:val="none"/>
                <w:lang w:val="en-US" w:eastAsia="zh-CN"/>
              </w:rPr>
              <w:t>项目西北侧</w:t>
            </w:r>
            <w:r>
              <w:rPr>
                <w:rFonts w:hint="default" w:ascii="Times New Roman" w:hAnsi="Times New Roman" w:cs="Times New Roman"/>
                <w:bCs/>
                <w:color w:val="auto"/>
                <w:sz w:val="24"/>
                <w:szCs w:val="24"/>
                <w:highlight w:val="none"/>
                <w:lang w:val="en-US" w:eastAsia="zh-CN"/>
              </w:rPr>
              <w:t>昼间</w:t>
            </w:r>
            <w:r>
              <w:rPr>
                <w:rFonts w:hint="eastAsia" w:cs="Times New Roman"/>
                <w:bCs/>
                <w:color w:val="auto"/>
                <w:sz w:val="24"/>
                <w:szCs w:val="24"/>
                <w:highlight w:val="none"/>
                <w:lang w:val="en-US" w:eastAsia="zh-CN"/>
              </w:rPr>
              <w:t>和夜间</w:t>
            </w:r>
            <w:r>
              <w:rPr>
                <w:rFonts w:hint="default" w:ascii="Times New Roman" w:hAnsi="Times New Roman" w:cs="Times New Roman"/>
                <w:bCs/>
                <w:color w:val="auto"/>
                <w:sz w:val="24"/>
                <w:szCs w:val="24"/>
                <w:highlight w:val="none"/>
                <w:lang w:val="en-US" w:eastAsia="zh-CN"/>
              </w:rPr>
              <w:t>噪声满足《声环境质量标准》</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GB 3096-2008</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中</w:t>
            </w:r>
            <w:r>
              <w:rPr>
                <w:rFonts w:hint="eastAsia"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类标准要求。经调查医院运行至今未发生环境污染和环保投诉问题。</w:t>
            </w:r>
          </w:p>
          <w:p w14:paraId="448853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0" w:leftChars="0" w:firstLine="480" w:firstLineChars="0"/>
              <w:jc w:val="left"/>
              <w:textAlignment w:val="auto"/>
              <w:rPr>
                <w:rFonts w:hint="eastAsia" w:cs="Times New Roman"/>
                <w:b w:val="0"/>
                <w:bCs/>
                <w:color w:val="auto"/>
                <w:sz w:val="24"/>
                <w:szCs w:val="24"/>
                <w:lang w:val="en-US" w:eastAsia="zh-CN"/>
              </w:rPr>
            </w:pPr>
            <w:r>
              <w:rPr>
                <w:rFonts w:hint="eastAsia" w:cs="Times New Roman"/>
                <w:b w:val="0"/>
                <w:bCs/>
                <w:color w:val="auto"/>
                <w:kern w:val="2"/>
                <w:sz w:val="24"/>
                <w:szCs w:val="24"/>
                <w:lang w:val="en-US" w:eastAsia="zh-CN" w:bidi="ar-SA"/>
              </w:rPr>
              <w:t>4、</w:t>
            </w:r>
            <w:r>
              <w:rPr>
                <w:rFonts w:hint="eastAsia" w:cs="Times New Roman"/>
                <w:b w:val="0"/>
                <w:bCs/>
                <w:color w:val="auto"/>
                <w:sz w:val="24"/>
                <w:szCs w:val="24"/>
                <w:lang w:val="en-US" w:eastAsia="zh-CN"/>
              </w:rPr>
              <w:t>固废</w:t>
            </w:r>
          </w:p>
          <w:p w14:paraId="0F7688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highlight w:val="none"/>
                <w:lang w:eastAsia="zh-CN"/>
              </w:rPr>
            </w:pPr>
            <w:r>
              <w:rPr>
                <w:rFonts w:hint="default" w:ascii="Times New Roman" w:hAnsi="Times New Roman" w:cs="Times New Roman"/>
                <w:bCs/>
                <w:color w:val="auto"/>
                <w:sz w:val="24"/>
                <w:szCs w:val="24"/>
                <w:highlight w:val="none"/>
                <w:lang w:val="en-US" w:eastAsia="zh-CN"/>
              </w:rPr>
              <w:t>现有项目产生的固体废物主要包括动物粪污、动物尸体、动物毛发、废包装材料</w:t>
            </w:r>
            <w:r>
              <w:rPr>
                <w:rFonts w:hint="eastAsia" w:ascii="Times New Roman" w:hAnsi="Times New Roman" w:cs="Times New Roman"/>
                <w:bCs/>
                <w:color w:val="auto"/>
                <w:sz w:val="24"/>
                <w:szCs w:val="24"/>
                <w:highlight w:val="none"/>
                <w:lang w:val="en-US" w:eastAsia="zh-CN"/>
              </w:rPr>
              <w:t>、</w:t>
            </w:r>
            <w:r>
              <w:rPr>
                <w:rFonts w:hint="eastAsia"/>
                <w:b w:val="0"/>
                <w:bCs w:val="0"/>
                <w:color w:val="auto"/>
                <w:sz w:val="24"/>
                <w:lang w:eastAsia="zh-CN"/>
              </w:rPr>
              <w:t>医疗废物、废紫外灯管、</w:t>
            </w:r>
            <w:r>
              <w:rPr>
                <w:rFonts w:hint="eastAsia" w:cs="Times New Roman"/>
                <w:bCs/>
                <w:color w:val="auto"/>
                <w:sz w:val="24"/>
                <w:szCs w:val="24"/>
                <w:highlight w:val="none"/>
                <w:lang w:val="en-US" w:eastAsia="zh-CN"/>
              </w:rPr>
              <w:t>生活垃圾等</w:t>
            </w:r>
            <w:r>
              <w:rPr>
                <w:rFonts w:hint="default" w:ascii="Times New Roman" w:hAnsi="Times New Roman" w:cs="Times New Roman"/>
                <w:bCs/>
                <w:color w:val="auto"/>
                <w:sz w:val="24"/>
                <w:szCs w:val="24"/>
                <w:highlight w:val="none"/>
                <w:lang w:val="en-US" w:eastAsia="zh-CN"/>
              </w:rPr>
              <w:t>。</w:t>
            </w:r>
            <w:r>
              <w:rPr>
                <w:rFonts w:hint="eastAsia"/>
                <w:b w:val="0"/>
                <w:bCs w:val="0"/>
                <w:color w:val="auto"/>
                <w:sz w:val="24"/>
                <w:highlight w:val="none"/>
                <w:lang w:eastAsia="zh-CN"/>
              </w:rPr>
              <w:t>动物粪污经消毒处理后交市政环卫部门；</w:t>
            </w:r>
            <w:r>
              <w:rPr>
                <w:rFonts w:hint="eastAsia"/>
                <w:b w:val="0"/>
                <w:bCs w:val="0"/>
                <w:color w:val="auto"/>
                <w:sz w:val="24"/>
                <w:highlight w:val="none"/>
                <w:lang w:val="en-US" w:eastAsia="zh-CN"/>
              </w:rPr>
              <w:t>动物毛发</w:t>
            </w:r>
            <w:r>
              <w:rPr>
                <w:rFonts w:hint="eastAsia"/>
                <w:b w:val="0"/>
                <w:bCs w:val="0"/>
                <w:color w:val="auto"/>
                <w:sz w:val="24"/>
                <w:highlight w:val="none"/>
                <w:lang w:eastAsia="zh-CN"/>
              </w:rPr>
              <w:t>交环卫部门统一收运；动物尸体</w:t>
            </w:r>
            <w:r>
              <w:rPr>
                <w:rFonts w:hint="eastAsia"/>
                <w:b w:val="0"/>
                <w:bCs w:val="0"/>
                <w:color w:val="auto"/>
                <w:sz w:val="24"/>
                <w:highlight w:val="none"/>
                <w:lang w:val="en-US" w:eastAsia="zh-CN"/>
              </w:rPr>
              <w:t>由</w:t>
            </w:r>
            <w:r>
              <w:rPr>
                <w:rFonts w:hint="eastAsia"/>
                <w:b w:val="0"/>
                <w:bCs/>
                <w:color w:val="auto"/>
                <w:sz w:val="24"/>
                <w:lang w:val="en-US" w:eastAsia="zh-CN"/>
              </w:rPr>
              <w:t>动物主人自行委托有资质单位进行无害化处理</w:t>
            </w:r>
            <w:r>
              <w:rPr>
                <w:rFonts w:hint="eastAsia"/>
                <w:b w:val="0"/>
                <w:bCs w:val="0"/>
                <w:color w:val="auto"/>
                <w:sz w:val="24"/>
                <w:highlight w:val="none"/>
                <w:lang w:eastAsia="zh-CN"/>
              </w:rPr>
              <w:t>；</w:t>
            </w:r>
            <w:r>
              <w:rPr>
                <w:rFonts w:hint="eastAsia"/>
                <w:b w:val="0"/>
                <w:bCs w:val="0"/>
                <w:color w:val="auto"/>
                <w:sz w:val="24"/>
                <w:highlight w:val="none"/>
                <w:lang w:val="en-US" w:eastAsia="zh-CN"/>
              </w:rPr>
              <w:t>废包装材料收集暂存于收集箱，定期外售给物资回收部门；</w:t>
            </w:r>
            <w:r>
              <w:rPr>
                <w:rFonts w:hint="eastAsia" w:ascii="Times New Roman" w:hAnsi="Times New Roman" w:cs="Times New Roman"/>
                <w:bCs/>
                <w:color w:val="auto"/>
                <w:sz w:val="24"/>
                <w:szCs w:val="24"/>
                <w:highlight w:val="none"/>
                <w:lang w:val="en-US" w:eastAsia="zh-CN"/>
              </w:rPr>
              <w:t>医疗废物中感染性废物、损伤性废物</w:t>
            </w:r>
            <w:r>
              <w:rPr>
                <w:rFonts w:hint="eastAsia" w:cs="Times New Roman"/>
                <w:bCs/>
                <w:color w:val="auto"/>
                <w:sz w:val="24"/>
                <w:szCs w:val="24"/>
                <w:highlight w:val="none"/>
                <w:lang w:val="en-US" w:eastAsia="zh-CN"/>
              </w:rPr>
              <w:t>、病理性废物、</w:t>
            </w:r>
            <w:r>
              <w:rPr>
                <w:rFonts w:hint="eastAsia" w:ascii="Times New Roman" w:hAnsi="Times New Roman" w:cs="Times New Roman"/>
                <w:bCs/>
                <w:color w:val="auto"/>
                <w:sz w:val="24"/>
                <w:szCs w:val="24"/>
                <w:highlight w:val="none"/>
                <w:lang w:val="en-US" w:eastAsia="zh-CN"/>
              </w:rPr>
              <w:t>药物性废物</w:t>
            </w:r>
            <w:r>
              <w:rPr>
                <w:rFonts w:hint="eastAsia" w:cs="Times New Roman"/>
                <w:bCs/>
                <w:color w:val="auto"/>
                <w:sz w:val="24"/>
                <w:szCs w:val="24"/>
                <w:highlight w:val="none"/>
                <w:lang w:val="en-US" w:eastAsia="zh-CN"/>
              </w:rPr>
              <w:t>、化学性废物收集暂存于医疗废物贮存点，定期交重庆可厚德环保技术有限公司</w:t>
            </w:r>
            <w:r>
              <w:rPr>
                <w:rFonts w:hint="eastAsia"/>
                <w:color w:val="auto"/>
                <w:sz w:val="24"/>
                <w:szCs w:val="24"/>
                <w:lang w:val="en-US" w:eastAsia="zh-CN"/>
              </w:rPr>
              <w:t>处置；废紫外线灯管收集后暂存于医疗废物贮存点，定期交有资质单位处置；</w:t>
            </w:r>
            <w:r>
              <w:rPr>
                <w:rFonts w:hint="eastAsia"/>
                <w:b w:val="0"/>
                <w:bCs w:val="0"/>
                <w:color w:val="auto"/>
                <w:sz w:val="24"/>
                <w:highlight w:val="none"/>
                <w:lang w:eastAsia="zh-CN"/>
              </w:rPr>
              <w:t>生活垃圾交环卫部门统一收运。</w:t>
            </w:r>
          </w:p>
          <w:p w14:paraId="030211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lang w:val="en-US" w:eastAsia="zh-CN"/>
              </w:rPr>
              <w:t>经调查</w:t>
            </w:r>
            <w:r>
              <w:rPr>
                <w:rFonts w:hint="eastAsia"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医院运行至今未发生环境污染和环保投诉问题。</w:t>
            </w:r>
          </w:p>
          <w:p w14:paraId="39102F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2.1</w:t>
            </w:r>
            <w:r>
              <w:rPr>
                <w:rFonts w:hint="eastAsia" w:cs="Times New Roman"/>
                <w:b/>
                <w:bCs w:val="0"/>
                <w:color w:val="auto"/>
                <w:sz w:val="24"/>
                <w:szCs w:val="24"/>
                <w:highlight w:val="none"/>
                <w:lang w:val="en-US" w:eastAsia="zh-CN"/>
              </w:rPr>
              <w:t>1</w:t>
            </w:r>
            <w:r>
              <w:rPr>
                <w:rFonts w:hint="default" w:ascii="Times New Roman" w:hAnsi="Times New Roman" w:cs="Times New Roman"/>
                <w:b/>
                <w:bCs w:val="0"/>
                <w:color w:val="auto"/>
                <w:sz w:val="24"/>
                <w:szCs w:val="24"/>
                <w:highlight w:val="none"/>
                <w:lang w:val="en-US" w:eastAsia="zh-CN"/>
              </w:rPr>
              <w:t>现有环保投诉及主要环保问题</w:t>
            </w:r>
          </w:p>
          <w:p w14:paraId="58170A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1、</w:t>
            </w:r>
            <w:r>
              <w:rPr>
                <w:rFonts w:hint="default" w:ascii="Times New Roman" w:hAnsi="Times New Roman" w:cs="Times New Roman"/>
                <w:b w:val="0"/>
                <w:bCs/>
                <w:color w:val="auto"/>
                <w:sz w:val="24"/>
                <w:szCs w:val="24"/>
                <w:highlight w:val="none"/>
                <w:lang w:val="en-US" w:eastAsia="zh-CN"/>
              </w:rPr>
              <w:t>环保投诉情况</w:t>
            </w:r>
          </w:p>
          <w:p w14:paraId="6F1A07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项目位于</w:t>
            </w:r>
            <w:r>
              <w:rPr>
                <w:rFonts w:hint="eastAsia" w:cs="宋体"/>
                <w:color w:val="auto"/>
                <w:sz w:val="24"/>
                <w:szCs w:val="24"/>
                <w:lang w:eastAsia="zh-CN"/>
              </w:rPr>
              <w:t>重庆市九龙坡区华岩镇华福大道北段16号14幢附2-2号、2-3号、2-4号</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为</w:t>
            </w:r>
            <w:r>
              <w:rPr>
                <w:rFonts w:hint="eastAsia" w:cs="宋体"/>
                <w:color w:val="auto"/>
                <w:sz w:val="24"/>
                <w:szCs w:val="24"/>
                <w:lang w:val="en-US" w:eastAsia="zh-CN"/>
              </w:rPr>
              <w:t>金科阳光小镇6期商业裙楼</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经调查，企业运行至今未发生环境污染和环保投诉问题</w:t>
            </w:r>
            <w:r>
              <w:rPr>
                <w:rFonts w:hint="eastAsia" w:ascii="Times New Roman" w:hAnsi="Times New Roman" w:cs="Times New Roman"/>
                <w:b w:val="0"/>
                <w:bCs/>
                <w:color w:val="auto"/>
                <w:sz w:val="24"/>
                <w:szCs w:val="24"/>
                <w:lang w:val="en-US" w:eastAsia="zh-CN"/>
              </w:rPr>
              <w:t>。</w:t>
            </w:r>
          </w:p>
          <w:p w14:paraId="370A29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与项目有关的主要环境问题及整改措施</w:t>
            </w:r>
          </w:p>
          <w:p w14:paraId="3BEB47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根据现场调查，企业严格按照环境保护管理</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三同时</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制度要求，对废水、噪声进行了有效的治理，污染防治措施切实有效。现有项目主要环境问题及整改措施为：</w:t>
            </w:r>
            <w:r>
              <w:rPr>
                <w:rFonts w:hint="eastAsia" w:ascii="Times New Roman" w:hAnsi="Times New Roman" w:cs="Times New Roman"/>
                <w:b w:val="0"/>
                <w:bCs/>
                <w:color w:val="auto"/>
                <w:sz w:val="24"/>
                <w:szCs w:val="24"/>
                <w:highlight w:val="none"/>
                <w:lang w:val="en-US" w:eastAsia="zh-CN"/>
              </w:rPr>
              <w:t>医疗废物贮存点的</w:t>
            </w:r>
            <w:r>
              <w:rPr>
                <w:rFonts w:hint="default" w:ascii="Times New Roman" w:hAnsi="Times New Roman" w:cs="Times New Roman"/>
                <w:b w:val="0"/>
                <w:bCs/>
                <w:color w:val="auto"/>
                <w:sz w:val="24"/>
                <w:szCs w:val="24"/>
                <w:highlight w:val="none"/>
                <w:lang w:val="en-US" w:eastAsia="zh-CN"/>
              </w:rPr>
              <w:t>标识标牌暂未进行更新，需尽快进行更新完善。</w:t>
            </w:r>
          </w:p>
        </w:tc>
      </w:tr>
    </w:tbl>
    <w:p w14:paraId="2BBEBCBF">
      <w:pPr>
        <w:pStyle w:val="17"/>
        <w:jc w:val="center"/>
        <w:rPr>
          <w:rFonts w:ascii="黑体" w:hAnsi="黑体" w:eastAsia="黑体"/>
          <w:snapToGrid w:val="0"/>
          <w:color w:val="auto"/>
          <w:sz w:val="36"/>
          <w:szCs w:val="36"/>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B9B9980">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1"/>
        <w:tblW w:w="90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00"/>
      </w:tblGrid>
      <w:tr w14:paraId="2CCC1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3BB1150F">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区域</w:t>
            </w:r>
          </w:p>
          <w:p w14:paraId="39C7F30F">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2D8DF1C6">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质量</w:t>
            </w:r>
          </w:p>
          <w:p w14:paraId="352C9F80">
            <w:pPr>
              <w:adjustRightInd w:val="0"/>
              <w:snapToGrid w:val="0"/>
              <w:jc w:val="center"/>
              <w:rPr>
                <w:rFonts w:ascii="宋体" w:hAnsi="宋体" w:cs="宋体"/>
                <w:color w:val="auto"/>
                <w:kern w:val="0"/>
                <w:szCs w:val="21"/>
              </w:rPr>
            </w:pPr>
            <w:r>
              <w:rPr>
                <w:rFonts w:hint="eastAsia" w:ascii="宋体" w:hAnsi="宋体" w:cs="宋体"/>
                <w:color w:val="auto"/>
                <w:kern w:val="0"/>
                <w:sz w:val="24"/>
                <w:szCs w:val="24"/>
              </w:rPr>
              <w:t>现状</w:t>
            </w:r>
          </w:p>
        </w:tc>
        <w:tc>
          <w:tcPr>
            <w:tcW w:w="8600" w:type="dxa"/>
            <w:noWrap w:val="0"/>
            <w:vAlign w:val="center"/>
          </w:tcPr>
          <w:p w14:paraId="65FDB63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3.1 区域环境质量现状</w:t>
            </w:r>
          </w:p>
          <w:p w14:paraId="658AEEC7">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3.1.1 大气环境质量现状</w:t>
            </w:r>
          </w:p>
          <w:p w14:paraId="0720FF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根据《重庆市环境空气质量功能区划分规定》</w:t>
            </w:r>
            <w:r>
              <w:rPr>
                <w:rFonts w:hint="eastAsia"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渝府发</w:t>
            </w:r>
            <w:r>
              <w:rPr>
                <w:rFonts w:hint="eastAsia" w:cs="Times New Roman"/>
                <w:b w:val="0"/>
                <w:bCs w:val="0"/>
                <w:color w:val="auto"/>
                <w:kern w:val="0"/>
                <w:sz w:val="24"/>
                <w:szCs w:val="24"/>
                <w:lang w:eastAsia="zh-CN"/>
              </w:rPr>
              <w:t>〔2016〕19号</w:t>
            </w:r>
            <w:r>
              <w:rPr>
                <w:rFonts w:hint="eastAsia"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等相关文件规定，</w:t>
            </w:r>
            <w:r>
              <w:rPr>
                <w:rFonts w:hint="eastAsia" w:cs="Times New Roman"/>
                <w:b w:val="0"/>
                <w:bCs w:val="0"/>
                <w:color w:val="auto"/>
                <w:kern w:val="0"/>
                <w:sz w:val="24"/>
                <w:szCs w:val="24"/>
                <w:lang w:eastAsia="zh-CN"/>
              </w:rPr>
              <w:t>本项目</w:t>
            </w:r>
            <w:r>
              <w:rPr>
                <w:rFonts w:hint="default" w:ascii="Times New Roman" w:hAnsi="Times New Roman" w:cs="Times New Roman"/>
                <w:b w:val="0"/>
                <w:bCs w:val="0"/>
                <w:color w:val="auto"/>
                <w:kern w:val="0"/>
                <w:sz w:val="24"/>
                <w:szCs w:val="24"/>
              </w:rPr>
              <w:t>位于</w:t>
            </w:r>
            <w:r>
              <w:rPr>
                <w:rFonts w:hint="eastAsia" w:cs="Times New Roman"/>
                <w:b w:val="0"/>
                <w:bCs w:val="0"/>
                <w:color w:val="auto"/>
                <w:kern w:val="0"/>
                <w:sz w:val="24"/>
                <w:szCs w:val="24"/>
                <w:lang w:val="en-US" w:eastAsia="zh-CN"/>
              </w:rPr>
              <w:t>九龙坡区</w:t>
            </w:r>
            <w:r>
              <w:rPr>
                <w:rFonts w:hint="default" w:ascii="Times New Roman" w:hAnsi="Times New Roman" w:cs="Times New Roman"/>
                <w:b w:val="0"/>
                <w:bCs w:val="0"/>
                <w:color w:val="auto"/>
                <w:kern w:val="0"/>
                <w:sz w:val="24"/>
                <w:szCs w:val="24"/>
              </w:rPr>
              <w:t>，所在区域环境空气功能区划为二类区，环境空气质量常规因子</w:t>
            </w:r>
            <w:r>
              <w:rPr>
                <w:rFonts w:hint="default" w:ascii="Times New Roman" w:hAnsi="Times New Roman" w:eastAsia="宋体" w:cs="Times New Roman"/>
                <w:b w:val="0"/>
                <w:bCs w:val="0"/>
                <w:color w:val="auto"/>
                <w:kern w:val="0"/>
                <w:sz w:val="24"/>
                <w:szCs w:val="24"/>
              </w:rPr>
              <w:t>SO</w:t>
            </w:r>
            <w:r>
              <w:rPr>
                <w:rFonts w:hint="default" w:ascii="Times New Roman" w:hAnsi="Times New Roman" w:eastAsia="宋体" w:cs="Times New Roman"/>
                <w:b w:val="0"/>
                <w:bCs w:val="0"/>
                <w:color w:val="auto"/>
                <w:kern w:val="0"/>
                <w:sz w:val="24"/>
                <w:szCs w:val="24"/>
                <w:vertAlign w:val="subscript"/>
              </w:rPr>
              <w:t>2</w:t>
            </w:r>
            <w:r>
              <w:rPr>
                <w:rFonts w:hint="default" w:ascii="Times New Roman" w:hAnsi="Times New Roman" w:eastAsia="宋体" w:cs="Times New Roman"/>
                <w:b w:val="0"/>
                <w:bCs w:val="0"/>
                <w:color w:val="auto"/>
                <w:kern w:val="0"/>
                <w:sz w:val="24"/>
                <w:szCs w:val="24"/>
              </w:rPr>
              <w:t>、NO</w:t>
            </w:r>
            <w:r>
              <w:rPr>
                <w:rFonts w:hint="default" w:ascii="Times New Roman" w:hAnsi="Times New Roman" w:eastAsia="宋体" w:cs="Times New Roman"/>
                <w:b w:val="0"/>
                <w:bCs w:val="0"/>
                <w:color w:val="auto"/>
                <w:kern w:val="0"/>
                <w:sz w:val="24"/>
                <w:szCs w:val="24"/>
                <w:vertAlign w:val="subscript"/>
              </w:rPr>
              <w:t>2</w:t>
            </w:r>
            <w:r>
              <w:rPr>
                <w:rFonts w:hint="default" w:ascii="Times New Roman" w:hAnsi="Times New Roman" w:eastAsia="宋体" w:cs="Times New Roman"/>
                <w:b w:val="0"/>
                <w:bCs w:val="0"/>
                <w:color w:val="auto"/>
                <w:kern w:val="0"/>
                <w:sz w:val="24"/>
                <w:szCs w:val="24"/>
              </w:rPr>
              <w:t>、PM</w:t>
            </w:r>
            <w:r>
              <w:rPr>
                <w:rFonts w:hint="eastAsia" w:ascii="Times New Roman" w:hAnsi="Times New Roman" w:eastAsia="宋体" w:cs="Times New Roman"/>
                <w:b w:val="0"/>
                <w:bCs w:val="0"/>
                <w:color w:val="auto"/>
                <w:kern w:val="0"/>
                <w:sz w:val="24"/>
                <w:szCs w:val="24"/>
                <w:vertAlign w:val="subscript"/>
                <w:lang w:val="en-US" w:eastAsia="zh-CN"/>
              </w:rPr>
              <w:t>10</w:t>
            </w:r>
            <w:r>
              <w:rPr>
                <w:rFonts w:hint="default" w:ascii="Times New Roman" w:hAnsi="Times New Roman" w:eastAsia="宋体" w:cs="Times New Roman"/>
                <w:b w:val="0"/>
                <w:bCs w:val="0"/>
                <w:color w:val="auto"/>
                <w:kern w:val="0"/>
                <w:sz w:val="24"/>
                <w:szCs w:val="24"/>
              </w:rPr>
              <w:t>、PM</w:t>
            </w:r>
            <w:r>
              <w:rPr>
                <w:rFonts w:hint="eastAsia" w:ascii="Times New Roman" w:hAnsi="Times New Roman" w:eastAsia="宋体" w:cs="Times New Roman"/>
                <w:b w:val="0"/>
                <w:bCs w:val="0"/>
                <w:color w:val="auto"/>
                <w:kern w:val="0"/>
                <w:sz w:val="24"/>
                <w:szCs w:val="24"/>
                <w:vertAlign w:val="subscript"/>
                <w:lang w:val="en-US" w:eastAsia="zh-CN"/>
              </w:rPr>
              <w:t>2.5</w:t>
            </w:r>
            <w:r>
              <w:rPr>
                <w:rFonts w:hint="default" w:ascii="Times New Roman" w:hAnsi="Times New Roman" w:eastAsia="宋体" w:cs="Times New Roman"/>
                <w:b w:val="0"/>
                <w:bCs w:val="0"/>
                <w:color w:val="auto"/>
                <w:kern w:val="0"/>
                <w:sz w:val="24"/>
                <w:szCs w:val="24"/>
              </w:rPr>
              <w:t>、CO、</w:t>
            </w:r>
            <w:r>
              <w:rPr>
                <w:rFonts w:hint="eastAsia" w:ascii="Times New Roman" w:hAnsi="Times New Roman" w:eastAsia="宋体" w:cs="Times New Roman"/>
                <w:b w:val="0"/>
                <w:bCs w:val="0"/>
                <w:color w:val="auto"/>
                <w:kern w:val="0"/>
                <w:sz w:val="24"/>
                <w:szCs w:val="24"/>
                <w:lang w:val="en-US" w:eastAsia="zh-CN"/>
              </w:rPr>
              <w:t>O</w:t>
            </w:r>
            <w:r>
              <w:rPr>
                <w:rFonts w:hint="eastAsia" w:ascii="Times New Roman" w:hAnsi="Times New Roman" w:eastAsia="宋体" w:cs="Times New Roman"/>
                <w:b w:val="0"/>
                <w:bCs w:val="0"/>
                <w:color w:val="auto"/>
                <w:kern w:val="0"/>
                <w:sz w:val="24"/>
                <w:szCs w:val="24"/>
                <w:vertAlign w:val="subscript"/>
                <w:lang w:val="en-US" w:eastAsia="zh-CN"/>
              </w:rPr>
              <w:t>3</w:t>
            </w:r>
            <w:r>
              <w:rPr>
                <w:rFonts w:hint="default" w:ascii="Times New Roman" w:hAnsi="Times New Roman" w:cs="Times New Roman"/>
                <w:b w:val="0"/>
                <w:bCs w:val="0"/>
                <w:color w:val="auto"/>
                <w:kern w:val="0"/>
                <w:sz w:val="24"/>
                <w:szCs w:val="24"/>
              </w:rPr>
              <w:t>执行《环境空气质量标准》</w:t>
            </w:r>
            <w:r>
              <w:rPr>
                <w:rFonts w:hint="eastAsia"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GB3095-2012</w:t>
            </w:r>
            <w:r>
              <w:rPr>
                <w:rFonts w:hint="eastAsia"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二级标准。</w:t>
            </w:r>
          </w:p>
          <w:p w14:paraId="35D669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本次评价引用《202</w:t>
            </w:r>
            <w:r>
              <w:rPr>
                <w:rFonts w:hint="eastAsia" w:cs="Times New Roman"/>
                <w:b w:val="0"/>
                <w:bCs w:val="0"/>
                <w:color w:val="auto"/>
                <w:kern w:val="0"/>
                <w:sz w:val="24"/>
                <w:szCs w:val="24"/>
                <w:lang w:val="en-US" w:eastAsia="zh-CN"/>
              </w:rPr>
              <w:t>4</w:t>
            </w:r>
            <w:r>
              <w:rPr>
                <w:rFonts w:hint="default" w:ascii="Times New Roman" w:hAnsi="Times New Roman" w:eastAsia="宋体" w:cs="Times New Roman"/>
                <w:b w:val="0"/>
                <w:bCs w:val="0"/>
                <w:color w:val="auto"/>
                <w:kern w:val="0"/>
                <w:sz w:val="24"/>
                <w:szCs w:val="24"/>
              </w:rPr>
              <w:t>重庆市生态环境状况公报》中</w:t>
            </w:r>
            <w:r>
              <w:rPr>
                <w:rFonts w:hint="eastAsia" w:cs="Times New Roman"/>
                <w:b w:val="0"/>
                <w:bCs w:val="0"/>
                <w:color w:val="auto"/>
                <w:kern w:val="0"/>
                <w:sz w:val="24"/>
                <w:szCs w:val="24"/>
                <w:lang w:val="en-US" w:eastAsia="zh-CN"/>
              </w:rPr>
              <w:t>九龙坡区</w:t>
            </w:r>
            <w:r>
              <w:rPr>
                <w:rFonts w:hint="default" w:ascii="Times New Roman" w:hAnsi="Times New Roman" w:eastAsia="宋体" w:cs="Times New Roman"/>
                <w:b w:val="0"/>
                <w:bCs w:val="0"/>
                <w:color w:val="auto"/>
                <w:kern w:val="0"/>
                <w:sz w:val="24"/>
                <w:szCs w:val="24"/>
              </w:rPr>
              <w:t>大气基本污染物</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SO</w:t>
            </w:r>
            <w:r>
              <w:rPr>
                <w:rFonts w:hint="default" w:ascii="Times New Roman" w:hAnsi="Times New Roman" w:eastAsia="宋体" w:cs="Times New Roman"/>
                <w:b w:val="0"/>
                <w:bCs w:val="0"/>
                <w:color w:val="auto"/>
                <w:kern w:val="0"/>
                <w:sz w:val="24"/>
                <w:szCs w:val="24"/>
                <w:vertAlign w:val="subscript"/>
              </w:rPr>
              <w:t>2</w:t>
            </w:r>
            <w:r>
              <w:rPr>
                <w:rFonts w:hint="default" w:ascii="Times New Roman" w:hAnsi="Times New Roman" w:eastAsia="宋体" w:cs="Times New Roman"/>
                <w:b w:val="0"/>
                <w:bCs w:val="0"/>
                <w:color w:val="auto"/>
                <w:kern w:val="0"/>
                <w:sz w:val="24"/>
                <w:szCs w:val="24"/>
              </w:rPr>
              <w:t>、NO</w:t>
            </w:r>
            <w:r>
              <w:rPr>
                <w:rFonts w:hint="default" w:ascii="Times New Roman" w:hAnsi="Times New Roman" w:eastAsia="宋体" w:cs="Times New Roman"/>
                <w:b w:val="0"/>
                <w:bCs w:val="0"/>
                <w:color w:val="auto"/>
                <w:kern w:val="0"/>
                <w:sz w:val="24"/>
                <w:szCs w:val="24"/>
                <w:vertAlign w:val="subscript"/>
              </w:rPr>
              <w:t>2</w:t>
            </w:r>
            <w:r>
              <w:rPr>
                <w:rFonts w:hint="default" w:ascii="Times New Roman" w:hAnsi="Times New Roman" w:eastAsia="宋体" w:cs="Times New Roman"/>
                <w:b w:val="0"/>
                <w:bCs w:val="0"/>
                <w:color w:val="auto"/>
                <w:kern w:val="0"/>
                <w:sz w:val="24"/>
                <w:szCs w:val="24"/>
              </w:rPr>
              <w:t>、PM</w:t>
            </w:r>
            <w:r>
              <w:rPr>
                <w:rFonts w:hint="eastAsia" w:ascii="Times New Roman" w:hAnsi="Times New Roman" w:eastAsia="宋体" w:cs="Times New Roman"/>
                <w:b w:val="0"/>
                <w:bCs w:val="0"/>
                <w:color w:val="auto"/>
                <w:kern w:val="0"/>
                <w:sz w:val="24"/>
                <w:szCs w:val="24"/>
                <w:vertAlign w:val="subscript"/>
                <w:lang w:val="en-US" w:eastAsia="zh-CN"/>
              </w:rPr>
              <w:t>10</w:t>
            </w:r>
            <w:r>
              <w:rPr>
                <w:rFonts w:hint="default" w:ascii="Times New Roman" w:hAnsi="Times New Roman" w:eastAsia="宋体" w:cs="Times New Roman"/>
                <w:b w:val="0"/>
                <w:bCs w:val="0"/>
                <w:color w:val="auto"/>
                <w:kern w:val="0"/>
                <w:sz w:val="24"/>
                <w:szCs w:val="24"/>
              </w:rPr>
              <w:t>、PM</w:t>
            </w:r>
            <w:r>
              <w:rPr>
                <w:rFonts w:hint="eastAsia" w:ascii="Times New Roman" w:hAnsi="Times New Roman" w:eastAsia="宋体" w:cs="Times New Roman"/>
                <w:b w:val="0"/>
                <w:bCs w:val="0"/>
                <w:color w:val="auto"/>
                <w:kern w:val="0"/>
                <w:sz w:val="24"/>
                <w:szCs w:val="24"/>
                <w:vertAlign w:val="subscript"/>
                <w:lang w:val="en-US" w:eastAsia="zh-CN"/>
              </w:rPr>
              <w:t>2.5</w:t>
            </w:r>
            <w:r>
              <w:rPr>
                <w:rFonts w:hint="default" w:ascii="Times New Roman" w:hAnsi="Times New Roman" w:eastAsia="宋体" w:cs="Times New Roman"/>
                <w:b w:val="0"/>
                <w:bCs w:val="0"/>
                <w:color w:val="auto"/>
                <w:kern w:val="0"/>
                <w:sz w:val="24"/>
                <w:szCs w:val="24"/>
              </w:rPr>
              <w:t>、CO、</w:t>
            </w:r>
            <w:r>
              <w:rPr>
                <w:rFonts w:hint="eastAsia" w:ascii="Times New Roman" w:hAnsi="Times New Roman" w:eastAsia="宋体" w:cs="Times New Roman"/>
                <w:b w:val="0"/>
                <w:bCs w:val="0"/>
                <w:color w:val="auto"/>
                <w:kern w:val="0"/>
                <w:sz w:val="24"/>
                <w:szCs w:val="24"/>
                <w:lang w:val="en-US" w:eastAsia="zh-CN"/>
              </w:rPr>
              <w:t>O</w:t>
            </w:r>
            <w:r>
              <w:rPr>
                <w:rFonts w:hint="eastAsia" w:ascii="Times New Roman" w:hAnsi="Times New Roman" w:eastAsia="宋体" w:cs="Times New Roman"/>
                <w:b w:val="0"/>
                <w:bCs w:val="0"/>
                <w:color w:val="auto"/>
                <w:kern w:val="0"/>
                <w:sz w:val="24"/>
                <w:szCs w:val="24"/>
                <w:vertAlign w:val="subscript"/>
                <w:lang w:val="en-US" w:eastAsia="zh-CN"/>
              </w:rPr>
              <w:t>3</w:t>
            </w:r>
            <w:r>
              <w:rPr>
                <w:rFonts w:hint="eastAsia" w:ascii="Times New Roman" w:hAnsi="Times New Roman" w:eastAsia="宋体" w:cs="Times New Roman"/>
                <w:b w:val="0"/>
                <w:bCs w:val="0"/>
                <w:color w:val="auto"/>
                <w:kern w:val="0"/>
                <w:sz w:val="24"/>
                <w:szCs w:val="24"/>
                <w:vertAlign w:val="baseline"/>
                <w:lang w:val="en-US" w:eastAsia="zh-CN"/>
              </w:rPr>
              <w:t>）</w:t>
            </w:r>
            <w:r>
              <w:rPr>
                <w:rFonts w:hint="default" w:ascii="Times New Roman" w:hAnsi="Times New Roman" w:eastAsia="宋体" w:cs="Times New Roman"/>
                <w:b w:val="0"/>
                <w:bCs w:val="0"/>
                <w:color w:val="auto"/>
                <w:kern w:val="0"/>
                <w:sz w:val="24"/>
                <w:szCs w:val="24"/>
              </w:rPr>
              <w:t>的数据作为达标区判定的主要依据</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rPr>
              <w:t>见表 3.1-1。</w:t>
            </w:r>
          </w:p>
          <w:p w14:paraId="33A0C95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表3.1-1</w:t>
            </w:r>
            <w:r>
              <w:rPr>
                <w:rFonts w:hint="eastAsia" w:cs="Times New Roman"/>
                <w:b w:val="0"/>
                <w:bCs w:val="0"/>
                <w:color w:val="auto"/>
                <w:kern w:val="0"/>
                <w:sz w:val="21"/>
                <w:szCs w:val="21"/>
                <w:lang w:val="en-US" w:eastAsia="zh-CN"/>
              </w:rPr>
              <w:t>九龙坡区</w:t>
            </w:r>
            <w:r>
              <w:rPr>
                <w:rFonts w:hint="default" w:ascii="Times New Roman" w:hAnsi="Times New Roman" w:cs="Times New Roman"/>
                <w:b w:val="0"/>
                <w:bCs w:val="0"/>
                <w:color w:val="auto"/>
                <w:kern w:val="0"/>
                <w:sz w:val="21"/>
                <w:szCs w:val="21"/>
              </w:rPr>
              <w:t>202</w:t>
            </w:r>
            <w:r>
              <w:rPr>
                <w:rFonts w:hint="eastAsia" w:cs="Times New Roman"/>
                <w:b w:val="0"/>
                <w:bCs w:val="0"/>
                <w:color w:val="auto"/>
                <w:kern w:val="0"/>
                <w:sz w:val="21"/>
                <w:szCs w:val="21"/>
                <w:lang w:val="en-US" w:eastAsia="zh-CN"/>
              </w:rPr>
              <w:t>4</w:t>
            </w:r>
            <w:r>
              <w:rPr>
                <w:rFonts w:hint="default" w:ascii="Times New Roman" w:hAnsi="Times New Roman" w:cs="Times New Roman"/>
                <w:b w:val="0"/>
                <w:bCs w:val="0"/>
                <w:color w:val="auto"/>
                <w:kern w:val="0"/>
                <w:sz w:val="21"/>
                <w:szCs w:val="21"/>
              </w:rPr>
              <w:t>年环境质量状况</w:t>
            </w:r>
          </w:p>
          <w:tbl>
            <w:tblPr>
              <w:tblStyle w:val="47"/>
              <w:tblW w:w="835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95"/>
              <w:gridCol w:w="2928"/>
              <w:gridCol w:w="1382"/>
              <w:gridCol w:w="1257"/>
              <w:gridCol w:w="993"/>
              <w:gridCol w:w="996"/>
            </w:tblGrid>
            <w:tr w14:paraId="4E9B2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5" w:type="dxa"/>
                  <w:tcBorders>
                    <w:tl2br w:val="nil"/>
                    <w:tr2bl w:val="nil"/>
                  </w:tcBorders>
                  <w:noWrap w:val="0"/>
                  <w:vAlign w:val="center"/>
                </w:tcPr>
                <w:p w14:paraId="4153322C">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污染</w:t>
                  </w:r>
                  <w:r>
                    <w:rPr>
                      <w:rFonts w:hint="default" w:ascii="Times New Roman" w:hAnsi="Times New Roman" w:eastAsia="宋体" w:cs="Times New Roman"/>
                      <w:color w:val="auto"/>
                      <w:sz w:val="21"/>
                      <w:szCs w:val="21"/>
                    </w:rPr>
                    <w:t>物</w:t>
                  </w:r>
                </w:p>
              </w:tc>
              <w:tc>
                <w:tcPr>
                  <w:tcW w:w="2928" w:type="dxa"/>
                  <w:tcBorders>
                    <w:tl2br w:val="nil"/>
                    <w:tr2bl w:val="nil"/>
                  </w:tcBorders>
                  <w:noWrap w:val="0"/>
                  <w:vAlign w:val="center"/>
                </w:tcPr>
                <w:p w14:paraId="33A41AD4">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年评价指标</w:t>
                  </w:r>
                </w:p>
              </w:tc>
              <w:tc>
                <w:tcPr>
                  <w:tcW w:w="1382" w:type="dxa"/>
                  <w:tcBorders>
                    <w:tl2br w:val="nil"/>
                    <w:tr2bl w:val="nil"/>
                  </w:tcBorders>
                  <w:noWrap w:val="0"/>
                  <w:vAlign w:val="center"/>
                </w:tcPr>
                <w:p w14:paraId="33B54C5F">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现状浓度</w:t>
                  </w:r>
                  <w:r>
                    <w:rPr>
                      <w:rFonts w:hint="default" w:ascii="Times New Roman" w:hAnsi="Times New Roman" w:eastAsia="宋体" w:cs="Times New Roman"/>
                      <w:color w:val="auto"/>
                      <w:spacing w:val="1"/>
                      <w:sz w:val="21"/>
                      <w:szCs w:val="21"/>
                    </w:rPr>
                    <w:t xml:space="preserve">  </w:t>
                  </w:r>
                  <w:r>
                    <w:rPr>
                      <w:rFonts w:hint="eastAsia" w:ascii="Times New Roman" w:hAnsi="Times New Roman"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 xml:space="preserve"> μg/m</w:t>
                  </w:r>
                  <w:r>
                    <w:rPr>
                      <w:rFonts w:hint="default" w:ascii="Times New Roman" w:hAnsi="Times New Roman" w:eastAsia="宋体" w:cs="Times New Roman"/>
                      <w:color w:val="auto"/>
                      <w:spacing w:val="-11"/>
                      <w:sz w:val="21"/>
                      <w:szCs w:val="21"/>
                      <w:vertAlign w:val="superscript"/>
                    </w:rPr>
                    <w:t>3</w:t>
                  </w:r>
                  <w:r>
                    <w:rPr>
                      <w:rFonts w:hint="default" w:ascii="Times New Roman" w:hAnsi="Times New Roman" w:eastAsia="宋体" w:cs="Times New Roman"/>
                      <w:color w:val="auto"/>
                      <w:spacing w:val="-11"/>
                      <w:sz w:val="21"/>
                      <w:szCs w:val="21"/>
                    </w:rPr>
                    <w:t>）</w:t>
                  </w:r>
                </w:p>
              </w:tc>
              <w:tc>
                <w:tcPr>
                  <w:tcW w:w="1257" w:type="dxa"/>
                  <w:tcBorders>
                    <w:tl2br w:val="nil"/>
                    <w:tr2bl w:val="nil"/>
                  </w:tcBorders>
                  <w:noWrap w:val="0"/>
                  <w:vAlign w:val="center"/>
                </w:tcPr>
                <w:p w14:paraId="2F369336">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标准值</w:t>
                  </w:r>
                  <w:r>
                    <w:rPr>
                      <w:rFonts w:hint="default" w:ascii="Times New Roman" w:hAnsi="Times New Roman" w:eastAsia="宋体" w:cs="Times New Roman"/>
                      <w:color w:val="auto"/>
                      <w:sz w:val="21"/>
                      <w:szCs w:val="21"/>
                    </w:rPr>
                    <w:t xml:space="preserve">  </w:t>
                  </w:r>
                  <w:r>
                    <w:rPr>
                      <w:rFonts w:hint="eastAsia" w:ascii="Times New Roman" w:hAnsi="Times New Roman"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 xml:space="preserve"> μg/m</w:t>
                  </w:r>
                  <w:r>
                    <w:rPr>
                      <w:rFonts w:hint="eastAsia" w:ascii="Times New Roman" w:hAnsi="Times New Roman" w:cs="Times New Roman"/>
                      <w:color w:val="auto"/>
                      <w:spacing w:val="-14"/>
                      <w:sz w:val="21"/>
                      <w:szCs w:val="21"/>
                      <w:vertAlign w:val="superscript"/>
                      <w:lang w:val="en-US" w:eastAsia="zh-CN"/>
                    </w:rPr>
                    <w:t>3</w:t>
                  </w:r>
                  <w:r>
                    <w:rPr>
                      <w:rFonts w:hint="default" w:ascii="Times New Roman" w:hAnsi="Times New Roman" w:eastAsia="宋体" w:cs="Times New Roman"/>
                      <w:color w:val="auto"/>
                      <w:spacing w:val="-4"/>
                      <w:sz w:val="21"/>
                      <w:szCs w:val="21"/>
                    </w:rPr>
                    <w:t>）</w:t>
                  </w:r>
                </w:p>
              </w:tc>
              <w:tc>
                <w:tcPr>
                  <w:tcW w:w="993" w:type="dxa"/>
                  <w:tcBorders>
                    <w:tl2br w:val="nil"/>
                    <w:tr2bl w:val="nil"/>
                  </w:tcBorders>
                  <w:noWrap w:val="0"/>
                  <w:vAlign w:val="center"/>
                </w:tcPr>
                <w:p w14:paraId="724A3851">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占标率</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w:t>
                  </w:r>
                </w:p>
              </w:tc>
              <w:tc>
                <w:tcPr>
                  <w:tcW w:w="996" w:type="dxa"/>
                  <w:tcBorders>
                    <w:tl2br w:val="nil"/>
                    <w:tr2bl w:val="nil"/>
                  </w:tcBorders>
                  <w:noWrap w:val="0"/>
                  <w:vAlign w:val="center"/>
                </w:tcPr>
                <w:p w14:paraId="1C769E82">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5"/>
                      <w:sz w:val="21"/>
                      <w:szCs w:val="21"/>
                    </w:rPr>
                    <w:t>情况</w:t>
                  </w:r>
                </w:p>
              </w:tc>
            </w:tr>
            <w:tr w14:paraId="5351E9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5" w:type="dxa"/>
                  <w:tcBorders>
                    <w:tl2br w:val="nil"/>
                    <w:tr2bl w:val="nil"/>
                  </w:tcBorders>
                  <w:noWrap w:val="0"/>
                  <w:vAlign w:val="center"/>
                </w:tcPr>
                <w:p w14:paraId="53AEB7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b w:val="0"/>
                      <w:bCs w:val="0"/>
                      <w:color w:val="auto"/>
                      <w:kern w:val="0"/>
                      <w:sz w:val="21"/>
                      <w:szCs w:val="21"/>
                    </w:rPr>
                    <w:t>SO</w:t>
                  </w:r>
                  <w:r>
                    <w:rPr>
                      <w:rFonts w:hint="default" w:ascii="Times New Roman" w:hAnsi="Times New Roman" w:cs="Times New Roman"/>
                      <w:b w:val="0"/>
                      <w:bCs w:val="0"/>
                      <w:color w:val="auto"/>
                      <w:kern w:val="0"/>
                      <w:sz w:val="21"/>
                      <w:szCs w:val="21"/>
                      <w:vertAlign w:val="subscript"/>
                    </w:rPr>
                    <w:t>2</w:t>
                  </w:r>
                </w:p>
              </w:tc>
              <w:tc>
                <w:tcPr>
                  <w:tcW w:w="2928" w:type="dxa"/>
                  <w:vMerge w:val="restart"/>
                  <w:tcBorders>
                    <w:tl2br w:val="nil"/>
                    <w:tr2bl w:val="nil"/>
                  </w:tcBorders>
                  <w:noWrap w:val="0"/>
                  <w:vAlign w:val="center"/>
                </w:tcPr>
                <w:p w14:paraId="70367BFC">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年评价质量浓度</w:t>
                  </w:r>
                </w:p>
              </w:tc>
              <w:tc>
                <w:tcPr>
                  <w:tcW w:w="1382" w:type="dxa"/>
                  <w:tcBorders>
                    <w:tl2br w:val="nil"/>
                    <w:tr2bl w:val="nil"/>
                  </w:tcBorders>
                  <w:noWrap w:val="0"/>
                  <w:vAlign w:val="center"/>
                </w:tcPr>
                <w:p w14:paraId="67A7D3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1257" w:type="dxa"/>
                  <w:tcBorders>
                    <w:tl2br w:val="nil"/>
                    <w:tr2bl w:val="nil"/>
                  </w:tcBorders>
                  <w:noWrap w:val="0"/>
                  <w:vAlign w:val="center"/>
                </w:tcPr>
                <w:p w14:paraId="7CCA00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93" w:type="dxa"/>
                  <w:tcBorders>
                    <w:tl2br w:val="nil"/>
                    <w:tr2bl w:val="nil"/>
                  </w:tcBorders>
                  <w:noWrap w:val="0"/>
                  <w:vAlign w:val="center"/>
                </w:tcPr>
                <w:p w14:paraId="28EFD7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 xml:space="preserve">13.33 </w:t>
                  </w:r>
                </w:p>
              </w:tc>
              <w:tc>
                <w:tcPr>
                  <w:tcW w:w="996" w:type="dxa"/>
                  <w:tcBorders>
                    <w:tl2br w:val="nil"/>
                    <w:tr2bl w:val="nil"/>
                  </w:tcBorders>
                  <w:noWrap w:val="0"/>
                  <w:vAlign w:val="center"/>
                </w:tcPr>
                <w:p w14:paraId="0FBFBF05">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31297E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5" w:type="dxa"/>
                  <w:tcBorders>
                    <w:tl2br w:val="nil"/>
                    <w:tr2bl w:val="nil"/>
                  </w:tcBorders>
                  <w:noWrap w:val="0"/>
                  <w:vAlign w:val="center"/>
                </w:tcPr>
                <w:p w14:paraId="0FCAEF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b w:val="0"/>
                      <w:bCs w:val="0"/>
                      <w:color w:val="auto"/>
                      <w:kern w:val="0"/>
                      <w:sz w:val="21"/>
                      <w:szCs w:val="21"/>
                    </w:rPr>
                    <w:t>NO</w:t>
                  </w:r>
                  <w:r>
                    <w:rPr>
                      <w:rFonts w:hint="default" w:ascii="Times New Roman" w:hAnsi="Times New Roman" w:cs="Times New Roman"/>
                      <w:b w:val="0"/>
                      <w:bCs w:val="0"/>
                      <w:color w:val="auto"/>
                      <w:kern w:val="0"/>
                      <w:sz w:val="21"/>
                      <w:szCs w:val="21"/>
                      <w:vertAlign w:val="subscript"/>
                    </w:rPr>
                    <w:t>2</w:t>
                  </w:r>
                </w:p>
              </w:tc>
              <w:tc>
                <w:tcPr>
                  <w:tcW w:w="2928" w:type="dxa"/>
                  <w:vMerge w:val="continue"/>
                  <w:tcBorders>
                    <w:tl2br w:val="nil"/>
                    <w:tr2bl w:val="nil"/>
                  </w:tcBorders>
                  <w:noWrap w:val="0"/>
                  <w:vAlign w:val="center"/>
                </w:tcPr>
                <w:p w14:paraId="7FD27B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382" w:type="dxa"/>
                  <w:tcBorders>
                    <w:tl2br w:val="nil"/>
                    <w:tr2bl w:val="nil"/>
                  </w:tcBorders>
                  <w:noWrap w:val="0"/>
                  <w:vAlign w:val="center"/>
                </w:tcPr>
                <w:p w14:paraId="3775C6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1257" w:type="dxa"/>
                  <w:tcBorders>
                    <w:tl2br w:val="nil"/>
                    <w:tr2bl w:val="nil"/>
                  </w:tcBorders>
                  <w:noWrap w:val="0"/>
                  <w:vAlign w:val="center"/>
                </w:tcPr>
                <w:p w14:paraId="58F0DF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w:t>
                  </w:r>
                </w:p>
              </w:tc>
              <w:tc>
                <w:tcPr>
                  <w:tcW w:w="993" w:type="dxa"/>
                  <w:tcBorders>
                    <w:tl2br w:val="nil"/>
                    <w:tr2bl w:val="nil"/>
                  </w:tcBorders>
                  <w:noWrap w:val="0"/>
                  <w:vAlign w:val="center"/>
                </w:tcPr>
                <w:p w14:paraId="7D074D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 xml:space="preserve">85.00 </w:t>
                  </w:r>
                </w:p>
              </w:tc>
              <w:tc>
                <w:tcPr>
                  <w:tcW w:w="996" w:type="dxa"/>
                  <w:tcBorders>
                    <w:tl2br w:val="nil"/>
                    <w:tr2bl w:val="nil"/>
                  </w:tcBorders>
                  <w:noWrap w:val="0"/>
                  <w:vAlign w:val="center"/>
                </w:tcPr>
                <w:p w14:paraId="61310EA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4CDCF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5" w:type="dxa"/>
                  <w:tcBorders>
                    <w:tl2br w:val="nil"/>
                    <w:tr2bl w:val="nil"/>
                  </w:tcBorders>
                  <w:noWrap w:val="0"/>
                  <w:vAlign w:val="center"/>
                </w:tcPr>
                <w:p w14:paraId="4B8AEE4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b w:val="0"/>
                      <w:bCs w:val="0"/>
                      <w:color w:val="auto"/>
                      <w:kern w:val="0"/>
                      <w:sz w:val="21"/>
                      <w:szCs w:val="21"/>
                    </w:rPr>
                    <w:t>PM</w:t>
                  </w:r>
                  <w:r>
                    <w:rPr>
                      <w:rFonts w:hint="eastAsia" w:ascii="Times New Roman" w:hAnsi="Times New Roman" w:cs="Times New Roman"/>
                      <w:b w:val="0"/>
                      <w:bCs w:val="0"/>
                      <w:color w:val="auto"/>
                      <w:kern w:val="0"/>
                      <w:sz w:val="21"/>
                      <w:szCs w:val="21"/>
                      <w:vertAlign w:val="subscript"/>
                      <w:lang w:val="en-US" w:eastAsia="zh-CN"/>
                    </w:rPr>
                    <w:t>10</w:t>
                  </w:r>
                </w:p>
              </w:tc>
              <w:tc>
                <w:tcPr>
                  <w:tcW w:w="2928" w:type="dxa"/>
                  <w:vMerge w:val="continue"/>
                  <w:tcBorders>
                    <w:tl2br w:val="nil"/>
                    <w:tr2bl w:val="nil"/>
                  </w:tcBorders>
                  <w:noWrap w:val="0"/>
                  <w:vAlign w:val="center"/>
                </w:tcPr>
                <w:p w14:paraId="1E09A2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382" w:type="dxa"/>
                  <w:tcBorders>
                    <w:tl2br w:val="nil"/>
                    <w:tr2bl w:val="nil"/>
                  </w:tcBorders>
                  <w:noWrap w:val="0"/>
                  <w:vAlign w:val="center"/>
                </w:tcPr>
                <w:p w14:paraId="7727E2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w:t>
                  </w:r>
                </w:p>
              </w:tc>
              <w:tc>
                <w:tcPr>
                  <w:tcW w:w="1257" w:type="dxa"/>
                  <w:tcBorders>
                    <w:tl2br w:val="nil"/>
                    <w:tr2bl w:val="nil"/>
                  </w:tcBorders>
                  <w:noWrap w:val="0"/>
                  <w:vAlign w:val="center"/>
                </w:tcPr>
                <w:p w14:paraId="63447D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70</w:t>
                  </w:r>
                </w:p>
              </w:tc>
              <w:tc>
                <w:tcPr>
                  <w:tcW w:w="993" w:type="dxa"/>
                  <w:tcBorders>
                    <w:tl2br w:val="nil"/>
                    <w:tr2bl w:val="nil"/>
                  </w:tcBorders>
                  <w:noWrap w:val="0"/>
                  <w:vAlign w:val="center"/>
                </w:tcPr>
                <w:p w14:paraId="4C278C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 xml:space="preserve">72.86 </w:t>
                  </w:r>
                </w:p>
              </w:tc>
              <w:tc>
                <w:tcPr>
                  <w:tcW w:w="996" w:type="dxa"/>
                  <w:tcBorders>
                    <w:tl2br w:val="nil"/>
                    <w:tr2bl w:val="nil"/>
                  </w:tcBorders>
                  <w:noWrap w:val="0"/>
                  <w:vAlign w:val="center"/>
                </w:tcPr>
                <w:p w14:paraId="04C35AB3">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15A33C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5" w:type="dxa"/>
                  <w:tcBorders>
                    <w:tl2br w:val="nil"/>
                    <w:tr2bl w:val="nil"/>
                  </w:tcBorders>
                  <w:noWrap w:val="0"/>
                  <w:vAlign w:val="center"/>
                </w:tcPr>
                <w:p w14:paraId="7D3467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b w:val="0"/>
                      <w:bCs w:val="0"/>
                      <w:color w:val="auto"/>
                      <w:kern w:val="0"/>
                      <w:sz w:val="21"/>
                      <w:szCs w:val="21"/>
                    </w:rPr>
                    <w:t>PM</w:t>
                  </w:r>
                  <w:r>
                    <w:rPr>
                      <w:rFonts w:hint="eastAsia" w:ascii="Times New Roman" w:hAnsi="Times New Roman" w:cs="Times New Roman"/>
                      <w:b w:val="0"/>
                      <w:bCs w:val="0"/>
                      <w:color w:val="auto"/>
                      <w:kern w:val="0"/>
                      <w:sz w:val="21"/>
                      <w:szCs w:val="21"/>
                      <w:vertAlign w:val="subscript"/>
                      <w:lang w:val="en-US" w:eastAsia="zh-CN"/>
                    </w:rPr>
                    <w:t>2.5</w:t>
                  </w:r>
                </w:p>
              </w:tc>
              <w:tc>
                <w:tcPr>
                  <w:tcW w:w="2928" w:type="dxa"/>
                  <w:vMerge w:val="continue"/>
                  <w:tcBorders>
                    <w:tl2br w:val="nil"/>
                    <w:tr2bl w:val="nil"/>
                  </w:tcBorders>
                  <w:noWrap w:val="0"/>
                  <w:vAlign w:val="center"/>
                </w:tcPr>
                <w:p w14:paraId="5512F93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382" w:type="dxa"/>
                  <w:tcBorders>
                    <w:tl2br w:val="nil"/>
                    <w:tr2bl w:val="nil"/>
                  </w:tcBorders>
                  <w:noWrap w:val="0"/>
                  <w:vAlign w:val="center"/>
                </w:tcPr>
                <w:p w14:paraId="10A7FD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32.3</w:t>
                  </w:r>
                </w:p>
              </w:tc>
              <w:tc>
                <w:tcPr>
                  <w:tcW w:w="1257" w:type="dxa"/>
                  <w:tcBorders>
                    <w:tl2br w:val="nil"/>
                    <w:tr2bl w:val="nil"/>
                  </w:tcBorders>
                  <w:noWrap w:val="0"/>
                  <w:vAlign w:val="center"/>
                </w:tcPr>
                <w:p w14:paraId="1757027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993" w:type="dxa"/>
                  <w:tcBorders>
                    <w:tl2br w:val="nil"/>
                    <w:tr2bl w:val="nil"/>
                  </w:tcBorders>
                  <w:noWrap w:val="0"/>
                  <w:vAlign w:val="center"/>
                </w:tcPr>
                <w:p w14:paraId="5734E3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 xml:space="preserve">92.29 </w:t>
                  </w:r>
                </w:p>
              </w:tc>
              <w:tc>
                <w:tcPr>
                  <w:tcW w:w="996" w:type="dxa"/>
                  <w:tcBorders>
                    <w:tl2br w:val="nil"/>
                    <w:tr2bl w:val="nil"/>
                  </w:tcBorders>
                  <w:noWrap w:val="0"/>
                  <w:vAlign w:val="center"/>
                </w:tcPr>
                <w:p w14:paraId="0C65381E">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52BFE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5" w:type="dxa"/>
                  <w:tcBorders>
                    <w:tl2br w:val="nil"/>
                    <w:tr2bl w:val="nil"/>
                  </w:tcBorders>
                  <w:noWrap w:val="0"/>
                  <w:vAlign w:val="center"/>
                </w:tcPr>
                <w:p w14:paraId="7B69E4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b w:val="0"/>
                      <w:bCs w:val="0"/>
                      <w:color w:val="auto"/>
                      <w:kern w:val="0"/>
                      <w:sz w:val="21"/>
                      <w:szCs w:val="21"/>
                    </w:rPr>
                    <w:t>CO</w:t>
                  </w:r>
                </w:p>
              </w:tc>
              <w:tc>
                <w:tcPr>
                  <w:tcW w:w="2928" w:type="dxa"/>
                  <w:tcBorders>
                    <w:tl2br w:val="nil"/>
                    <w:tr2bl w:val="nil"/>
                  </w:tcBorders>
                  <w:noWrap w:val="0"/>
                  <w:vAlign w:val="center"/>
                </w:tcPr>
                <w:p w14:paraId="42F8C262">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日均浓度的第95百分位数</w:t>
                  </w:r>
                </w:p>
              </w:tc>
              <w:tc>
                <w:tcPr>
                  <w:tcW w:w="1382" w:type="dxa"/>
                  <w:tcBorders>
                    <w:tl2br w:val="nil"/>
                    <w:tr2bl w:val="nil"/>
                  </w:tcBorders>
                  <w:noWrap w:val="0"/>
                  <w:vAlign w:val="center"/>
                </w:tcPr>
                <w:p w14:paraId="21653A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257" w:type="dxa"/>
                  <w:tcBorders>
                    <w:tl2br w:val="nil"/>
                    <w:tr2bl w:val="nil"/>
                  </w:tcBorders>
                  <w:noWrap w:val="0"/>
                  <w:vAlign w:val="center"/>
                </w:tcPr>
                <w:p w14:paraId="23A556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4mg/m</w:t>
                  </w:r>
                  <w:r>
                    <w:rPr>
                      <w:rFonts w:hint="eastAsia" w:ascii="Times New Roman" w:hAnsi="Times New Roman" w:eastAsia="宋体" w:cs="Times New Roman"/>
                      <w:color w:val="auto"/>
                      <w:sz w:val="21"/>
                      <w:szCs w:val="21"/>
                      <w:vertAlign w:val="superscript"/>
                      <w:lang w:val="en-US" w:eastAsia="zh-CN"/>
                    </w:rPr>
                    <w:t>3</w:t>
                  </w:r>
                </w:p>
              </w:tc>
              <w:tc>
                <w:tcPr>
                  <w:tcW w:w="993" w:type="dxa"/>
                  <w:tcBorders>
                    <w:tl2br w:val="nil"/>
                    <w:tr2bl w:val="nil"/>
                  </w:tcBorders>
                  <w:noWrap w:val="0"/>
                  <w:vAlign w:val="center"/>
                </w:tcPr>
                <w:p w14:paraId="631391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 xml:space="preserve">30.00 </w:t>
                  </w:r>
                </w:p>
              </w:tc>
              <w:tc>
                <w:tcPr>
                  <w:tcW w:w="996" w:type="dxa"/>
                  <w:tcBorders>
                    <w:tl2br w:val="nil"/>
                    <w:tr2bl w:val="nil"/>
                  </w:tcBorders>
                  <w:noWrap w:val="0"/>
                  <w:vAlign w:val="center"/>
                </w:tcPr>
                <w:p w14:paraId="28FC835E">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658B86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5" w:type="dxa"/>
                  <w:tcBorders>
                    <w:tl2br w:val="nil"/>
                    <w:tr2bl w:val="nil"/>
                  </w:tcBorders>
                  <w:noWrap w:val="0"/>
                  <w:vAlign w:val="center"/>
                </w:tcPr>
                <w:p w14:paraId="7E9B88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color w:val="auto"/>
                      <w:kern w:val="0"/>
                      <w:sz w:val="21"/>
                      <w:szCs w:val="21"/>
                      <w:lang w:val="en-US" w:eastAsia="zh-CN"/>
                    </w:rPr>
                    <w:t>O</w:t>
                  </w:r>
                  <w:r>
                    <w:rPr>
                      <w:rFonts w:hint="eastAsia" w:ascii="Times New Roman" w:hAnsi="Times New Roman" w:cs="Times New Roman"/>
                      <w:b w:val="0"/>
                      <w:bCs w:val="0"/>
                      <w:color w:val="auto"/>
                      <w:kern w:val="0"/>
                      <w:sz w:val="21"/>
                      <w:szCs w:val="21"/>
                      <w:vertAlign w:val="subscript"/>
                      <w:lang w:val="en-US" w:eastAsia="zh-CN"/>
                    </w:rPr>
                    <w:t>3</w:t>
                  </w:r>
                </w:p>
              </w:tc>
              <w:tc>
                <w:tcPr>
                  <w:tcW w:w="2928" w:type="dxa"/>
                  <w:tcBorders>
                    <w:tl2br w:val="nil"/>
                    <w:tr2bl w:val="nil"/>
                  </w:tcBorders>
                  <w:noWrap w:val="0"/>
                  <w:vAlign w:val="center"/>
                </w:tcPr>
                <w:p w14:paraId="77FA78EF">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日最大</w:t>
                  </w:r>
                  <w:r>
                    <w:rPr>
                      <w:rFonts w:hint="default" w:ascii="Times New Roman" w:hAnsi="Times New Roman" w:eastAsia="宋体" w:cs="Times New Roman"/>
                      <w:color w:val="auto"/>
                      <w:spacing w:val="-33"/>
                      <w:sz w:val="21"/>
                      <w:szCs w:val="21"/>
                    </w:rPr>
                    <w:t xml:space="preserve"> </w:t>
                  </w:r>
                  <w:r>
                    <w:rPr>
                      <w:rFonts w:hint="default" w:ascii="Times New Roman" w:hAnsi="Times New Roman" w:eastAsia="宋体" w:cs="Times New Roman"/>
                      <w:color w:val="auto"/>
                      <w:spacing w:val="3"/>
                      <w:sz w:val="21"/>
                      <w:szCs w:val="21"/>
                    </w:rPr>
                    <w:t>8小时平均浓度的第</w:t>
                  </w:r>
                  <w:r>
                    <w:rPr>
                      <w:rFonts w:hint="default" w:ascii="Times New Roman" w:hAnsi="Times New Roman" w:eastAsia="宋体" w:cs="Times New Roman"/>
                      <w:color w:val="auto"/>
                      <w:spacing w:val="-44"/>
                      <w:sz w:val="21"/>
                      <w:szCs w:val="21"/>
                    </w:rPr>
                    <w:t xml:space="preserve"> </w:t>
                  </w:r>
                  <w:r>
                    <w:rPr>
                      <w:rFonts w:hint="default" w:ascii="Times New Roman" w:hAnsi="Times New Roman" w:eastAsia="宋体" w:cs="Times New Roman"/>
                      <w:color w:val="auto"/>
                      <w:spacing w:val="3"/>
                      <w:sz w:val="21"/>
                      <w:szCs w:val="21"/>
                    </w:rPr>
                    <w:t>90</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5"/>
                      <w:sz w:val="21"/>
                      <w:szCs w:val="21"/>
                    </w:rPr>
                    <w:t>百分位数</w:t>
                  </w:r>
                </w:p>
              </w:tc>
              <w:tc>
                <w:tcPr>
                  <w:tcW w:w="1382" w:type="dxa"/>
                  <w:tcBorders>
                    <w:tl2br w:val="nil"/>
                    <w:tr2bl w:val="nil"/>
                  </w:tcBorders>
                  <w:noWrap w:val="0"/>
                  <w:vAlign w:val="center"/>
                </w:tcPr>
                <w:p w14:paraId="4867C2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140</w:t>
                  </w:r>
                </w:p>
              </w:tc>
              <w:tc>
                <w:tcPr>
                  <w:tcW w:w="1257" w:type="dxa"/>
                  <w:tcBorders>
                    <w:tl2br w:val="nil"/>
                    <w:tr2bl w:val="nil"/>
                  </w:tcBorders>
                  <w:noWrap w:val="0"/>
                  <w:vAlign w:val="center"/>
                </w:tcPr>
                <w:p w14:paraId="3C8671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160</w:t>
                  </w:r>
                </w:p>
              </w:tc>
              <w:tc>
                <w:tcPr>
                  <w:tcW w:w="993" w:type="dxa"/>
                  <w:tcBorders>
                    <w:tl2br w:val="nil"/>
                    <w:tr2bl w:val="nil"/>
                  </w:tcBorders>
                  <w:noWrap w:val="0"/>
                  <w:vAlign w:val="center"/>
                </w:tcPr>
                <w:p w14:paraId="5CECC5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lang w:val="en-US" w:eastAsia="zh-CN"/>
                    </w:rPr>
                  </w:pPr>
                  <w:r>
                    <w:rPr>
                      <w:rFonts w:hint="eastAsia" w:ascii="Times New Roman" w:hAnsi="Times New Roman" w:eastAsia="宋体" w:cs="Times New Roman"/>
                      <w:color w:val="auto"/>
                      <w:spacing w:val="-3"/>
                      <w:sz w:val="21"/>
                      <w:szCs w:val="21"/>
                      <w:lang w:val="en-US" w:eastAsia="zh-CN"/>
                    </w:rPr>
                    <w:t xml:space="preserve">87.50 </w:t>
                  </w:r>
                </w:p>
              </w:tc>
              <w:tc>
                <w:tcPr>
                  <w:tcW w:w="996" w:type="dxa"/>
                  <w:tcBorders>
                    <w:tl2br w:val="nil"/>
                    <w:tr2bl w:val="nil"/>
                  </w:tcBorders>
                  <w:noWrap w:val="0"/>
                  <w:vAlign w:val="center"/>
                </w:tcPr>
                <w:p w14:paraId="03E0016A">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bl>
          <w:p w14:paraId="6DF7CDCB">
            <w:pPr>
              <w:pStyle w:val="46"/>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72" w:firstLineChars="200"/>
              <w:jc w:val="both"/>
              <w:textAlignment w:val="auto"/>
              <w:rPr>
                <w:color w:val="auto"/>
                <w:sz w:val="24"/>
                <w:szCs w:val="24"/>
              </w:rPr>
            </w:pPr>
            <w:r>
              <w:rPr>
                <w:rFonts w:hint="default" w:ascii="Times New Roman" w:hAnsi="Times New Roman" w:cs="Times New Roman"/>
                <w:color w:val="auto"/>
                <w:spacing w:val="-2"/>
                <w:sz w:val="24"/>
                <w:szCs w:val="24"/>
              </w:rPr>
              <w:t>由</w:t>
            </w:r>
            <w:r>
              <w:rPr>
                <w:rFonts w:hint="eastAsia" w:ascii="Times New Roman" w:hAnsi="Times New Roman" w:cs="Times New Roman"/>
                <w:color w:val="auto"/>
                <w:spacing w:val="-2"/>
                <w:sz w:val="24"/>
                <w:szCs w:val="24"/>
                <w:lang w:val="en-US" w:eastAsia="zh-CN"/>
              </w:rPr>
              <w:t>上表</w:t>
            </w:r>
            <w:r>
              <w:rPr>
                <w:rFonts w:hint="default" w:ascii="Times New Roman" w:hAnsi="Times New Roman" w:cs="Times New Roman"/>
                <w:color w:val="auto"/>
                <w:spacing w:val="-2"/>
                <w:sz w:val="24"/>
                <w:szCs w:val="24"/>
              </w:rPr>
              <w:t>可知</w:t>
            </w:r>
            <w:r>
              <w:rPr>
                <w:rFonts w:hint="eastAsia" w:ascii="Times New Roman" w:hAnsi="Times New Roman" w:cs="Times New Roman"/>
                <w:color w:val="auto"/>
                <w:spacing w:val="-2"/>
                <w:sz w:val="24"/>
                <w:szCs w:val="24"/>
                <w:lang w:eastAsia="zh-CN"/>
              </w:rPr>
              <w:t>，</w:t>
            </w:r>
            <w:r>
              <w:rPr>
                <w:rFonts w:hint="eastAsia" w:ascii="Times New Roman" w:hAnsi="Times New Roman" w:cs="Times New Roman"/>
                <w:color w:val="auto"/>
                <w:spacing w:val="-2"/>
                <w:sz w:val="24"/>
                <w:szCs w:val="24"/>
                <w:lang w:val="en-US" w:eastAsia="zh-CN"/>
              </w:rPr>
              <w:t>九龙坡区</w:t>
            </w:r>
            <w:r>
              <w:rPr>
                <w:rFonts w:hint="default" w:ascii="Times New Roman" w:hAnsi="Times New Roman" w:cs="Times New Roman"/>
                <w:color w:val="auto"/>
                <w:spacing w:val="-1"/>
                <w:sz w:val="24"/>
                <w:szCs w:val="24"/>
              </w:rPr>
              <w:t>为环境空气质量达标区。</w:t>
            </w:r>
          </w:p>
          <w:p w14:paraId="21BB1A9A">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3.1.2地表水环境质量现状</w:t>
            </w:r>
          </w:p>
          <w:p w14:paraId="0C9CDA91">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本项目废水排入</w:t>
            </w:r>
            <w:r>
              <w:rPr>
                <w:rFonts w:hint="eastAsia" w:cs="Times New Roman"/>
                <w:color w:val="auto"/>
                <w:sz w:val="24"/>
                <w:szCs w:val="24"/>
                <w:lang w:val="en-US" w:eastAsia="zh-CN"/>
              </w:rPr>
              <w:t>中梁山污水处理厂</w:t>
            </w:r>
            <w:r>
              <w:rPr>
                <w:rFonts w:hint="default" w:ascii="Times New Roman" w:hAnsi="Times New Roman" w:eastAsia="宋体" w:cs="Times New Roman"/>
                <w:color w:val="auto"/>
                <w:sz w:val="24"/>
                <w:szCs w:val="24"/>
                <w:lang w:val="en-US" w:eastAsia="zh-CN"/>
              </w:rPr>
              <w:t>深度处理后排入</w:t>
            </w:r>
            <w:r>
              <w:rPr>
                <w:rFonts w:hint="eastAsia" w:cs="Times New Roman"/>
                <w:color w:val="auto"/>
                <w:sz w:val="24"/>
                <w:szCs w:val="24"/>
                <w:lang w:val="en-US" w:eastAsia="zh-CN"/>
              </w:rPr>
              <w:t>跳蹬河</w:t>
            </w:r>
            <w:r>
              <w:rPr>
                <w:rFonts w:hint="default" w:ascii="Times New Roman" w:hAnsi="Times New Roman" w:eastAsia="宋体" w:cs="Times New Roman"/>
                <w:color w:val="auto"/>
                <w:sz w:val="24"/>
                <w:szCs w:val="24"/>
                <w:lang w:val="en-US" w:eastAsia="zh-CN"/>
              </w:rPr>
              <w:t>，最终</w:t>
            </w:r>
            <w:r>
              <w:rPr>
                <w:rFonts w:hint="eastAsia" w:cs="Times New Roman"/>
                <w:color w:val="auto"/>
                <w:sz w:val="24"/>
                <w:szCs w:val="24"/>
                <w:lang w:val="en-US" w:eastAsia="zh-CN"/>
              </w:rPr>
              <w:t>进入长江。</w:t>
            </w:r>
          </w:p>
          <w:p w14:paraId="1A8CECB4">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重庆市环境保护局关于调整部分地表水域功能类别的通知》（渝环发〔2009〕110号），跳蹬河全流域已取消水域功能。跳蹬河汇入长江下游为III类水域功能区，执行《地表水环境质量标准》（GB3838-2002）中的III类水域标准。</w:t>
            </w:r>
          </w:p>
          <w:p w14:paraId="47418BA5">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根据《建设项目环境影响报告表编制技术指南（污染影响类）（试行）》中水环境质量现状调查要求，可采用生态环境保护主管部门发布的地表水达标情况的结论。</w:t>
            </w:r>
          </w:p>
          <w:p w14:paraId="36D6EE30">
            <w:pPr>
              <w:adjustRightInd w:val="0"/>
              <w:snapToGrid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本次评价引用重庆市生态环境局于202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月发布的《202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年重庆市生态环境状况公报》</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长江干流重庆段水质为优，20个监测断面水质均为Ⅱ类。</w:t>
            </w:r>
            <w:r>
              <w:rPr>
                <w:rFonts w:hint="eastAsia" w:ascii="Times New Roman" w:hAnsi="Times New Roman" w:eastAsia="宋体" w:cs="Times New Roman"/>
                <w:color w:val="auto"/>
                <w:sz w:val="24"/>
                <w:szCs w:val="24"/>
                <w:lang w:val="en-US" w:eastAsia="zh-CN"/>
              </w:rPr>
              <w:t>”</w:t>
            </w:r>
          </w:p>
          <w:p w14:paraId="6D19CB41">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区域地表水环境质量总体较好。</w:t>
            </w:r>
          </w:p>
          <w:p w14:paraId="6E16286C">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3.1.3 声环境质量现状</w:t>
            </w:r>
          </w:p>
          <w:p w14:paraId="64D5064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项目位于</w:t>
            </w:r>
            <w:r>
              <w:rPr>
                <w:rFonts w:hint="eastAsia" w:cs="Times New Roman"/>
                <w:color w:val="auto"/>
                <w:sz w:val="24"/>
                <w:highlight w:val="none"/>
                <w:lang w:eastAsia="zh-CN"/>
              </w:rPr>
              <w:t>重庆市九龙坡区华岩镇华福大道北段16号14幢附2-2号、2-3号、2-4号</w:t>
            </w:r>
            <w:r>
              <w:rPr>
                <w:rFonts w:hint="eastAsia" w:cs="Times New Roman"/>
                <w:color w:val="auto"/>
                <w:sz w:val="24"/>
                <w:highlight w:val="none"/>
                <w:lang w:val="en-US" w:eastAsia="zh-CN"/>
              </w:rPr>
              <w:t>（商业裙楼2F）</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根据《重庆市中心城区声环境功能区划分方案</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2023年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》可知，</w:t>
            </w:r>
            <w:r>
              <w:rPr>
                <w:rFonts w:hint="eastAsia" w:cs="Times New Roman"/>
                <w:color w:val="auto"/>
                <w:sz w:val="24"/>
                <w:highlight w:val="none"/>
                <w:lang w:val="en-US" w:eastAsia="zh-CN"/>
              </w:rPr>
              <w:t>本项目所属区域</w:t>
            </w:r>
            <w:r>
              <w:rPr>
                <w:rFonts w:hint="default" w:ascii="Times New Roman" w:hAnsi="Times New Roman" w:eastAsia="宋体" w:cs="Times New Roman"/>
                <w:color w:val="auto"/>
                <w:sz w:val="24"/>
                <w:highlight w:val="none"/>
              </w:rPr>
              <w:t>属于</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类声功能区。</w:t>
            </w:r>
          </w:p>
          <w:p w14:paraId="5A195B9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监测方案</w:t>
            </w:r>
          </w:p>
          <w:p w14:paraId="6B10FE2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监测点位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共1个监测点，</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rPr>
              <w:t>1点位于</w:t>
            </w:r>
            <w:r>
              <w:rPr>
                <w:rFonts w:hint="eastAsia" w:cs="Times New Roman"/>
                <w:color w:val="auto"/>
                <w:sz w:val="24"/>
                <w:highlight w:val="none"/>
                <w:lang w:val="en-US" w:eastAsia="zh-CN"/>
              </w:rPr>
              <w:t>项目西北侧</w:t>
            </w:r>
            <w:r>
              <w:rPr>
                <w:rFonts w:hint="default" w:ascii="Times New Roman" w:hAnsi="Times New Roman" w:eastAsia="宋体" w:cs="Times New Roman"/>
                <w:color w:val="auto"/>
                <w:sz w:val="24"/>
                <w:highlight w:val="none"/>
              </w:rPr>
              <w:t>。</w:t>
            </w:r>
          </w:p>
          <w:p w14:paraId="35F4326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监测内容</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昼夜</w:t>
            </w:r>
            <w:r>
              <w:rPr>
                <w:rFonts w:hint="default" w:ascii="Times New Roman" w:hAnsi="Times New Roman" w:eastAsia="宋体" w:cs="Times New Roman"/>
                <w:color w:val="auto"/>
                <w:sz w:val="24"/>
                <w:highlight w:val="none"/>
              </w:rPr>
              <w:t>等效A声级。</w:t>
            </w:r>
          </w:p>
          <w:p w14:paraId="213CD35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监测时间与频率</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监测时间为202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13</w:t>
            </w:r>
            <w:r>
              <w:rPr>
                <w:rFonts w:hint="default" w:ascii="Times New Roman" w:hAnsi="Times New Roman" w:eastAsia="宋体" w:cs="Times New Roman"/>
                <w:color w:val="auto"/>
                <w:sz w:val="24"/>
                <w:highlight w:val="none"/>
              </w:rPr>
              <w:t>日，监测一天，每天昼夜各监测一次。</w:t>
            </w:r>
          </w:p>
          <w:p w14:paraId="2BF8218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评价方法与标准</w:t>
            </w:r>
          </w:p>
          <w:p w14:paraId="0C7D303B">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点</w:t>
            </w:r>
            <w:r>
              <w:rPr>
                <w:rFonts w:hint="default" w:ascii="Times New Roman" w:hAnsi="Times New Roman" w:eastAsia="宋体" w:cs="Times New Roman"/>
                <w:color w:val="auto"/>
                <w:sz w:val="24"/>
                <w:highlight w:val="none"/>
              </w:rPr>
              <w:t>环境噪声执行《声环境质量标准》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w:t>
            </w:r>
            <w:r>
              <w:rPr>
                <w:rFonts w:hint="eastAsia"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3096-2008</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1类</w:t>
            </w:r>
            <w:r>
              <w:rPr>
                <w:rFonts w:hint="default" w:ascii="Times New Roman" w:hAnsi="Times New Roman" w:eastAsia="宋体" w:cs="Times New Roman"/>
                <w:color w:val="auto"/>
                <w:sz w:val="24"/>
                <w:highlight w:val="none"/>
              </w:rPr>
              <w:t>标准。</w:t>
            </w:r>
          </w:p>
          <w:p w14:paraId="7E18DFE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监测评价结果</w:t>
            </w:r>
          </w:p>
          <w:p w14:paraId="69AD333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监测数据及评价结果见表3.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14:paraId="2441EE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val="0"/>
                <w:color w:val="auto"/>
                <w:kern w:val="0"/>
                <w:sz w:val="24"/>
                <w:szCs w:val="24"/>
                <w:highlight w:val="none"/>
                <w:vertAlign w:val="baseline"/>
                <w:lang w:val="en-US"/>
              </w:rPr>
            </w:pPr>
            <w:r>
              <w:rPr>
                <w:rFonts w:hint="default" w:ascii="Times New Roman" w:hAnsi="Times New Roman" w:cs="Times New Roman"/>
                <w:b w:val="0"/>
                <w:bCs w:val="0"/>
                <w:color w:val="auto"/>
                <w:kern w:val="0"/>
                <w:sz w:val="21"/>
                <w:szCs w:val="21"/>
                <w:highlight w:val="none"/>
              </w:rPr>
              <w:t>表3.</w:t>
            </w:r>
            <w:r>
              <w:rPr>
                <w:rFonts w:hint="eastAsia"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rPr>
              <w:t>-</w:t>
            </w:r>
            <w:r>
              <w:rPr>
                <w:rFonts w:hint="eastAsia" w:cs="Times New Roman"/>
                <w:b w:val="0"/>
                <w:bCs w:val="0"/>
                <w:color w:val="auto"/>
                <w:kern w:val="0"/>
                <w:sz w:val="21"/>
                <w:szCs w:val="21"/>
                <w:highlight w:val="none"/>
                <w:lang w:val="en-US" w:eastAsia="zh-CN"/>
              </w:rPr>
              <w:t xml:space="preserve">2 </w:t>
            </w:r>
            <w:r>
              <w:rPr>
                <w:rFonts w:hint="default" w:ascii="Times New Roman" w:hAnsi="Times New Roman" w:cs="Times New Roman"/>
                <w:b w:val="0"/>
                <w:bCs w:val="0"/>
                <w:color w:val="auto"/>
                <w:kern w:val="0"/>
                <w:sz w:val="21"/>
                <w:szCs w:val="21"/>
                <w:highlight w:val="none"/>
              </w:rPr>
              <w:t>声环境监测统计结果</w:t>
            </w:r>
            <w:r>
              <w:rPr>
                <w:rFonts w:hint="default" w:ascii="Times New Roman" w:hAnsi="Times New Roman" w:cs="Times New Roman"/>
                <w:b w:val="0"/>
                <w:bCs w:val="0"/>
                <w:color w:val="auto"/>
                <w:kern w:val="0"/>
                <w:sz w:val="21"/>
                <w:szCs w:val="21"/>
                <w:highlight w:val="none"/>
                <w:lang w:val="en-US" w:eastAsia="zh-CN"/>
              </w:rPr>
              <w:t xml:space="preserve"> </w:t>
            </w:r>
            <w:r>
              <w:rPr>
                <w:rFonts w:hint="default" w:ascii="Times New Roman" w:hAnsi="Times New Roman" w:cs="Times New Roman"/>
                <w:b w:val="0"/>
                <w:bCs w:val="0"/>
                <w:color w:val="auto"/>
                <w:kern w:val="0"/>
                <w:sz w:val="21"/>
                <w:szCs w:val="21"/>
                <w:highlight w:val="none"/>
              </w:rPr>
              <w:t>单位</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rPr>
              <w:t>dB</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lang w:val="en-US" w:eastAsia="zh-CN"/>
              </w:rPr>
              <w:t>A）</w:t>
            </w:r>
          </w:p>
          <w:tbl>
            <w:tblPr>
              <w:tblStyle w:val="22"/>
              <w:tblW w:w="835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14"/>
              <w:gridCol w:w="1102"/>
              <w:gridCol w:w="710"/>
              <w:gridCol w:w="1045"/>
              <w:gridCol w:w="1045"/>
              <w:gridCol w:w="1045"/>
              <w:gridCol w:w="1045"/>
              <w:gridCol w:w="1046"/>
            </w:tblGrid>
            <w:tr w14:paraId="057FE6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314" w:type="dxa"/>
                  <w:vMerge w:val="restart"/>
                  <w:tcBorders>
                    <w:tl2br w:val="nil"/>
                    <w:tr2bl w:val="nil"/>
                  </w:tcBorders>
                  <w:vAlign w:val="center"/>
                </w:tcPr>
                <w:p w14:paraId="74487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监测点位</w:t>
                  </w:r>
                </w:p>
              </w:tc>
              <w:tc>
                <w:tcPr>
                  <w:tcW w:w="1102" w:type="dxa"/>
                  <w:vMerge w:val="restart"/>
                  <w:tcBorders>
                    <w:tl2br w:val="nil"/>
                    <w:tr2bl w:val="nil"/>
                  </w:tcBorders>
                  <w:vAlign w:val="center"/>
                </w:tcPr>
                <w:p w14:paraId="6DEF48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监测日期</w:t>
                  </w:r>
                </w:p>
              </w:tc>
              <w:tc>
                <w:tcPr>
                  <w:tcW w:w="1755" w:type="dxa"/>
                  <w:gridSpan w:val="2"/>
                  <w:tcBorders>
                    <w:tl2br w:val="nil"/>
                    <w:tr2bl w:val="nil"/>
                  </w:tcBorders>
                  <w:vAlign w:val="center"/>
                </w:tcPr>
                <w:p w14:paraId="523B0E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监测结果</w:t>
                  </w:r>
                  <w:r>
                    <w:rPr>
                      <w:rFonts w:hint="default" w:ascii="Times New Roman" w:hAnsi="Times New Roman" w:cs="Times New Roman"/>
                      <w:b w:val="0"/>
                      <w:bCs w:val="0"/>
                      <w:color w:val="auto"/>
                      <w:kern w:val="0"/>
                      <w:sz w:val="21"/>
                      <w:szCs w:val="21"/>
                      <w:highlight w:val="none"/>
                    </w:rPr>
                    <w:t>dB</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lang w:val="en-US" w:eastAsia="zh-CN"/>
                    </w:rPr>
                    <w:t>A）</w:t>
                  </w:r>
                </w:p>
              </w:tc>
              <w:tc>
                <w:tcPr>
                  <w:tcW w:w="2090" w:type="dxa"/>
                  <w:gridSpan w:val="2"/>
                  <w:tcBorders>
                    <w:tl2br w:val="nil"/>
                    <w:tr2bl w:val="nil"/>
                  </w:tcBorders>
                  <w:vAlign w:val="center"/>
                </w:tcPr>
                <w:p w14:paraId="32A398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标准限值</w:t>
                  </w:r>
                </w:p>
              </w:tc>
              <w:tc>
                <w:tcPr>
                  <w:tcW w:w="2091" w:type="dxa"/>
                  <w:gridSpan w:val="2"/>
                  <w:tcBorders>
                    <w:tl2br w:val="nil"/>
                    <w:tr2bl w:val="nil"/>
                  </w:tcBorders>
                  <w:vAlign w:val="center"/>
                </w:tcPr>
                <w:p w14:paraId="5F0DF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达标分析</w:t>
                  </w:r>
                </w:p>
              </w:tc>
            </w:tr>
            <w:tr w14:paraId="63C112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314" w:type="dxa"/>
                  <w:vMerge w:val="continue"/>
                  <w:tcBorders>
                    <w:tl2br w:val="nil"/>
                    <w:tr2bl w:val="nil"/>
                  </w:tcBorders>
                  <w:vAlign w:val="center"/>
                </w:tcPr>
                <w:p w14:paraId="330A25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p>
              </w:tc>
              <w:tc>
                <w:tcPr>
                  <w:tcW w:w="1102" w:type="dxa"/>
                  <w:vMerge w:val="continue"/>
                  <w:tcBorders>
                    <w:tl2br w:val="nil"/>
                    <w:tr2bl w:val="nil"/>
                  </w:tcBorders>
                  <w:vAlign w:val="center"/>
                </w:tcPr>
                <w:p w14:paraId="21BB6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p>
              </w:tc>
              <w:tc>
                <w:tcPr>
                  <w:tcW w:w="710" w:type="dxa"/>
                  <w:tcBorders>
                    <w:tl2br w:val="nil"/>
                    <w:tr2bl w:val="nil"/>
                  </w:tcBorders>
                  <w:vAlign w:val="center"/>
                </w:tcPr>
                <w:p w14:paraId="54CE0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1045" w:type="dxa"/>
                  <w:tcBorders>
                    <w:tl2br w:val="nil"/>
                    <w:tr2bl w:val="nil"/>
                  </w:tcBorders>
                  <w:vAlign w:val="center"/>
                </w:tcPr>
                <w:p w14:paraId="1E8C8B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1045" w:type="dxa"/>
                  <w:tcBorders>
                    <w:tl2br w:val="nil"/>
                    <w:tr2bl w:val="nil"/>
                  </w:tcBorders>
                  <w:shd w:val="clear" w:color="auto" w:fill="auto"/>
                  <w:vAlign w:val="center"/>
                </w:tcPr>
                <w:p w14:paraId="550FAD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1045" w:type="dxa"/>
                  <w:tcBorders>
                    <w:tl2br w:val="nil"/>
                    <w:tr2bl w:val="nil"/>
                  </w:tcBorders>
                  <w:shd w:val="clear" w:color="auto" w:fill="auto"/>
                  <w:vAlign w:val="center"/>
                </w:tcPr>
                <w:p w14:paraId="4CC0F2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1045" w:type="dxa"/>
                  <w:tcBorders>
                    <w:tl2br w:val="nil"/>
                    <w:tr2bl w:val="nil"/>
                  </w:tcBorders>
                  <w:shd w:val="clear" w:color="auto" w:fill="auto"/>
                  <w:vAlign w:val="center"/>
                </w:tcPr>
                <w:p w14:paraId="14B88F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1046" w:type="dxa"/>
                  <w:tcBorders>
                    <w:tl2br w:val="nil"/>
                    <w:tr2bl w:val="nil"/>
                  </w:tcBorders>
                  <w:shd w:val="clear" w:color="auto" w:fill="auto"/>
                  <w:vAlign w:val="center"/>
                </w:tcPr>
                <w:p w14:paraId="25909B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夜间</w:t>
                  </w:r>
                </w:p>
              </w:tc>
            </w:tr>
            <w:tr w14:paraId="73AFC8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314" w:type="dxa"/>
                  <w:tcBorders>
                    <w:tl2br w:val="nil"/>
                    <w:tr2bl w:val="nil"/>
                  </w:tcBorders>
                  <w:vAlign w:val="center"/>
                </w:tcPr>
                <w:p w14:paraId="20CB52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项目西北侧</w:t>
                  </w:r>
                </w:p>
              </w:tc>
              <w:tc>
                <w:tcPr>
                  <w:tcW w:w="1102" w:type="dxa"/>
                  <w:tcBorders>
                    <w:tl2br w:val="nil"/>
                    <w:tr2bl w:val="nil"/>
                  </w:tcBorders>
                  <w:vAlign w:val="center"/>
                </w:tcPr>
                <w:p w14:paraId="3E21B3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2025.3.13</w:t>
                  </w:r>
                </w:p>
              </w:tc>
              <w:tc>
                <w:tcPr>
                  <w:tcW w:w="710" w:type="dxa"/>
                  <w:tcBorders>
                    <w:tl2br w:val="nil"/>
                    <w:tr2bl w:val="nil"/>
                  </w:tcBorders>
                  <w:vAlign w:val="center"/>
                </w:tcPr>
                <w:p w14:paraId="121302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53</w:t>
                  </w:r>
                </w:p>
              </w:tc>
              <w:tc>
                <w:tcPr>
                  <w:tcW w:w="1045" w:type="dxa"/>
                  <w:tcBorders>
                    <w:tl2br w:val="nil"/>
                    <w:tr2bl w:val="nil"/>
                  </w:tcBorders>
                  <w:vAlign w:val="center"/>
                </w:tcPr>
                <w:p w14:paraId="498648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43</w:t>
                  </w:r>
                </w:p>
              </w:tc>
              <w:tc>
                <w:tcPr>
                  <w:tcW w:w="1045" w:type="dxa"/>
                  <w:tcBorders>
                    <w:tl2br w:val="nil"/>
                    <w:tr2bl w:val="nil"/>
                  </w:tcBorders>
                  <w:vAlign w:val="center"/>
                </w:tcPr>
                <w:p w14:paraId="0E87A8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55</w:t>
                  </w:r>
                </w:p>
              </w:tc>
              <w:tc>
                <w:tcPr>
                  <w:tcW w:w="1045" w:type="dxa"/>
                  <w:tcBorders>
                    <w:tl2br w:val="nil"/>
                    <w:tr2bl w:val="nil"/>
                  </w:tcBorders>
                  <w:vAlign w:val="center"/>
                </w:tcPr>
                <w:p w14:paraId="09602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45</w:t>
                  </w:r>
                </w:p>
              </w:tc>
              <w:tc>
                <w:tcPr>
                  <w:tcW w:w="1045" w:type="dxa"/>
                  <w:tcBorders>
                    <w:tl2br w:val="nil"/>
                    <w:tr2bl w:val="nil"/>
                  </w:tcBorders>
                  <w:vAlign w:val="center"/>
                </w:tcPr>
                <w:p w14:paraId="6BF7F2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达标</w:t>
                  </w:r>
                </w:p>
              </w:tc>
              <w:tc>
                <w:tcPr>
                  <w:tcW w:w="1046" w:type="dxa"/>
                  <w:tcBorders>
                    <w:tl2br w:val="nil"/>
                    <w:tr2bl w:val="nil"/>
                  </w:tcBorders>
                  <w:vAlign w:val="center"/>
                </w:tcPr>
                <w:p w14:paraId="2776B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r>
                    <w:rPr>
                      <w:rFonts w:hint="eastAsia" w:cs="Times New Roman"/>
                      <w:b w:val="0"/>
                      <w:bCs w:val="0"/>
                      <w:color w:val="auto"/>
                      <w:kern w:val="0"/>
                      <w:sz w:val="21"/>
                      <w:szCs w:val="21"/>
                      <w:highlight w:val="none"/>
                      <w:vertAlign w:val="baseline"/>
                      <w:lang w:val="en-US" w:eastAsia="zh-CN"/>
                    </w:rPr>
                    <w:t>达标</w:t>
                  </w:r>
                </w:p>
              </w:tc>
            </w:tr>
          </w:tbl>
          <w:p w14:paraId="482C3D3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rPr>
            </w:pPr>
            <w:r>
              <w:rPr>
                <w:rFonts w:hint="default" w:ascii="Times New Roman" w:hAnsi="Times New Roman" w:cs="Times New Roman"/>
                <w:b w:val="0"/>
                <w:bCs w:val="0"/>
                <w:color w:val="auto"/>
                <w:kern w:val="0"/>
                <w:sz w:val="24"/>
                <w:szCs w:val="24"/>
                <w:highlight w:val="none"/>
                <w:lang w:val="en-US"/>
              </w:rPr>
              <w:t>监测结果表明，</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点</w:t>
            </w:r>
            <w:r>
              <w:rPr>
                <w:rFonts w:hint="default" w:ascii="Times New Roman" w:hAnsi="Times New Roman" w:cs="Times New Roman"/>
                <w:b w:val="0"/>
                <w:bCs w:val="0"/>
                <w:color w:val="auto"/>
                <w:kern w:val="0"/>
                <w:sz w:val="24"/>
                <w:szCs w:val="24"/>
                <w:highlight w:val="none"/>
                <w:lang w:val="en-US"/>
              </w:rPr>
              <w:t>昼</w:t>
            </w:r>
            <w:r>
              <w:rPr>
                <w:rFonts w:hint="eastAsia" w:cs="Times New Roman"/>
                <w:b w:val="0"/>
                <w:bCs w:val="0"/>
                <w:color w:val="auto"/>
                <w:kern w:val="0"/>
                <w:sz w:val="24"/>
                <w:szCs w:val="24"/>
                <w:highlight w:val="none"/>
                <w:lang w:val="en-US" w:eastAsia="zh-CN"/>
              </w:rPr>
              <w:t>、夜</w:t>
            </w:r>
            <w:r>
              <w:rPr>
                <w:rFonts w:hint="default" w:ascii="Times New Roman" w:hAnsi="Times New Roman" w:cs="Times New Roman"/>
                <w:b w:val="0"/>
                <w:bCs w:val="0"/>
                <w:color w:val="auto"/>
                <w:kern w:val="0"/>
                <w:sz w:val="24"/>
                <w:szCs w:val="24"/>
                <w:highlight w:val="none"/>
                <w:lang w:val="en-US"/>
              </w:rPr>
              <w:t>间噪声</w:t>
            </w:r>
            <w:r>
              <w:rPr>
                <w:rFonts w:hint="eastAsia" w:cs="Times New Roman"/>
                <w:b w:val="0"/>
                <w:bCs w:val="0"/>
                <w:color w:val="auto"/>
                <w:kern w:val="0"/>
                <w:sz w:val="24"/>
                <w:szCs w:val="24"/>
                <w:highlight w:val="none"/>
                <w:lang w:val="en-US" w:eastAsia="zh-CN"/>
              </w:rPr>
              <w:t>均</w:t>
            </w:r>
            <w:r>
              <w:rPr>
                <w:rFonts w:hint="default" w:ascii="Times New Roman" w:hAnsi="Times New Roman" w:cs="Times New Roman"/>
                <w:b w:val="0"/>
                <w:bCs w:val="0"/>
                <w:color w:val="auto"/>
                <w:kern w:val="0"/>
                <w:sz w:val="24"/>
                <w:szCs w:val="24"/>
                <w:highlight w:val="none"/>
                <w:lang w:val="en-US"/>
              </w:rPr>
              <w:t>满足《声环境质量标准》</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GB</w:t>
            </w:r>
            <w:r>
              <w:rPr>
                <w:rFonts w:hint="eastAsia" w:cs="Times New Roman"/>
                <w:b w:val="0"/>
                <w:bCs w:val="0"/>
                <w:color w:val="auto"/>
                <w:kern w:val="0"/>
                <w:sz w:val="24"/>
                <w:szCs w:val="24"/>
                <w:highlight w:val="none"/>
                <w:lang w:val="en-US" w:eastAsia="zh-CN"/>
              </w:rPr>
              <w:t xml:space="preserve"> </w:t>
            </w:r>
            <w:r>
              <w:rPr>
                <w:rFonts w:hint="default" w:ascii="Times New Roman" w:hAnsi="Times New Roman" w:cs="Times New Roman"/>
                <w:b w:val="0"/>
                <w:bCs w:val="0"/>
                <w:color w:val="auto"/>
                <w:kern w:val="0"/>
                <w:sz w:val="24"/>
                <w:szCs w:val="24"/>
                <w:highlight w:val="none"/>
                <w:lang w:val="en-US"/>
              </w:rPr>
              <w:t>3096-2008</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中</w:t>
            </w:r>
            <w:r>
              <w:rPr>
                <w:rFonts w:hint="eastAsia"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rPr>
              <w:t>类标准</w:t>
            </w:r>
            <w:r>
              <w:rPr>
                <w:rFonts w:hint="eastAsia" w:ascii="Times New Roman" w:hAnsi="Times New Roman" w:eastAsia="宋体" w:cs="Times New Roman"/>
                <w:color w:val="auto"/>
                <w:kern w:val="2"/>
                <w:sz w:val="24"/>
                <w:szCs w:val="22"/>
                <w:highlight w:val="none"/>
                <w:lang w:val="en-US" w:eastAsia="zh-CN" w:bidi="ar-SA"/>
              </w:rPr>
              <w:t>，区域声环境质量较好</w:t>
            </w:r>
            <w:r>
              <w:rPr>
                <w:rFonts w:hint="default" w:ascii="Times New Roman" w:hAnsi="Times New Roman" w:cs="Times New Roman"/>
                <w:b w:val="0"/>
                <w:bCs w:val="0"/>
                <w:color w:val="auto"/>
                <w:kern w:val="0"/>
                <w:sz w:val="24"/>
                <w:szCs w:val="24"/>
                <w:highlight w:val="none"/>
                <w:lang w:val="en-US"/>
              </w:rPr>
              <w:t>。</w:t>
            </w:r>
          </w:p>
          <w:p w14:paraId="55677B8E">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eastAsia="宋体" w:cs="Times New Roman"/>
                <w:b/>
                <w:bCs/>
                <w:color w:val="auto"/>
                <w:kern w:val="0"/>
                <w:sz w:val="24"/>
                <w:szCs w:val="24"/>
                <w:highlight w:val="none"/>
                <w:lang w:val="en-US"/>
              </w:rPr>
            </w:pPr>
            <w:r>
              <w:rPr>
                <w:rFonts w:hint="default" w:ascii="Times New Roman" w:hAnsi="Times New Roman" w:eastAsia="宋体" w:cs="Times New Roman"/>
                <w:b/>
                <w:bCs/>
                <w:color w:val="auto"/>
                <w:kern w:val="0"/>
                <w:sz w:val="24"/>
                <w:szCs w:val="24"/>
                <w:highlight w:val="none"/>
                <w:lang w:val="en-US"/>
              </w:rPr>
              <w:t>3.1.4 生态环境</w:t>
            </w:r>
          </w:p>
          <w:p w14:paraId="0A01F5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rPr>
            </w:pPr>
            <w:r>
              <w:rPr>
                <w:rFonts w:hint="default" w:ascii="Times New Roman" w:hAnsi="Times New Roman" w:cs="Times New Roman"/>
                <w:b w:val="0"/>
                <w:bCs w:val="0"/>
                <w:color w:val="auto"/>
                <w:kern w:val="0"/>
                <w:sz w:val="24"/>
                <w:szCs w:val="24"/>
                <w:highlight w:val="none"/>
                <w:lang w:val="en-US"/>
              </w:rPr>
              <w:t>项目位于</w:t>
            </w:r>
            <w:r>
              <w:rPr>
                <w:rFonts w:hint="eastAsia" w:cs="Times New Roman"/>
                <w:b w:val="0"/>
                <w:bCs/>
                <w:color w:val="auto"/>
                <w:sz w:val="24"/>
                <w:szCs w:val="24"/>
                <w:highlight w:val="none"/>
                <w:lang w:val="en-US" w:eastAsia="zh-CN"/>
              </w:rPr>
              <w:t>重庆市九龙坡区华岩镇华福大道北段16号14幢附2-2号、2-3号、2-4号（商业裙楼2F）</w:t>
            </w:r>
            <w:r>
              <w:rPr>
                <w:rFonts w:hint="default" w:ascii="Times New Roman" w:hAnsi="Times New Roman" w:cs="Times New Roman"/>
                <w:b w:val="0"/>
                <w:bCs w:val="0"/>
                <w:color w:val="auto"/>
                <w:kern w:val="0"/>
                <w:sz w:val="24"/>
                <w:szCs w:val="24"/>
                <w:highlight w:val="none"/>
                <w:lang w:val="en-US"/>
              </w:rPr>
              <w:t>，租用商业用房开展经营活动，不新增占地。周边已建设住宅区、商业区和道路。周围无生态环境保护目标，不涉及生态红线范围，对生态环境的影响较小。所以无需对生态环境进行评价。</w:t>
            </w:r>
          </w:p>
          <w:p w14:paraId="51BCDD6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eastAsia="宋体" w:cs="Times New Roman"/>
                <w:b/>
                <w:bCs/>
                <w:color w:val="auto"/>
                <w:kern w:val="0"/>
                <w:sz w:val="24"/>
                <w:szCs w:val="24"/>
                <w:highlight w:val="none"/>
                <w:lang w:val="en-US"/>
              </w:rPr>
            </w:pPr>
            <w:r>
              <w:rPr>
                <w:rFonts w:hint="default" w:ascii="Times New Roman" w:hAnsi="Times New Roman" w:eastAsia="宋体" w:cs="Times New Roman"/>
                <w:b/>
                <w:bCs/>
                <w:color w:val="auto"/>
                <w:kern w:val="0"/>
                <w:sz w:val="24"/>
                <w:szCs w:val="24"/>
                <w:highlight w:val="none"/>
                <w:lang w:val="en-US"/>
              </w:rPr>
              <w:t>3.1.5 地下水、土壤环境质量</w:t>
            </w:r>
          </w:p>
          <w:p w14:paraId="27E531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rPr>
            </w:pPr>
            <w:r>
              <w:rPr>
                <w:rFonts w:hint="default" w:ascii="Times New Roman" w:hAnsi="Times New Roman" w:eastAsia="宋体" w:cs="Times New Roman"/>
                <w:b w:val="0"/>
                <w:bCs w:val="0"/>
                <w:color w:val="auto"/>
                <w:kern w:val="0"/>
                <w:sz w:val="24"/>
                <w:szCs w:val="24"/>
                <w:highlight w:val="none"/>
                <w:lang w:val="en-US"/>
              </w:rPr>
              <w:t>依据《建设项目环境影响报告表编制技术指南</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rPr>
              <w:t>污染影响类</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rPr>
              <w:t>试行</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rPr>
              <w:t>》原则上不开展环境质量现状调查。建设项目存在土壤、地下水环境污染途径的应结合污染源、保护目标分布情况开展现状调查以留作背景值。项目厂界外500米范围内无地下水集中式饮用水水源和热水、矿泉水、温泉等特殊地下水资源。</w:t>
            </w:r>
            <w:r>
              <w:rPr>
                <w:rFonts w:hint="eastAsia" w:cs="Times New Roman"/>
                <w:b w:val="0"/>
                <w:bCs w:val="0"/>
                <w:color w:val="auto"/>
                <w:kern w:val="0"/>
                <w:sz w:val="24"/>
                <w:szCs w:val="24"/>
                <w:highlight w:val="none"/>
                <w:lang w:val="en-US" w:eastAsia="zh-CN"/>
              </w:rPr>
              <w:t>医疗废物贮存点</w:t>
            </w:r>
            <w:r>
              <w:rPr>
                <w:rFonts w:hint="default" w:ascii="Times New Roman" w:hAnsi="Times New Roman" w:eastAsia="宋体" w:cs="Times New Roman"/>
                <w:b w:val="0"/>
                <w:bCs w:val="0"/>
                <w:color w:val="auto"/>
                <w:kern w:val="0"/>
                <w:sz w:val="24"/>
                <w:szCs w:val="24"/>
                <w:highlight w:val="none"/>
                <w:lang w:val="en-US"/>
              </w:rPr>
              <w:t>要求采取</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rPr>
              <w:t>六防</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rPr>
              <w:t>措施</w:t>
            </w:r>
            <w:r>
              <w:rPr>
                <w:rFonts w:hint="default" w:ascii="Times New Roman" w:hAnsi="Times New Roman" w:eastAsia="宋体" w:cs="Times New Roman"/>
                <w:b w:val="0"/>
                <w:bCs w:val="0"/>
                <w:color w:val="auto"/>
                <w:kern w:val="0"/>
                <w:sz w:val="24"/>
                <w:szCs w:val="24"/>
                <w:lang w:val="en-US"/>
              </w:rPr>
              <w:t>，且</w:t>
            </w:r>
            <w:r>
              <w:rPr>
                <w:rFonts w:hint="default" w:ascii="Times New Roman" w:hAnsi="Times New Roman" w:eastAsia="宋体" w:cs="Times New Roman"/>
                <w:b w:val="0"/>
                <w:bCs w:val="0"/>
                <w:color w:val="auto"/>
                <w:kern w:val="0"/>
                <w:sz w:val="24"/>
                <w:szCs w:val="24"/>
                <w:highlight w:val="none"/>
                <w:lang w:val="en-US"/>
              </w:rPr>
              <w:t>项目</w:t>
            </w:r>
            <w:r>
              <w:rPr>
                <w:rFonts w:hint="eastAsia" w:cs="Times New Roman"/>
                <w:b w:val="0"/>
                <w:bCs w:val="0"/>
                <w:color w:val="auto"/>
                <w:kern w:val="0"/>
                <w:sz w:val="24"/>
                <w:szCs w:val="24"/>
                <w:highlight w:val="none"/>
                <w:lang w:val="en-US" w:eastAsia="zh-CN"/>
              </w:rPr>
              <w:t>医疗废物贮存点</w:t>
            </w:r>
            <w:r>
              <w:rPr>
                <w:rFonts w:hint="default" w:ascii="Times New Roman" w:hAnsi="Times New Roman" w:eastAsia="宋体" w:cs="Times New Roman"/>
                <w:b w:val="0"/>
                <w:bCs w:val="0"/>
                <w:color w:val="auto"/>
                <w:kern w:val="0"/>
                <w:sz w:val="24"/>
                <w:szCs w:val="24"/>
                <w:highlight w:val="none"/>
                <w:lang w:val="en-US"/>
              </w:rPr>
              <w:t>和</w:t>
            </w:r>
            <w:r>
              <w:rPr>
                <w:rFonts w:hint="eastAsia" w:ascii="Times New Roman" w:hAnsi="Times New Roman" w:cs="Times New Roman"/>
                <w:b w:val="0"/>
                <w:bCs w:val="0"/>
                <w:color w:val="auto"/>
                <w:kern w:val="0"/>
                <w:sz w:val="24"/>
                <w:szCs w:val="24"/>
                <w:highlight w:val="none"/>
                <w:lang w:val="en-US" w:eastAsia="zh-CN"/>
              </w:rPr>
              <w:t>医疗废水</w:t>
            </w:r>
            <w:r>
              <w:rPr>
                <w:rFonts w:hint="eastAsia" w:cs="Times New Roman"/>
                <w:b w:val="0"/>
                <w:bCs w:val="0"/>
                <w:color w:val="auto"/>
                <w:kern w:val="0"/>
                <w:sz w:val="24"/>
                <w:szCs w:val="24"/>
                <w:highlight w:val="none"/>
                <w:lang w:val="en-US" w:eastAsia="zh-CN"/>
              </w:rPr>
              <w:t>消毒设施</w:t>
            </w:r>
            <w:r>
              <w:rPr>
                <w:rFonts w:hint="default" w:ascii="Times New Roman" w:hAnsi="Times New Roman" w:eastAsia="宋体" w:cs="Times New Roman"/>
                <w:b w:val="0"/>
                <w:bCs w:val="0"/>
                <w:color w:val="auto"/>
                <w:kern w:val="0"/>
                <w:sz w:val="24"/>
                <w:szCs w:val="24"/>
                <w:highlight w:val="none"/>
                <w:lang w:val="en-US"/>
              </w:rPr>
              <w:t>均设置于2F</w:t>
            </w:r>
            <w:r>
              <w:rPr>
                <w:rFonts w:hint="eastAsia" w:cs="Times New Roman"/>
                <w:b w:val="0"/>
                <w:bCs w:val="0"/>
                <w:color w:val="auto"/>
                <w:kern w:val="0"/>
                <w:sz w:val="24"/>
                <w:szCs w:val="24"/>
                <w:highlight w:val="none"/>
                <w:lang w:val="en-US" w:eastAsia="zh-CN"/>
              </w:rPr>
              <w:t>（医院整体位于2F），</w:t>
            </w:r>
            <w:r>
              <w:rPr>
                <w:rFonts w:hint="default" w:ascii="Times New Roman" w:hAnsi="Times New Roman" w:eastAsia="宋体" w:cs="Times New Roman"/>
                <w:b w:val="0"/>
                <w:bCs w:val="0"/>
                <w:color w:val="auto"/>
                <w:kern w:val="0"/>
                <w:sz w:val="24"/>
                <w:szCs w:val="24"/>
                <w:lang w:val="en-US"/>
              </w:rPr>
              <w:t>不存在土壤、地下水环境污染途径。</w:t>
            </w:r>
            <w:r>
              <w:rPr>
                <w:rFonts w:hint="default" w:ascii="Times New Roman" w:hAnsi="Times New Roman" w:eastAsia="宋体" w:cs="Times New Roman"/>
                <w:b w:val="0"/>
                <w:bCs w:val="0"/>
                <w:color w:val="auto"/>
                <w:kern w:val="0"/>
                <w:sz w:val="24"/>
                <w:szCs w:val="24"/>
                <w:highlight w:val="none"/>
                <w:lang w:val="en-US"/>
              </w:rPr>
              <w:t>故无需开展地下水、土壤调查。</w:t>
            </w:r>
          </w:p>
          <w:p w14:paraId="5ACC5744">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textAlignment w:val="auto"/>
              <w:rPr>
                <w:b/>
                <w:bCs/>
                <w:color w:val="auto"/>
                <w:kern w:val="0"/>
                <w:sz w:val="24"/>
                <w:szCs w:val="24"/>
              </w:rPr>
            </w:pPr>
            <w:r>
              <w:rPr>
                <w:rFonts w:hint="eastAsia"/>
                <w:b/>
                <w:bCs/>
                <w:color w:val="auto"/>
                <w:kern w:val="0"/>
                <w:sz w:val="24"/>
                <w:szCs w:val="24"/>
              </w:rPr>
              <w:t>3</w:t>
            </w:r>
            <w:r>
              <w:rPr>
                <w:b/>
                <w:bCs/>
                <w:color w:val="auto"/>
                <w:kern w:val="0"/>
                <w:sz w:val="24"/>
                <w:szCs w:val="24"/>
              </w:rPr>
              <w:t>.1.6</w:t>
            </w:r>
            <w:r>
              <w:rPr>
                <w:rFonts w:hint="eastAsia"/>
                <w:b/>
                <w:bCs/>
                <w:color w:val="auto"/>
                <w:kern w:val="0"/>
                <w:sz w:val="24"/>
                <w:szCs w:val="24"/>
              </w:rPr>
              <w:t>、电磁辐射</w:t>
            </w:r>
          </w:p>
          <w:p w14:paraId="7863C74E">
            <w:pPr>
              <w:pStyle w:val="49"/>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highlight w:val="none"/>
                <w:lang w:val="en-US" w:eastAsia="zh-CN"/>
              </w:rPr>
              <w:t>拟建项目</w:t>
            </w:r>
            <w:r>
              <w:rPr>
                <w:rFonts w:hint="default" w:ascii="Times New Roman" w:hAnsi="Times New Roman" w:eastAsia="宋体" w:cs="Times New Roman"/>
                <w:b w:val="0"/>
                <w:bCs w:val="0"/>
                <w:color w:val="auto"/>
                <w:kern w:val="0"/>
                <w:sz w:val="24"/>
                <w:szCs w:val="24"/>
                <w:highlight w:val="none"/>
                <w:lang w:val="en-US"/>
              </w:rPr>
              <w:t>不属于电磁辐射类项目，因此拟建项目不需要开展电磁辐射现状监测与评价。</w:t>
            </w:r>
            <w:r>
              <w:rPr>
                <w:rFonts w:hint="default" w:ascii="Times New Roman" w:hAnsi="Times New Roman" w:eastAsia="宋体" w:cs="Times New Roman"/>
                <w:b w:val="0"/>
                <w:bCs w:val="0"/>
                <w:color w:val="auto"/>
                <w:kern w:val="0"/>
                <w:sz w:val="24"/>
                <w:szCs w:val="24"/>
                <w:highlight w:val="none"/>
                <w:lang w:val="en-US" w:eastAsia="zh-CN"/>
              </w:rPr>
              <w:t>本项目</w:t>
            </w:r>
            <w:r>
              <w:rPr>
                <w:rFonts w:hint="eastAsia" w:ascii="Times New Roman" w:hAnsi="Times New Roman" w:eastAsia="宋体" w:cs="Times New Roman"/>
                <w:b w:val="0"/>
                <w:bCs w:val="0"/>
                <w:color w:val="auto"/>
                <w:kern w:val="0"/>
                <w:sz w:val="24"/>
                <w:szCs w:val="24"/>
                <w:highlight w:val="none"/>
                <w:lang w:val="en-US" w:eastAsia="zh-CN"/>
              </w:rPr>
              <w:t>DR室</w:t>
            </w:r>
            <w:r>
              <w:rPr>
                <w:rFonts w:hint="default" w:ascii="Times New Roman" w:hAnsi="Times New Roman" w:eastAsia="宋体" w:cs="Times New Roman"/>
                <w:b w:val="0"/>
                <w:bCs w:val="0"/>
                <w:color w:val="auto"/>
                <w:kern w:val="0"/>
                <w:sz w:val="24"/>
                <w:szCs w:val="24"/>
                <w:highlight w:val="none"/>
                <w:lang w:val="en-US" w:eastAsia="zh-CN"/>
              </w:rPr>
              <w:t>配备1台DR机，属于III类射线装置，已取得辐射安全许可证，证书编号为</w:t>
            </w:r>
            <w:r>
              <w:rPr>
                <w:rFonts w:hint="eastAsia" w:ascii="Times New Roman" w:eastAsia="宋体" w:cs="Times New Roman"/>
                <w:b w:val="0"/>
                <w:bCs w:val="0"/>
                <w:color w:val="auto"/>
                <w:kern w:val="0"/>
                <w:sz w:val="24"/>
                <w:szCs w:val="24"/>
                <w:highlight w:val="none"/>
                <w:lang w:val="en-US" w:eastAsia="zh-CN"/>
              </w:rPr>
              <w:t>渝环辐证[15201]</w:t>
            </w:r>
            <w:r>
              <w:rPr>
                <w:rFonts w:hint="default" w:ascii="Times New Roman" w:hAnsi="Times New Roman" w:eastAsia="宋体" w:cs="Times New Roman"/>
                <w:b w:val="0"/>
                <w:bCs w:val="0"/>
                <w:color w:val="auto"/>
                <w:kern w:val="0"/>
                <w:sz w:val="24"/>
                <w:szCs w:val="24"/>
                <w:highlight w:val="none"/>
                <w:lang w:val="en-US" w:eastAsia="zh-CN"/>
              </w:rPr>
              <w:t>，已取得建设项目环境影响登记表，备案号为</w:t>
            </w:r>
            <w:r>
              <w:rPr>
                <w:rFonts w:hint="eastAsia" w:ascii="Times New Roman" w:eastAsia="宋体" w:cs="Times New Roman"/>
                <w:b w:val="0"/>
                <w:bCs w:val="0"/>
                <w:color w:val="auto"/>
                <w:kern w:val="0"/>
                <w:sz w:val="24"/>
                <w:szCs w:val="24"/>
                <w:highlight w:val="none"/>
                <w:lang w:val="en-US" w:eastAsia="zh-CN"/>
              </w:rPr>
              <w:t>202450010700000315</w:t>
            </w:r>
            <w:r>
              <w:rPr>
                <w:rFonts w:hint="default" w:ascii="Times New Roman" w:hAnsi="Times New Roman" w:eastAsia="宋体" w:cs="Times New Roman"/>
                <w:b w:val="0"/>
                <w:bCs w:val="0"/>
                <w:color w:val="auto"/>
                <w:kern w:val="0"/>
                <w:sz w:val="24"/>
                <w:szCs w:val="24"/>
                <w:highlight w:val="none"/>
                <w:lang w:val="en-US" w:eastAsia="zh-CN"/>
              </w:rPr>
              <w:t>。因此，本次环评不包含辐射相关评价内容。</w:t>
            </w:r>
          </w:p>
        </w:tc>
      </w:tr>
      <w:tr w14:paraId="630BC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19A758BC">
            <w:pPr>
              <w:adjustRightInd w:val="0"/>
              <w:snapToGrid w:val="0"/>
              <w:jc w:val="center"/>
              <w:rPr>
                <w:rFonts w:hint="eastAsia" w:ascii="宋体" w:hAnsi="宋体" w:cs="宋体"/>
                <w:color w:val="auto"/>
                <w:kern w:val="0"/>
                <w:sz w:val="22"/>
                <w:szCs w:val="22"/>
              </w:rPr>
            </w:pPr>
            <w:r>
              <w:rPr>
                <w:rFonts w:hint="eastAsia" w:ascii="宋体" w:hAnsi="宋体" w:cs="宋体"/>
                <w:color w:val="auto"/>
                <w:kern w:val="0"/>
                <w:sz w:val="22"/>
                <w:szCs w:val="22"/>
              </w:rPr>
              <w:t>环境</w:t>
            </w:r>
          </w:p>
          <w:p w14:paraId="5979B1D1">
            <w:pPr>
              <w:adjustRightInd w:val="0"/>
              <w:snapToGrid w:val="0"/>
              <w:jc w:val="center"/>
              <w:rPr>
                <w:rFonts w:hint="eastAsia" w:ascii="宋体" w:hAnsi="宋体" w:cs="宋体"/>
                <w:color w:val="auto"/>
                <w:kern w:val="0"/>
                <w:sz w:val="22"/>
                <w:szCs w:val="22"/>
              </w:rPr>
            </w:pPr>
            <w:r>
              <w:rPr>
                <w:rFonts w:hint="eastAsia" w:ascii="宋体" w:hAnsi="宋体" w:cs="宋体"/>
                <w:color w:val="auto"/>
                <w:kern w:val="0"/>
                <w:sz w:val="22"/>
                <w:szCs w:val="22"/>
              </w:rPr>
              <w:t>保护</w:t>
            </w:r>
          </w:p>
          <w:p w14:paraId="33E77216">
            <w:pPr>
              <w:adjustRightInd w:val="0"/>
              <w:snapToGrid w:val="0"/>
              <w:jc w:val="center"/>
              <w:rPr>
                <w:rFonts w:hint="eastAsia" w:ascii="宋体" w:hAnsi="宋体" w:cs="宋体"/>
                <w:color w:val="auto"/>
                <w:kern w:val="0"/>
                <w:szCs w:val="21"/>
              </w:rPr>
            </w:pPr>
            <w:r>
              <w:rPr>
                <w:rFonts w:hint="eastAsia" w:ascii="宋体" w:hAnsi="宋体" w:cs="宋体"/>
                <w:color w:val="auto"/>
                <w:kern w:val="0"/>
                <w:sz w:val="22"/>
                <w:szCs w:val="22"/>
              </w:rPr>
              <w:t>目标</w:t>
            </w:r>
          </w:p>
        </w:tc>
        <w:tc>
          <w:tcPr>
            <w:tcW w:w="8600" w:type="dxa"/>
            <w:noWrap w:val="0"/>
            <w:vAlign w:val="center"/>
          </w:tcPr>
          <w:p w14:paraId="1AD7DD1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3.2 环境保护目标</w:t>
            </w:r>
          </w:p>
          <w:p w14:paraId="12B33C91">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3.2.1 周边环境关系</w:t>
            </w:r>
          </w:p>
          <w:p w14:paraId="283751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项目位于</w:t>
            </w:r>
            <w:r>
              <w:rPr>
                <w:rFonts w:hint="eastAsia" w:cs="Times New Roman"/>
                <w:color w:val="auto"/>
                <w:sz w:val="24"/>
                <w:szCs w:val="24"/>
                <w:lang w:val="en-US" w:eastAsia="zh-CN"/>
              </w:rPr>
              <w:t>重庆市九龙坡区华岩镇华福大道北段16号14幢附2-2号、2-3号、2-4号</w:t>
            </w:r>
            <w:r>
              <w:rPr>
                <w:rFonts w:hint="default" w:ascii="Times New Roman" w:hAnsi="Times New Roman" w:cs="Times New Roman"/>
                <w:b w:val="0"/>
                <w:bCs w:val="0"/>
                <w:color w:val="auto"/>
                <w:kern w:val="0"/>
                <w:sz w:val="24"/>
                <w:szCs w:val="24"/>
              </w:rPr>
              <w:t>，该栋楼为</w:t>
            </w:r>
            <w:r>
              <w:rPr>
                <w:rFonts w:hint="eastAsia" w:cs="Times New Roman"/>
                <w:b w:val="0"/>
                <w:bCs w:val="0"/>
                <w:color w:val="auto"/>
                <w:sz w:val="24"/>
                <w:szCs w:val="24"/>
                <w:highlight w:val="none"/>
                <w:vertAlign w:val="baseline"/>
                <w:lang w:val="en-US" w:eastAsia="zh-CN"/>
              </w:rPr>
              <w:t>2F高的商业裙楼，本项目位于2F</w:t>
            </w:r>
            <w:r>
              <w:rPr>
                <w:rFonts w:hint="default" w:ascii="Times New Roman" w:hAnsi="Times New Roman" w:cs="Times New Roman"/>
                <w:b w:val="0"/>
                <w:bCs w:val="0"/>
                <w:color w:val="auto"/>
                <w:kern w:val="0"/>
                <w:sz w:val="24"/>
                <w:szCs w:val="24"/>
              </w:rPr>
              <w:t>。项目外环境关系情况见表 3.2-1。</w:t>
            </w:r>
          </w:p>
          <w:p w14:paraId="5F3B948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lang w:val="en-US" w:eastAsia="zh-CN"/>
              </w:rPr>
              <w:t>表3.2-1项目外环境关系一览表</w:t>
            </w:r>
          </w:p>
          <w:tbl>
            <w:tblPr>
              <w:tblStyle w:val="22"/>
              <w:tblW w:w="835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51"/>
              <w:gridCol w:w="2669"/>
              <w:gridCol w:w="1385"/>
              <w:gridCol w:w="1623"/>
              <w:gridCol w:w="1623"/>
            </w:tblGrid>
            <w:tr w14:paraId="3CAD7B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482A56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序号</w:t>
                  </w:r>
                </w:p>
              </w:tc>
              <w:tc>
                <w:tcPr>
                  <w:tcW w:w="2669" w:type="dxa"/>
                  <w:tcBorders>
                    <w:tl2br w:val="nil"/>
                    <w:tr2bl w:val="nil"/>
                  </w:tcBorders>
                  <w:vAlign w:val="center"/>
                </w:tcPr>
                <w:p w14:paraId="024E33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名称</w:t>
                  </w:r>
                </w:p>
              </w:tc>
              <w:tc>
                <w:tcPr>
                  <w:tcW w:w="1385" w:type="dxa"/>
                  <w:tcBorders>
                    <w:tl2br w:val="nil"/>
                    <w:tr2bl w:val="nil"/>
                  </w:tcBorders>
                  <w:vAlign w:val="center"/>
                </w:tcPr>
                <w:p w14:paraId="006EF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方位</w:t>
                  </w:r>
                </w:p>
              </w:tc>
              <w:tc>
                <w:tcPr>
                  <w:tcW w:w="1623" w:type="dxa"/>
                  <w:tcBorders>
                    <w:tl2br w:val="nil"/>
                    <w:tr2bl w:val="nil"/>
                  </w:tcBorders>
                  <w:vAlign w:val="center"/>
                </w:tcPr>
                <w:p w14:paraId="4588FF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最近距离</w:t>
                  </w:r>
                </w:p>
              </w:tc>
              <w:tc>
                <w:tcPr>
                  <w:tcW w:w="1623" w:type="dxa"/>
                  <w:tcBorders>
                    <w:tl2br w:val="nil"/>
                    <w:tr2bl w:val="nil"/>
                  </w:tcBorders>
                  <w:vAlign w:val="center"/>
                </w:tcPr>
                <w:p w14:paraId="5CD7C3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备注</w:t>
                  </w:r>
                </w:p>
              </w:tc>
            </w:tr>
            <w:tr w14:paraId="23679C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66E4C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2669" w:type="dxa"/>
                  <w:tcBorders>
                    <w:tl2br w:val="nil"/>
                    <w:tr2bl w:val="nil"/>
                  </w:tcBorders>
                  <w:vAlign w:val="center"/>
                </w:tcPr>
                <w:p w14:paraId="3DED7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一点红茶楼</w:t>
                  </w:r>
                </w:p>
              </w:tc>
              <w:tc>
                <w:tcPr>
                  <w:tcW w:w="1385" w:type="dxa"/>
                  <w:tcBorders>
                    <w:tl2br w:val="nil"/>
                    <w:tr2bl w:val="nil"/>
                  </w:tcBorders>
                  <w:vAlign w:val="center"/>
                </w:tcPr>
                <w:p w14:paraId="4E80BD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西侧</w:t>
                  </w:r>
                </w:p>
              </w:tc>
              <w:tc>
                <w:tcPr>
                  <w:tcW w:w="1623" w:type="dxa"/>
                  <w:tcBorders>
                    <w:tl2br w:val="nil"/>
                    <w:tr2bl w:val="nil"/>
                  </w:tcBorders>
                  <w:vAlign w:val="center"/>
                </w:tcPr>
                <w:p w14:paraId="2B3DA7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4B5FD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14幢2F商户</w:t>
                  </w:r>
                </w:p>
              </w:tc>
            </w:tr>
            <w:tr w14:paraId="7B8A7E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51" w:type="dxa"/>
                  <w:tcBorders>
                    <w:tl2br w:val="nil"/>
                    <w:tr2bl w:val="nil"/>
                  </w:tcBorders>
                  <w:vAlign w:val="center"/>
                </w:tcPr>
                <w:p w14:paraId="3F685E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2669" w:type="dxa"/>
                  <w:tcBorders>
                    <w:tl2br w:val="nil"/>
                    <w:tr2bl w:val="nil"/>
                  </w:tcBorders>
                  <w:vAlign w:val="center"/>
                </w:tcPr>
                <w:p w14:paraId="4E61E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头百道头皮管理中心</w:t>
                  </w:r>
                </w:p>
              </w:tc>
              <w:tc>
                <w:tcPr>
                  <w:tcW w:w="1385" w:type="dxa"/>
                  <w:tcBorders>
                    <w:tl2br w:val="nil"/>
                    <w:tr2bl w:val="nil"/>
                  </w:tcBorders>
                  <w:vAlign w:val="center"/>
                </w:tcPr>
                <w:p w14:paraId="71B4B2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东侧</w:t>
                  </w:r>
                </w:p>
              </w:tc>
              <w:tc>
                <w:tcPr>
                  <w:tcW w:w="1623" w:type="dxa"/>
                  <w:tcBorders>
                    <w:tl2br w:val="nil"/>
                    <w:tr2bl w:val="nil"/>
                  </w:tcBorders>
                  <w:vAlign w:val="center"/>
                </w:tcPr>
                <w:p w14:paraId="22AE48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2F5850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14幢2F商户</w:t>
                  </w:r>
                </w:p>
              </w:tc>
            </w:tr>
            <w:tr w14:paraId="0BFC20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51" w:type="dxa"/>
                  <w:tcBorders>
                    <w:tl2br w:val="nil"/>
                    <w:tr2bl w:val="nil"/>
                  </w:tcBorders>
                  <w:vAlign w:val="center"/>
                </w:tcPr>
                <w:p w14:paraId="388EA0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w:t>
                  </w:r>
                </w:p>
              </w:tc>
              <w:tc>
                <w:tcPr>
                  <w:tcW w:w="2669" w:type="dxa"/>
                  <w:tcBorders>
                    <w:tl2br w:val="nil"/>
                    <w:tr2bl w:val="nil"/>
                  </w:tcBorders>
                  <w:vAlign w:val="center"/>
                </w:tcPr>
                <w:p w14:paraId="37B650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朋友圈国际娱乐城KTV</w:t>
                  </w:r>
                </w:p>
              </w:tc>
              <w:tc>
                <w:tcPr>
                  <w:tcW w:w="1385" w:type="dxa"/>
                  <w:tcBorders>
                    <w:tl2br w:val="nil"/>
                    <w:tr2bl w:val="nil"/>
                  </w:tcBorders>
                  <w:vAlign w:val="center"/>
                </w:tcPr>
                <w:p w14:paraId="2CE45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西北侧</w:t>
                  </w:r>
                </w:p>
              </w:tc>
              <w:tc>
                <w:tcPr>
                  <w:tcW w:w="1623" w:type="dxa"/>
                  <w:tcBorders>
                    <w:tl2br w:val="nil"/>
                    <w:tr2bl w:val="nil"/>
                  </w:tcBorders>
                  <w:vAlign w:val="center"/>
                </w:tcPr>
                <w:p w14:paraId="63E92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5m</w:t>
                  </w:r>
                </w:p>
              </w:tc>
              <w:tc>
                <w:tcPr>
                  <w:tcW w:w="1623" w:type="dxa"/>
                  <w:tcBorders>
                    <w:tl2br w:val="nil"/>
                    <w:tr2bl w:val="nil"/>
                  </w:tcBorders>
                  <w:vAlign w:val="center"/>
                </w:tcPr>
                <w:p w14:paraId="7BA90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14幢2F商户</w:t>
                  </w:r>
                </w:p>
              </w:tc>
            </w:tr>
            <w:tr w14:paraId="7FB77C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76F66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w:t>
                  </w:r>
                </w:p>
              </w:tc>
              <w:tc>
                <w:tcPr>
                  <w:tcW w:w="2669" w:type="dxa"/>
                  <w:tcBorders>
                    <w:tl2br w:val="nil"/>
                    <w:tr2bl w:val="nil"/>
                  </w:tcBorders>
                  <w:vAlign w:val="center"/>
                </w:tcPr>
                <w:p w14:paraId="2F7D64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健之佳健康药房</w:t>
                  </w:r>
                </w:p>
              </w:tc>
              <w:tc>
                <w:tcPr>
                  <w:tcW w:w="1385" w:type="dxa"/>
                  <w:tcBorders>
                    <w:tl2br w:val="nil"/>
                    <w:tr2bl w:val="nil"/>
                  </w:tcBorders>
                  <w:vAlign w:val="center"/>
                </w:tcPr>
                <w:p w14:paraId="1C4FBF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楼下西侧</w:t>
                  </w:r>
                </w:p>
              </w:tc>
              <w:tc>
                <w:tcPr>
                  <w:tcW w:w="1623" w:type="dxa"/>
                  <w:tcBorders>
                    <w:tl2br w:val="nil"/>
                    <w:tr2bl w:val="nil"/>
                  </w:tcBorders>
                  <w:vAlign w:val="center"/>
                </w:tcPr>
                <w:p w14:paraId="648E2B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5BA42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14幢1F商户</w:t>
                  </w:r>
                </w:p>
              </w:tc>
            </w:tr>
            <w:tr w14:paraId="4B8690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0F25EF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w:t>
                  </w:r>
                </w:p>
              </w:tc>
              <w:tc>
                <w:tcPr>
                  <w:tcW w:w="2669" w:type="dxa"/>
                  <w:tcBorders>
                    <w:tl2br w:val="nil"/>
                    <w:tr2bl w:val="nil"/>
                  </w:tcBorders>
                  <w:vAlign w:val="center"/>
                </w:tcPr>
                <w:p w14:paraId="39BE12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百果园</w:t>
                  </w:r>
                </w:p>
              </w:tc>
              <w:tc>
                <w:tcPr>
                  <w:tcW w:w="1385" w:type="dxa"/>
                  <w:tcBorders>
                    <w:tl2br w:val="nil"/>
                    <w:tr2bl w:val="nil"/>
                  </w:tcBorders>
                  <w:vAlign w:val="center"/>
                </w:tcPr>
                <w:p w14:paraId="59F36B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楼下</w:t>
                  </w:r>
                </w:p>
              </w:tc>
              <w:tc>
                <w:tcPr>
                  <w:tcW w:w="1623" w:type="dxa"/>
                  <w:tcBorders>
                    <w:tl2br w:val="nil"/>
                    <w:tr2bl w:val="nil"/>
                  </w:tcBorders>
                  <w:vAlign w:val="center"/>
                </w:tcPr>
                <w:p w14:paraId="645FC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27A2CF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14幢1F商户</w:t>
                  </w:r>
                </w:p>
              </w:tc>
            </w:tr>
            <w:tr w14:paraId="1F4C4B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5691FC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w:t>
                  </w:r>
                </w:p>
              </w:tc>
              <w:tc>
                <w:tcPr>
                  <w:tcW w:w="2669" w:type="dxa"/>
                  <w:tcBorders>
                    <w:tl2br w:val="nil"/>
                    <w:tr2bl w:val="nil"/>
                  </w:tcBorders>
                  <w:vAlign w:val="center"/>
                </w:tcPr>
                <w:p w14:paraId="5CB2C4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N领秀尚悦</w:t>
                  </w:r>
                </w:p>
              </w:tc>
              <w:tc>
                <w:tcPr>
                  <w:tcW w:w="1385" w:type="dxa"/>
                  <w:tcBorders>
                    <w:tl2br w:val="nil"/>
                    <w:tr2bl w:val="nil"/>
                  </w:tcBorders>
                  <w:vAlign w:val="center"/>
                </w:tcPr>
                <w:p w14:paraId="02F4F8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楼下</w:t>
                  </w:r>
                </w:p>
              </w:tc>
              <w:tc>
                <w:tcPr>
                  <w:tcW w:w="1623" w:type="dxa"/>
                  <w:tcBorders>
                    <w:tl2br w:val="nil"/>
                    <w:tr2bl w:val="nil"/>
                  </w:tcBorders>
                  <w:vAlign w:val="center"/>
                </w:tcPr>
                <w:p w14:paraId="07A3E4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2378E0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14幢1F商户</w:t>
                  </w:r>
                </w:p>
              </w:tc>
            </w:tr>
            <w:tr w14:paraId="7134E4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796DF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w:t>
                  </w:r>
                </w:p>
              </w:tc>
              <w:tc>
                <w:tcPr>
                  <w:tcW w:w="2669" w:type="dxa"/>
                  <w:tcBorders>
                    <w:tl2br w:val="nil"/>
                    <w:tr2bl w:val="nil"/>
                  </w:tcBorders>
                  <w:vAlign w:val="center"/>
                </w:tcPr>
                <w:p w14:paraId="208B4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鲜牛肉馆</w:t>
                  </w:r>
                </w:p>
              </w:tc>
              <w:tc>
                <w:tcPr>
                  <w:tcW w:w="1385" w:type="dxa"/>
                  <w:tcBorders>
                    <w:tl2br w:val="nil"/>
                    <w:tr2bl w:val="nil"/>
                  </w:tcBorders>
                  <w:vAlign w:val="center"/>
                </w:tcPr>
                <w:p w14:paraId="1965A5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楼下</w:t>
                  </w:r>
                </w:p>
              </w:tc>
              <w:tc>
                <w:tcPr>
                  <w:tcW w:w="1623" w:type="dxa"/>
                  <w:tcBorders>
                    <w:tl2br w:val="nil"/>
                    <w:tr2bl w:val="nil"/>
                  </w:tcBorders>
                  <w:vAlign w:val="center"/>
                </w:tcPr>
                <w:p w14:paraId="5A4CE0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2B0EA0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14幢1F商户</w:t>
                  </w:r>
                </w:p>
              </w:tc>
            </w:tr>
            <w:tr w14:paraId="5F2F55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00BBE5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8</w:t>
                  </w:r>
                </w:p>
              </w:tc>
              <w:tc>
                <w:tcPr>
                  <w:tcW w:w="2669" w:type="dxa"/>
                  <w:tcBorders>
                    <w:tl2br w:val="nil"/>
                    <w:tr2bl w:val="nil"/>
                  </w:tcBorders>
                  <w:vAlign w:val="center"/>
                </w:tcPr>
                <w:p w14:paraId="6B907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蜜雪冰城</w:t>
                  </w:r>
                </w:p>
              </w:tc>
              <w:tc>
                <w:tcPr>
                  <w:tcW w:w="1385" w:type="dxa"/>
                  <w:tcBorders>
                    <w:tl2br w:val="nil"/>
                    <w:tr2bl w:val="nil"/>
                  </w:tcBorders>
                  <w:vAlign w:val="center"/>
                </w:tcPr>
                <w:p w14:paraId="3AF47A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楼下东侧</w:t>
                  </w:r>
                </w:p>
              </w:tc>
              <w:tc>
                <w:tcPr>
                  <w:tcW w:w="1623" w:type="dxa"/>
                  <w:tcBorders>
                    <w:tl2br w:val="nil"/>
                    <w:tr2bl w:val="nil"/>
                  </w:tcBorders>
                  <w:vAlign w:val="center"/>
                </w:tcPr>
                <w:p w14:paraId="39E06C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390F0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14幢1F商户</w:t>
                  </w:r>
                </w:p>
              </w:tc>
            </w:tr>
            <w:tr w14:paraId="58A853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3CAE83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9</w:t>
                  </w:r>
                </w:p>
              </w:tc>
              <w:tc>
                <w:tcPr>
                  <w:tcW w:w="2669" w:type="dxa"/>
                  <w:tcBorders>
                    <w:tl2br w:val="nil"/>
                    <w:tr2bl w:val="nil"/>
                  </w:tcBorders>
                  <w:vAlign w:val="center"/>
                </w:tcPr>
                <w:p w14:paraId="691075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火锅米线</w:t>
                  </w:r>
                </w:p>
              </w:tc>
              <w:tc>
                <w:tcPr>
                  <w:tcW w:w="1385" w:type="dxa"/>
                  <w:tcBorders>
                    <w:tl2br w:val="nil"/>
                    <w:tr2bl w:val="nil"/>
                  </w:tcBorders>
                  <w:vAlign w:val="center"/>
                </w:tcPr>
                <w:p w14:paraId="63E105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楼下东侧</w:t>
                  </w:r>
                </w:p>
              </w:tc>
              <w:tc>
                <w:tcPr>
                  <w:tcW w:w="1623" w:type="dxa"/>
                  <w:tcBorders>
                    <w:tl2br w:val="nil"/>
                    <w:tr2bl w:val="nil"/>
                  </w:tcBorders>
                  <w:vAlign w:val="center"/>
                </w:tcPr>
                <w:p w14:paraId="723D8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41A0E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14幢1F商户</w:t>
                  </w:r>
                </w:p>
              </w:tc>
            </w:tr>
            <w:tr w14:paraId="425411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6EDCE1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10</w:t>
                  </w:r>
                </w:p>
              </w:tc>
              <w:tc>
                <w:tcPr>
                  <w:tcW w:w="2669" w:type="dxa"/>
                  <w:tcBorders>
                    <w:tl2br w:val="nil"/>
                    <w:tr2bl w:val="nil"/>
                  </w:tcBorders>
                  <w:vAlign w:val="center"/>
                </w:tcPr>
                <w:p w14:paraId="34DE59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金科阳光小镇6期16幢</w:t>
                  </w:r>
                </w:p>
              </w:tc>
              <w:tc>
                <w:tcPr>
                  <w:tcW w:w="1385" w:type="dxa"/>
                  <w:tcBorders>
                    <w:tl2br w:val="nil"/>
                    <w:tr2bl w:val="nil"/>
                  </w:tcBorders>
                  <w:vAlign w:val="center"/>
                </w:tcPr>
                <w:p w14:paraId="5B2DED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东北侧</w:t>
                  </w:r>
                </w:p>
              </w:tc>
              <w:tc>
                <w:tcPr>
                  <w:tcW w:w="1623" w:type="dxa"/>
                  <w:tcBorders>
                    <w:tl2br w:val="nil"/>
                    <w:tr2bl w:val="nil"/>
                  </w:tcBorders>
                  <w:vAlign w:val="center"/>
                </w:tcPr>
                <w:p w14:paraId="61C73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紧邻</w:t>
                  </w:r>
                </w:p>
              </w:tc>
              <w:tc>
                <w:tcPr>
                  <w:tcW w:w="1623" w:type="dxa"/>
                  <w:tcBorders>
                    <w:tl2br w:val="nil"/>
                    <w:tr2bl w:val="nil"/>
                  </w:tcBorders>
                  <w:vAlign w:val="center"/>
                </w:tcPr>
                <w:p w14:paraId="58E9C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居住区</w:t>
                  </w:r>
                </w:p>
              </w:tc>
            </w:tr>
            <w:tr w14:paraId="0DA154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4886B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11</w:t>
                  </w:r>
                </w:p>
              </w:tc>
              <w:tc>
                <w:tcPr>
                  <w:tcW w:w="2669" w:type="dxa"/>
                  <w:tcBorders>
                    <w:tl2br w:val="nil"/>
                    <w:tr2bl w:val="nil"/>
                  </w:tcBorders>
                  <w:vAlign w:val="center"/>
                </w:tcPr>
                <w:p w14:paraId="68D182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金科阳光小镇6期15幢</w:t>
                  </w:r>
                </w:p>
              </w:tc>
              <w:tc>
                <w:tcPr>
                  <w:tcW w:w="1385" w:type="dxa"/>
                  <w:tcBorders>
                    <w:tl2br w:val="nil"/>
                    <w:tr2bl w:val="nil"/>
                  </w:tcBorders>
                  <w:vAlign w:val="center"/>
                </w:tcPr>
                <w:p w14:paraId="76CCEA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东侧</w:t>
                  </w:r>
                </w:p>
              </w:tc>
              <w:tc>
                <w:tcPr>
                  <w:tcW w:w="1623" w:type="dxa"/>
                  <w:tcBorders>
                    <w:tl2br w:val="nil"/>
                    <w:tr2bl w:val="nil"/>
                  </w:tcBorders>
                  <w:vAlign w:val="center"/>
                </w:tcPr>
                <w:p w14:paraId="52AC42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31m</w:t>
                  </w:r>
                </w:p>
              </w:tc>
              <w:tc>
                <w:tcPr>
                  <w:tcW w:w="1623" w:type="dxa"/>
                  <w:tcBorders>
                    <w:tl2br w:val="nil"/>
                    <w:tr2bl w:val="nil"/>
                  </w:tcBorders>
                  <w:vAlign w:val="center"/>
                </w:tcPr>
                <w:p w14:paraId="64DACF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商业裙楼</w:t>
                  </w:r>
                </w:p>
              </w:tc>
            </w:tr>
            <w:tr w14:paraId="412A40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051" w:type="dxa"/>
                  <w:tcBorders>
                    <w:tl2br w:val="nil"/>
                    <w:tr2bl w:val="nil"/>
                  </w:tcBorders>
                  <w:vAlign w:val="center"/>
                </w:tcPr>
                <w:p w14:paraId="6DEBED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12</w:t>
                  </w:r>
                </w:p>
              </w:tc>
              <w:tc>
                <w:tcPr>
                  <w:tcW w:w="2669" w:type="dxa"/>
                  <w:tcBorders>
                    <w:tl2br w:val="nil"/>
                    <w:tr2bl w:val="nil"/>
                  </w:tcBorders>
                  <w:vAlign w:val="center"/>
                </w:tcPr>
                <w:p w14:paraId="67815C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华美路</w:t>
                  </w:r>
                </w:p>
              </w:tc>
              <w:tc>
                <w:tcPr>
                  <w:tcW w:w="1385" w:type="dxa"/>
                  <w:tcBorders>
                    <w:tl2br w:val="nil"/>
                    <w:tr2bl w:val="nil"/>
                  </w:tcBorders>
                  <w:vAlign w:val="center"/>
                </w:tcPr>
                <w:p w14:paraId="265342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南侧</w:t>
                  </w:r>
                </w:p>
              </w:tc>
              <w:tc>
                <w:tcPr>
                  <w:tcW w:w="1623" w:type="dxa"/>
                  <w:tcBorders>
                    <w:tl2br w:val="nil"/>
                    <w:tr2bl w:val="nil"/>
                  </w:tcBorders>
                  <w:vAlign w:val="center"/>
                </w:tcPr>
                <w:p w14:paraId="35BFE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21m</w:t>
                  </w:r>
                </w:p>
              </w:tc>
              <w:tc>
                <w:tcPr>
                  <w:tcW w:w="1623" w:type="dxa"/>
                  <w:tcBorders>
                    <w:tl2br w:val="nil"/>
                    <w:tr2bl w:val="nil"/>
                  </w:tcBorders>
                  <w:vAlign w:val="center"/>
                </w:tcPr>
                <w:p w14:paraId="7ED628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道路</w:t>
                  </w:r>
                </w:p>
              </w:tc>
            </w:tr>
          </w:tbl>
          <w:p w14:paraId="378576D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cs="Times New Roman"/>
                <w:b/>
                <w:bCs/>
                <w:color w:val="auto"/>
                <w:kern w:val="0"/>
                <w:sz w:val="24"/>
                <w:szCs w:val="24"/>
              </w:rPr>
              <w:t>3.2.</w:t>
            </w:r>
            <w:r>
              <w:rPr>
                <w:rFonts w:hint="eastAsia" w:cs="Times New Roman"/>
                <w:b/>
                <w:bCs/>
                <w:color w:val="auto"/>
                <w:kern w:val="0"/>
                <w:sz w:val="24"/>
                <w:szCs w:val="24"/>
                <w:lang w:val="en-US" w:eastAsia="zh-CN"/>
              </w:rPr>
              <w:t>2</w:t>
            </w:r>
            <w:r>
              <w:rPr>
                <w:rFonts w:hint="default" w:ascii="Times New Roman" w:hAnsi="Times New Roman" w:cs="Times New Roman"/>
                <w:b/>
                <w:bCs/>
                <w:color w:val="auto"/>
                <w:kern w:val="0"/>
                <w:sz w:val="24"/>
                <w:szCs w:val="24"/>
              </w:rPr>
              <w:t xml:space="preserve"> </w:t>
            </w:r>
            <w:r>
              <w:rPr>
                <w:rFonts w:hint="eastAsia" w:cs="Times New Roman"/>
                <w:b/>
                <w:bCs/>
                <w:color w:val="auto"/>
                <w:kern w:val="0"/>
                <w:sz w:val="24"/>
                <w:szCs w:val="24"/>
                <w:lang w:val="en-US" w:eastAsia="zh-CN"/>
              </w:rPr>
              <w:t>环境保护目标</w:t>
            </w:r>
          </w:p>
          <w:p w14:paraId="49D681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r>
              <w:rPr>
                <w:rFonts w:hint="eastAsia" w:ascii="Times New Roman" w:hAnsi="Times New Roman" w:cs="Times New Roman"/>
                <w:b w:val="0"/>
                <w:bCs w:val="0"/>
                <w:color w:val="auto"/>
                <w:kern w:val="0"/>
                <w:sz w:val="24"/>
                <w:szCs w:val="24"/>
                <w:lang w:val="en-US" w:eastAsia="zh-CN"/>
              </w:rPr>
              <w:t>（1）</w:t>
            </w:r>
            <w:r>
              <w:rPr>
                <w:rFonts w:hint="eastAsia" w:ascii="Times New Roman" w:hAnsi="Times New Roman" w:eastAsia="宋体" w:cs="Times New Roman"/>
                <w:b w:val="0"/>
                <w:bCs w:val="0"/>
                <w:color w:val="auto"/>
                <w:kern w:val="0"/>
                <w:sz w:val="24"/>
                <w:szCs w:val="24"/>
                <w:lang w:val="en-US" w:eastAsia="zh-CN"/>
              </w:rPr>
              <w:t>大气环境保护目标</w:t>
            </w:r>
          </w:p>
          <w:p w14:paraId="2368BE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根据现场调查，项目</w:t>
            </w:r>
            <w:r>
              <w:rPr>
                <w:rFonts w:hint="eastAsia"/>
                <w:color w:val="auto"/>
                <w:sz w:val="24"/>
                <w:szCs w:val="24"/>
                <w:highlight w:val="none"/>
                <w:lang w:val="en-US" w:eastAsia="zh-CN"/>
              </w:rPr>
              <w:t>厂界</w:t>
            </w:r>
            <w:r>
              <w:rPr>
                <w:rFonts w:hint="eastAsia" w:ascii="Times New Roman" w:hAnsi="Times New Roman" w:eastAsia="宋体" w:cs="Times New Roman"/>
                <w:b w:val="0"/>
                <w:bCs w:val="0"/>
                <w:color w:val="auto"/>
                <w:kern w:val="0"/>
                <w:sz w:val="24"/>
                <w:szCs w:val="24"/>
                <w:lang w:val="en-US" w:eastAsia="zh-CN"/>
              </w:rPr>
              <w:t>外500m范围内，无自然保护区、风景名胜区等大气保护目标。主要环境保护目标为居住区、学校、医院等。项目大气环境保护目标一览表详见表3.2-2。</w:t>
            </w:r>
          </w:p>
          <w:p w14:paraId="7FDEABF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lang w:val="en-US" w:eastAsia="zh-CN"/>
              </w:rPr>
              <w:t>表3.2-2 项目大气环境保护目标一览表</w:t>
            </w:r>
          </w:p>
          <w:tbl>
            <w:tblPr>
              <w:tblStyle w:val="22"/>
              <w:tblW w:w="8353"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38"/>
              <w:gridCol w:w="2110"/>
              <w:gridCol w:w="643"/>
              <w:gridCol w:w="688"/>
              <w:gridCol w:w="911"/>
              <w:gridCol w:w="747"/>
              <w:gridCol w:w="862"/>
              <w:gridCol w:w="1954"/>
            </w:tblGrid>
            <w:tr w14:paraId="2E3A07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38" w:type="dxa"/>
                  <w:vMerge w:val="restart"/>
                  <w:tcBorders>
                    <w:tl2br w:val="nil"/>
                    <w:tr2bl w:val="nil"/>
                  </w:tcBorders>
                  <w:vAlign w:val="center"/>
                </w:tcPr>
                <w:p w14:paraId="6A7F0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序号</w:t>
                  </w:r>
                </w:p>
              </w:tc>
              <w:tc>
                <w:tcPr>
                  <w:tcW w:w="2110" w:type="dxa"/>
                  <w:vMerge w:val="restart"/>
                  <w:tcBorders>
                    <w:tl2br w:val="nil"/>
                    <w:tr2bl w:val="nil"/>
                  </w:tcBorders>
                  <w:vAlign w:val="center"/>
                </w:tcPr>
                <w:p w14:paraId="7426FA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名称</w:t>
                  </w:r>
                </w:p>
              </w:tc>
              <w:tc>
                <w:tcPr>
                  <w:tcW w:w="1331" w:type="dxa"/>
                  <w:gridSpan w:val="2"/>
                  <w:tcBorders>
                    <w:tl2br w:val="nil"/>
                    <w:tr2bl w:val="nil"/>
                  </w:tcBorders>
                  <w:vAlign w:val="center"/>
                </w:tcPr>
                <w:p w14:paraId="7D7ABA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坐标/m</w:t>
                  </w:r>
                </w:p>
              </w:tc>
              <w:tc>
                <w:tcPr>
                  <w:tcW w:w="911" w:type="dxa"/>
                  <w:vMerge w:val="restart"/>
                  <w:tcBorders>
                    <w:tl2br w:val="nil"/>
                    <w:tr2bl w:val="nil"/>
                  </w:tcBorders>
                  <w:vAlign w:val="center"/>
                </w:tcPr>
                <w:p w14:paraId="4C18E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环境功能区</w:t>
                  </w:r>
                </w:p>
              </w:tc>
              <w:tc>
                <w:tcPr>
                  <w:tcW w:w="747" w:type="dxa"/>
                  <w:vMerge w:val="restart"/>
                  <w:tcBorders>
                    <w:tl2br w:val="nil"/>
                    <w:tr2bl w:val="nil"/>
                  </w:tcBorders>
                  <w:vAlign w:val="center"/>
                </w:tcPr>
                <w:p w14:paraId="43EF20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相对厂址方位</w:t>
                  </w:r>
                </w:p>
              </w:tc>
              <w:tc>
                <w:tcPr>
                  <w:tcW w:w="862" w:type="dxa"/>
                  <w:vMerge w:val="restart"/>
                  <w:tcBorders>
                    <w:tl2br w:val="nil"/>
                    <w:tr2bl w:val="nil"/>
                  </w:tcBorders>
                  <w:vAlign w:val="center"/>
                </w:tcPr>
                <w:p w14:paraId="6AA7F9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相对厂界</w:t>
                  </w:r>
                  <w:r>
                    <w:rPr>
                      <w:rFonts w:hint="eastAsia" w:ascii="Times New Roman" w:hAnsi="Times New Roman" w:eastAsia="宋体" w:cs="Times New Roman"/>
                      <w:b w:val="0"/>
                      <w:bCs w:val="0"/>
                      <w:color w:val="auto"/>
                      <w:kern w:val="0"/>
                      <w:sz w:val="21"/>
                      <w:szCs w:val="21"/>
                      <w:highlight w:val="none"/>
                      <w:vertAlign w:val="baseline"/>
                      <w:lang w:val="en-US" w:eastAsia="zh-CN"/>
                    </w:rPr>
                    <w:t>最近</w:t>
                  </w:r>
                  <w:r>
                    <w:rPr>
                      <w:rFonts w:hint="default" w:ascii="Times New Roman" w:hAnsi="Times New Roman" w:eastAsia="宋体" w:cs="Times New Roman"/>
                      <w:b w:val="0"/>
                      <w:bCs w:val="0"/>
                      <w:color w:val="auto"/>
                      <w:kern w:val="0"/>
                      <w:sz w:val="21"/>
                      <w:szCs w:val="21"/>
                      <w:highlight w:val="none"/>
                      <w:vertAlign w:val="baseline"/>
                      <w:lang w:val="en-US" w:eastAsia="zh-CN"/>
                    </w:rPr>
                    <w:t>距离</w:t>
                  </w:r>
                </w:p>
              </w:tc>
              <w:tc>
                <w:tcPr>
                  <w:tcW w:w="1954" w:type="dxa"/>
                  <w:vMerge w:val="restart"/>
                  <w:tcBorders>
                    <w:tl2br w:val="nil"/>
                    <w:tr2bl w:val="nil"/>
                  </w:tcBorders>
                  <w:vAlign w:val="center"/>
                </w:tcPr>
                <w:p w14:paraId="405A6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保护内容</w:t>
                  </w:r>
                </w:p>
              </w:tc>
            </w:tr>
            <w:tr w14:paraId="774C12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38" w:type="dxa"/>
                  <w:vMerge w:val="continue"/>
                  <w:tcBorders>
                    <w:tl2br w:val="nil"/>
                    <w:tr2bl w:val="nil"/>
                  </w:tcBorders>
                  <w:vAlign w:val="center"/>
                </w:tcPr>
                <w:p w14:paraId="65E00E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110" w:type="dxa"/>
                  <w:vMerge w:val="continue"/>
                  <w:tcBorders>
                    <w:tl2br w:val="nil"/>
                    <w:tr2bl w:val="nil"/>
                  </w:tcBorders>
                  <w:vAlign w:val="center"/>
                </w:tcPr>
                <w:p w14:paraId="293847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43" w:type="dxa"/>
                  <w:tcBorders>
                    <w:tl2br w:val="nil"/>
                    <w:tr2bl w:val="nil"/>
                  </w:tcBorders>
                  <w:vAlign w:val="center"/>
                </w:tcPr>
                <w:p w14:paraId="6C2412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X</w:t>
                  </w:r>
                </w:p>
              </w:tc>
              <w:tc>
                <w:tcPr>
                  <w:tcW w:w="688" w:type="dxa"/>
                  <w:tcBorders>
                    <w:tl2br w:val="nil"/>
                    <w:tr2bl w:val="nil"/>
                  </w:tcBorders>
                  <w:vAlign w:val="center"/>
                </w:tcPr>
                <w:p w14:paraId="57D9C1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Y</w:t>
                  </w:r>
                </w:p>
              </w:tc>
              <w:tc>
                <w:tcPr>
                  <w:tcW w:w="911" w:type="dxa"/>
                  <w:vMerge w:val="continue"/>
                  <w:tcBorders>
                    <w:tl2br w:val="nil"/>
                    <w:tr2bl w:val="nil"/>
                  </w:tcBorders>
                  <w:vAlign w:val="center"/>
                </w:tcPr>
                <w:p w14:paraId="0CC6C1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vMerge w:val="continue"/>
                  <w:tcBorders>
                    <w:tl2br w:val="nil"/>
                    <w:tr2bl w:val="nil"/>
                  </w:tcBorders>
                  <w:vAlign w:val="center"/>
                </w:tcPr>
                <w:p w14:paraId="465211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62" w:type="dxa"/>
                  <w:vMerge w:val="continue"/>
                  <w:tcBorders>
                    <w:tl2br w:val="nil"/>
                    <w:tr2bl w:val="nil"/>
                  </w:tcBorders>
                  <w:vAlign w:val="center"/>
                </w:tcPr>
                <w:p w14:paraId="769604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954" w:type="dxa"/>
                  <w:vMerge w:val="continue"/>
                  <w:tcBorders>
                    <w:tl2br w:val="nil"/>
                    <w:tr2bl w:val="nil"/>
                  </w:tcBorders>
                  <w:vAlign w:val="center"/>
                </w:tcPr>
                <w:p w14:paraId="78DBE8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r>
            <w:tr w14:paraId="014A24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vAlign w:val="center"/>
                </w:tcPr>
                <w:p w14:paraId="0A41D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110" w:type="dxa"/>
                  <w:tcBorders>
                    <w:tl2br w:val="nil"/>
                    <w:tr2bl w:val="nil"/>
                  </w:tcBorders>
                  <w:vAlign w:val="center"/>
                </w:tcPr>
                <w:p w14:paraId="63E27B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恒景天苑</w:t>
                  </w:r>
                </w:p>
              </w:tc>
              <w:tc>
                <w:tcPr>
                  <w:tcW w:w="643" w:type="dxa"/>
                  <w:tcBorders>
                    <w:tl2br w:val="nil"/>
                    <w:tr2bl w:val="nil"/>
                  </w:tcBorders>
                  <w:vAlign w:val="center"/>
                </w:tcPr>
                <w:p w14:paraId="5AAA28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-368</w:t>
                  </w:r>
                </w:p>
              </w:tc>
              <w:tc>
                <w:tcPr>
                  <w:tcW w:w="688" w:type="dxa"/>
                  <w:tcBorders>
                    <w:tl2br w:val="nil"/>
                    <w:tr2bl w:val="nil"/>
                  </w:tcBorders>
                  <w:vAlign w:val="center"/>
                </w:tcPr>
                <w:p w14:paraId="6FBC33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313</w:t>
                  </w:r>
                </w:p>
              </w:tc>
              <w:tc>
                <w:tcPr>
                  <w:tcW w:w="911" w:type="dxa"/>
                  <w:vMerge w:val="restart"/>
                  <w:tcBorders>
                    <w:tl2br w:val="nil"/>
                    <w:tr2bl w:val="nil"/>
                  </w:tcBorders>
                  <w:vAlign w:val="center"/>
                </w:tcPr>
                <w:p w14:paraId="5CD230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大气环境功能二类区</w:t>
                  </w:r>
                </w:p>
              </w:tc>
              <w:tc>
                <w:tcPr>
                  <w:tcW w:w="747" w:type="dxa"/>
                  <w:tcBorders>
                    <w:tl2br w:val="nil"/>
                    <w:tr2bl w:val="nil"/>
                  </w:tcBorders>
                  <w:vAlign w:val="center"/>
                </w:tcPr>
                <w:p w14:paraId="638AA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NW</w:t>
                  </w:r>
                </w:p>
              </w:tc>
              <w:tc>
                <w:tcPr>
                  <w:tcW w:w="862" w:type="dxa"/>
                  <w:tcBorders>
                    <w:tl2br w:val="nil"/>
                    <w:tr2bl w:val="nil"/>
                  </w:tcBorders>
                  <w:vAlign w:val="center"/>
                </w:tcPr>
                <w:p w14:paraId="2954C5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365</w:t>
                  </w:r>
                </w:p>
              </w:tc>
              <w:tc>
                <w:tcPr>
                  <w:tcW w:w="1954" w:type="dxa"/>
                  <w:tcBorders>
                    <w:tl2br w:val="nil"/>
                    <w:tr2bl w:val="nil"/>
                  </w:tcBorders>
                  <w:vAlign w:val="center"/>
                </w:tcPr>
                <w:p w14:paraId="3A26E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住宅区，约2342户</w:t>
                  </w:r>
                </w:p>
              </w:tc>
            </w:tr>
            <w:tr w14:paraId="05B56A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41FD5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2</w:t>
                  </w:r>
                </w:p>
              </w:tc>
              <w:tc>
                <w:tcPr>
                  <w:tcW w:w="2110" w:type="dxa"/>
                  <w:tcBorders>
                    <w:tl2br w:val="nil"/>
                    <w:tr2bl w:val="nil"/>
                  </w:tcBorders>
                  <w:vAlign w:val="center"/>
                </w:tcPr>
                <w:p w14:paraId="6C965A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color w:val="auto"/>
                      <w:sz w:val="21"/>
                      <w:highlight w:val="none"/>
                      <w:lang w:val="en-US" w:eastAsia="zh-CN"/>
                    </w:rPr>
                  </w:pPr>
                  <w:r>
                    <w:rPr>
                      <w:rFonts w:hint="eastAsia" w:ascii="Times New Roman" w:hAnsi="Times New Roman" w:eastAsia="宋体"/>
                      <w:b w:val="0"/>
                      <w:bCs/>
                      <w:color w:val="auto"/>
                      <w:sz w:val="21"/>
                      <w:highlight w:val="none"/>
                      <w:lang w:val="en-US" w:eastAsia="zh-CN"/>
                    </w:rPr>
                    <w:t>西站村卫生室</w:t>
                  </w:r>
                </w:p>
              </w:tc>
              <w:tc>
                <w:tcPr>
                  <w:tcW w:w="643" w:type="dxa"/>
                  <w:tcBorders>
                    <w:tl2br w:val="nil"/>
                    <w:tr2bl w:val="nil"/>
                  </w:tcBorders>
                  <w:vAlign w:val="center"/>
                </w:tcPr>
                <w:p w14:paraId="3AD985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-439</w:t>
                  </w:r>
                </w:p>
              </w:tc>
              <w:tc>
                <w:tcPr>
                  <w:tcW w:w="688" w:type="dxa"/>
                  <w:tcBorders>
                    <w:tl2br w:val="nil"/>
                    <w:tr2bl w:val="nil"/>
                  </w:tcBorders>
                  <w:vAlign w:val="center"/>
                </w:tcPr>
                <w:p w14:paraId="09C468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336</w:t>
                  </w:r>
                </w:p>
              </w:tc>
              <w:tc>
                <w:tcPr>
                  <w:tcW w:w="911" w:type="dxa"/>
                  <w:vMerge w:val="continue"/>
                  <w:tcBorders>
                    <w:tl2br w:val="nil"/>
                    <w:tr2bl w:val="nil"/>
                  </w:tcBorders>
                  <w:vAlign w:val="center"/>
                </w:tcPr>
                <w:p w14:paraId="292918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210E0F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NW</w:t>
                  </w:r>
                </w:p>
              </w:tc>
              <w:tc>
                <w:tcPr>
                  <w:tcW w:w="862" w:type="dxa"/>
                  <w:tcBorders>
                    <w:tl2br w:val="nil"/>
                    <w:tr2bl w:val="nil"/>
                  </w:tcBorders>
                  <w:vAlign w:val="center"/>
                </w:tcPr>
                <w:p w14:paraId="3F838F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553</w:t>
                  </w:r>
                </w:p>
              </w:tc>
              <w:tc>
                <w:tcPr>
                  <w:tcW w:w="1954" w:type="dxa"/>
                  <w:tcBorders>
                    <w:tl2br w:val="nil"/>
                    <w:tr2bl w:val="nil"/>
                  </w:tcBorders>
                  <w:vAlign w:val="center"/>
                </w:tcPr>
                <w:p w14:paraId="404E4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卫生室，约3人</w:t>
                  </w:r>
                </w:p>
              </w:tc>
            </w:tr>
            <w:tr w14:paraId="289365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60E34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3</w:t>
                  </w:r>
                </w:p>
              </w:tc>
              <w:tc>
                <w:tcPr>
                  <w:tcW w:w="2110" w:type="dxa"/>
                  <w:tcBorders>
                    <w:tl2br w:val="nil"/>
                    <w:tr2bl w:val="nil"/>
                  </w:tcBorders>
                  <w:vAlign w:val="center"/>
                </w:tcPr>
                <w:p w14:paraId="3CF85FD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七彩华府</w:t>
                  </w:r>
                </w:p>
              </w:tc>
              <w:tc>
                <w:tcPr>
                  <w:tcW w:w="643" w:type="dxa"/>
                  <w:tcBorders>
                    <w:tl2br w:val="nil"/>
                    <w:tr2bl w:val="nil"/>
                  </w:tcBorders>
                  <w:vAlign w:val="center"/>
                </w:tcPr>
                <w:p w14:paraId="1CA4D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126</w:t>
                  </w:r>
                </w:p>
              </w:tc>
              <w:tc>
                <w:tcPr>
                  <w:tcW w:w="688" w:type="dxa"/>
                  <w:tcBorders>
                    <w:tl2br w:val="nil"/>
                    <w:tr2bl w:val="nil"/>
                  </w:tcBorders>
                  <w:vAlign w:val="center"/>
                </w:tcPr>
                <w:p w14:paraId="5D0431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354</w:t>
                  </w:r>
                </w:p>
              </w:tc>
              <w:tc>
                <w:tcPr>
                  <w:tcW w:w="911" w:type="dxa"/>
                  <w:vMerge w:val="continue"/>
                  <w:tcBorders>
                    <w:tl2br w:val="nil"/>
                    <w:tr2bl w:val="nil"/>
                  </w:tcBorders>
                  <w:vAlign w:val="center"/>
                </w:tcPr>
                <w:p w14:paraId="59F46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7183CB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NE</w:t>
                  </w:r>
                </w:p>
              </w:tc>
              <w:tc>
                <w:tcPr>
                  <w:tcW w:w="862" w:type="dxa"/>
                  <w:tcBorders>
                    <w:tl2br w:val="nil"/>
                    <w:tr2bl w:val="nil"/>
                  </w:tcBorders>
                  <w:vAlign w:val="center"/>
                </w:tcPr>
                <w:p w14:paraId="223BB9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259</w:t>
                  </w:r>
                </w:p>
              </w:tc>
              <w:tc>
                <w:tcPr>
                  <w:tcW w:w="1954" w:type="dxa"/>
                  <w:tcBorders>
                    <w:tl2br w:val="nil"/>
                    <w:tr2bl w:val="nil"/>
                  </w:tcBorders>
                  <w:vAlign w:val="center"/>
                </w:tcPr>
                <w:p w14:paraId="5EB2A3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住宅区，约596户</w:t>
                  </w:r>
                </w:p>
              </w:tc>
            </w:tr>
            <w:tr w14:paraId="167208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76383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4</w:t>
                  </w:r>
                </w:p>
              </w:tc>
              <w:tc>
                <w:tcPr>
                  <w:tcW w:w="2110" w:type="dxa"/>
                  <w:tcBorders>
                    <w:tl2br w:val="nil"/>
                    <w:tr2bl w:val="nil"/>
                  </w:tcBorders>
                  <w:vAlign w:val="center"/>
                </w:tcPr>
                <w:p w14:paraId="1B2F2F9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金科阳光小镇5期</w:t>
                  </w:r>
                </w:p>
              </w:tc>
              <w:tc>
                <w:tcPr>
                  <w:tcW w:w="643" w:type="dxa"/>
                  <w:tcBorders>
                    <w:tl2br w:val="nil"/>
                    <w:tr2bl w:val="nil"/>
                  </w:tcBorders>
                  <w:vAlign w:val="center"/>
                </w:tcPr>
                <w:p w14:paraId="21B05F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-133</w:t>
                  </w:r>
                </w:p>
              </w:tc>
              <w:tc>
                <w:tcPr>
                  <w:tcW w:w="688" w:type="dxa"/>
                  <w:tcBorders>
                    <w:tl2br w:val="nil"/>
                    <w:tr2bl w:val="nil"/>
                  </w:tcBorders>
                  <w:vAlign w:val="center"/>
                </w:tcPr>
                <w:p w14:paraId="2A008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104</w:t>
                  </w:r>
                </w:p>
              </w:tc>
              <w:tc>
                <w:tcPr>
                  <w:tcW w:w="911" w:type="dxa"/>
                  <w:vMerge w:val="continue"/>
                  <w:tcBorders>
                    <w:tl2br w:val="nil"/>
                    <w:tr2bl w:val="nil"/>
                  </w:tcBorders>
                  <w:vAlign w:val="center"/>
                </w:tcPr>
                <w:p w14:paraId="66ACB4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113BBC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NW</w:t>
                  </w:r>
                </w:p>
              </w:tc>
              <w:tc>
                <w:tcPr>
                  <w:tcW w:w="862" w:type="dxa"/>
                  <w:tcBorders>
                    <w:tl2br w:val="nil"/>
                    <w:tr2bl w:val="nil"/>
                  </w:tcBorders>
                  <w:vAlign w:val="center"/>
                </w:tcPr>
                <w:p w14:paraId="20370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52</w:t>
                  </w:r>
                </w:p>
              </w:tc>
              <w:tc>
                <w:tcPr>
                  <w:tcW w:w="1954" w:type="dxa"/>
                  <w:tcBorders>
                    <w:tl2br w:val="nil"/>
                    <w:tr2bl w:val="nil"/>
                  </w:tcBorders>
                  <w:vAlign w:val="center"/>
                </w:tcPr>
                <w:p w14:paraId="397282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住宅区，约4080户</w:t>
                  </w:r>
                </w:p>
              </w:tc>
            </w:tr>
            <w:tr w14:paraId="5DDD62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0E075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5</w:t>
                  </w:r>
                </w:p>
              </w:tc>
              <w:tc>
                <w:tcPr>
                  <w:tcW w:w="2110" w:type="dxa"/>
                  <w:tcBorders>
                    <w:tl2br w:val="nil"/>
                    <w:tr2bl w:val="nil"/>
                  </w:tcBorders>
                  <w:vAlign w:val="center"/>
                </w:tcPr>
                <w:p w14:paraId="216D97D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金科阳光小镇6期</w:t>
                  </w:r>
                </w:p>
              </w:tc>
              <w:tc>
                <w:tcPr>
                  <w:tcW w:w="643" w:type="dxa"/>
                  <w:tcBorders>
                    <w:tl2br w:val="nil"/>
                    <w:tr2bl w:val="nil"/>
                  </w:tcBorders>
                  <w:vAlign w:val="center"/>
                </w:tcPr>
                <w:p w14:paraId="27366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81</w:t>
                  </w:r>
                </w:p>
              </w:tc>
              <w:tc>
                <w:tcPr>
                  <w:tcW w:w="688" w:type="dxa"/>
                  <w:tcBorders>
                    <w:tl2br w:val="nil"/>
                    <w:tr2bl w:val="nil"/>
                  </w:tcBorders>
                  <w:vAlign w:val="center"/>
                </w:tcPr>
                <w:p w14:paraId="5B028D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63</w:t>
                  </w:r>
                </w:p>
              </w:tc>
              <w:tc>
                <w:tcPr>
                  <w:tcW w:w="911" w:type="dxa"/>
                  <w:vMerge w:val="continue"/>
                  <w:tcBorders>
                    <w:tl2br w:val="nil"/>
                    <w:tr2bl w:val="nil"/>
                  </w:tcBorders>
                  <w:vAlign w:val="center"/>
                </w:tcPr>
                <w:p w14:paraId="1018D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38F4F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NE</w:t>
                  </w:r>
                </w:p>
              </w:tc>
              <w:tc>
                <w:tcPr>
                  <w:tcW w:w="862" w:type="dxa"/>
                  <w:tcBorders>
                    <w:tl2br w:val="nil"/>
                    <w:tr2bl w:val="nil"/>
                  </w:tcBorders>
                  <w:vAlign w:val="center"/>
                </w:tcPr>
                <w:p w14:paraId="042D25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w:t>
                  </w:r>
                </w:p>
              </w:tc>
              <w:tc>
                <w:tcPr>
                  <w:tcW w:w="1954" w:type="dxa"/>
                  <w:tcBorders>
                    <w:tl2br w:val="nil"/>
                    <w:tr2bl w:val="nil"/>
                  </w:tcBorders>
                  <w:vAlign w:val="center"/>
                </w:tcPr>
                <w:p w14:paraId="6844C9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住宅区，约3060户</w:t>
                  </w:r>
                </w:p>
              </w:tc>
            </w:tr>
            <w:tr w14:paraId="2A0E61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20FE15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110" w:type="dxa"/>
                  <w:tcBorders>
                    <w:tl2br w:val="nil"/>
                    <w:tr2bl w:val="nil"/>
                  </w:tcBorders>
                  <w:vAlign w:val="center"/>
                </w:tcPr>
                <w:p w14:paraId="56D095B5">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金科阳光小镇3期</w:t>
                  </w:r>
                </w:p>
              </w:tc>
              <w:tc>
                <w:tcPr>
                  <w:tcW w:w="643" w:type="dxa"/>
                  <w:tcBorders>
                    <w:tl2br w:val="nil"/>
                    <w:tr2bl w:val="nil"/>
                  </w:tcBorders>
                  <w:vAlign w:val="center"/>
                </w:tcPr>
                <w:p w14:paraId="50D4C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-149</w:t>
                  </w:r>
                </w:p>
              </w:tc>
              <w:tc>
                <w:tcPr>
                  <w:tcW w:w="688" w:type="dxa"/>
                  <w:tcBorders>
                    <w:tl2br w:val="nil"/>
                    <w:tr2bl w:val="nil"/>
                  </w:tcBorders>
                  <w:vAlign w:val="center"/>
                </w:tcPr>
                <w:p w14:paraId="3A1563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-177</w:t>
                  </w:r>
                </w:p>
              </w:tc>
              <w:tc>
                <w:tcPr>
                  <w:tcW w:w="911" w:type="dxa"/>
                  <w:vMerge w:val="continue"/>
                  <w:tcBorders>
                    <w:tl2br w:val="nil"/>
                    <w:tr2bl w:val="nil"/>
                  </w:tcBorders>
                  <w:vAlign w:val="center"/>
                </w:tcPr>
                <w:p w14:paraId="47A36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555270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SW</w:t>
                  </w:r>
                </w:p>
              </w:tc>
              <w:tc>
                <w:tcPr>
                  <w:tcW w:w="862" w:type="dxa"/>
                  <w:tcBorders>
                    <w:tl2br w:val="nil"/>
                    <w:tr2bl w:val="nil"/>
                  </w:tcBorders>
                  <w:vAlign w:val="center"/>
                </w:tcPr>
                <w:p w14:paraId="49D85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104</w:t>
                  </w:r>
                </w:p>
              </w:tc>
              <w:tc>
                <w:tcPr>
                  <w:tcW w:w="1954" w:type="dxa"/>
                  <w:tcBorders>
                    <w:tl2br w:val="nil"/>
                    <w:tr2bl w:val="nil"/>
                  </w:tcBorders>
                  <w:vAlign w:val="center"/>
                </w:tcPr>
                <w:p w14:paraId="49819A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住宅区，约528户</w:t>
                  </w:r>
                </w:p>
              </w:tc>
            </w:tr>
            <w:tr w14:paraId="55BDDC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4D0D02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7</w:t>
                  </w:r>
                </w:p>
              </w:tc>
              <w:tc>
                <w:tcPr>
                  <w:tcW w:w="2110" w:type="dxa"/>
                  <w:tcBorders>
                    <w:tl2br w:val="nil"/>
                    <w:tr2bl w:val="nil"/>
                  </w:tcBorders>
                  <w:vAlign w:val="center"/>
                </w:tcPr>
                <w:p w14:paraId="652AB54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金科阳光小镇4期</w:t>
                  </w:r>
                </w:p>
              </w:tc>
              <w:tc>
                <w:tcPr>
                  <w:tcW w:w="643" w:type="dxa"/>
                  <w:tcBorders>
                    <w:tl2br w:val="nil"/>
                    <w:tr2bl w:val="nil"/>
                  </w:tcBorders>
                  <w:vAlign w:val="center"/>
                </w:tcPr>
                <w:p w14:paraId="092736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57</w:t>
                  </w:r>
                </w:p>
              </w:tc>
              <w:tc>
                <w:tcPr>
                  <w:tcW w:w="688" w:type="dxa"/>
                  <w:tcBorders>
                    <w:tl2br w:val="nil"/>
                    <w:tr2bl w:val="nil"/>
                  </w:tcBorders>
                  <w:vAlign w:val="center"/>
                </w:tcPr>
                <w:p w14:paraId="463CAD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-188</w:t>
                  </w:r>
                </w:p>
              </w:tc>
              <w:tc>
                <w:tcPr>
                  <w:tcW w:w="911" w:type="dxa"/>
                  <w:vMerge w:val="continue"/>
                  <w:tcBorders>
                    <w:tl2br w:val="nil"/>
                    <w:tr2bl w:val="nil"/>
                  </w:tcBorders>
                  <w:vAlign w:val="center"/>
                </w:tcPr>
                <w:p w14:paraId="31A736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6106B4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SE</w:t>
                  </w:r>
                </w:p>
              </w:tc>
              <w:tc>
                <w:tcPr>
                  <w:tcW w:w="862" w:type="dxa"/>
                  <w:tcBorders>
                    <w:tl2br w:val="nil"/>
                    <w:tr2bl w:val="nil"/>
                  </w:tcBorders>
                  <w:vAlign w:val="center"/>
                </w:tcPr>
                <w:p w14:paraId="6EDE9A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87</w:t>
                  </w:r>
                </w:p>
              </w:tc>
              <w:tc>
                <w:tcPr>
                  <w:tcW w:w="1954" w:type="dxa"/>
                  <w:tcBorders>
                    <w:tl2br w:val="nil"/>
                    <w:tr2bl w:val="nil"/>
                  </w:tcBorders>
                  <w:vAlign w:val="center"/>
                </w:tcPr>
                <w:p w14:paraId="3CA48C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住宅区，约432户</w:t>
                  </w:r>
                </w:p>
              </w:tc>
            </w:tr>
            <w:tr w14:paraId="0BD822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629D13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110" w:type="dxa"/>
                  <w:tcBorders>
                    <w:tl2br w:val="nil"/>
                    <w:tr2bl w:val="nil"/>
                  </w:tcBorders>
                  <w:vAlign w:val="center"/>
                </w:tcPr>
                <w:p w14:paraId="4C80DF5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金科阳光小镇2期</w:t>
                  </w:r>
                </w:p>
              </w:tc>
              <w:tc>
                <w:tcPr>
                  <w:tcW w:w="643" w:type="dxa"/>
                  <w:tcBorders>
                    <w:tl2br w:val="nil"/>
                    <w:tr2bl w:val="nil"/>
                  </w:tcBorders>
                  <w:vAlign w:val="center"/>
                </w:tcPr>
                <w:p w14:paraId="7F9BD6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-145</w:t>
                  </w:r>
                </w:p>
              </w:tc>
              <w:tc>
                <w:tcPr>
                  <w:tcW w:w="688" w:type="dxa"/>
                  <w:tcBorders>
                    <w:tl2br w:val="nil"/>
                    <w:tr2bl w:val="nil"/>
                  </w:tcBorders>
                  <w:vAlign w:val="center"/>
                </w:tcPr>
                <w:p w14:paraId="282E74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-429</w:t>
                  </w:r>
                </w:p>
              </w:tc>
              <w:tc>
                <w:tcPr>
                  <w:tcW w:w="911" w:type="dxa"/>
                  <w:vMerge w:val="continue"/>
                  <w:tcBorders>
                    <w:tl2br w:val="nil"/>
                    <w:tr2bl w:val="nil"/>
                  </w:tcBorders>
                  <w:vAlign w:val="center"/>
                </w:tcPr>
                <w:p w14:paraId="241ABD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007DA9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SW</w:t>
                  </w:r>
                </w:p>
              </w:tc>
              <w:tc>
                <w:tcPr>
                  <w:tcW w:w="862" w:type="dxa"/>
                  <w:tcBorders>
                    <w:tl2br w:val="nil"/>
                    <w:tr2bl w:val="nil"/>
                  </w:tcBorders>
                  <w:vAlign w:val="center"/>
                </w:tcPr>
                <w:p w14:paraId="608384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362</w:t>
                  </w:r>
                </w:p>
              </w:tc>
              <w:tc>
                <w:tcPr>
                  <w:tcW w:w="1954" w:type="dxa"/>
                  <w:tcBorders>
                    <w:tl2br w:val="nil"/>
                    <w:tr2bl w:val="nil"/>
                  </w:tcBorders>
                  <w:vAlign w:val="center"/>
                </w:tcPr>
                <w:p w14:paraId="20B8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住宅区，约1380户</w:t>
                  </w:r>
                </w:p>
              </w:tc>
            </w:tr>
            <w:tr w14:paraId="40561C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shd w:val="clear" w:color="auto" w:fill="auto"/>
                  <w:vAlign w:val="center"/>
                </w:tcPr>
                <w:p w14:paraId="4EBCCB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110" w:type="dxa"/>
                  <w:tcBorders>
                    <w:tl2br w:val="nil"/>
                    <w:tr2bl w:val="nil"/>
                  </w:tcBorders>
                  <w:vAlign w:val="center"/>
                </w:tcPr>
                <w:p w14:paraId="0BD6436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金科阳光小镇1期</w:t>
                  </w:r>
                </w:p>
              </w:tc>
              <w:tc>
                <w:tcPr>
                  <w:tcW w:w="643" w:type="dxa"/>
                  <w:tcBorders>
                    <w:tl2br w:val="nil"/>
                    <w:tr2bl w:val="nil"/>
                  </w:tcBorders>
                  <w:vAlign w:val="center"/>
                </w:tcPr>
                <w:p w14:paraId="072734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37</w:t>
                  </w:r>
                </w:p>
              </w:tc>
              <w:tc>
                <w:tcPr>
                  <w:tcW w:w="688" w:type="dxa"/>
                  <w:tcBorders>
                    <w:tl2br w:val="nil"/>
                    <w:tr2bl w:val="nil"/>
                  </w:tcBorders>
                  <w:vAlign w:val="center"/>
                </w:tcPr>
                <w:p w14:paraId="3031B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-442</w:t>
                  </w:r>
                </w:p>
              </w:tc>
              <w:tc>
                <w:tcPr>
                  <w:tcW w:w="911" w:type="dxa"/>
                  <w:vMerge w:val="continue"/>
                  <w:tcBorders>
                    <w:tl2br w:val="nil"/>
                    <w:tr2bl w:val="nil"/>
                  </w:tcBorders>
                  <w:vAlign w:val="center"/>
                </w:tcPr>
                <w:p w14:paraId="3A2D9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07CD21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SE</w:t>
                  </w:r>
                </w:p>
              </w:tc>
              <w:tc>
                <w:tcPr>
                  <w:tcW w:w="862" w:type="dxa"/>
                  <w:tcBorders>
                    <w:tl2br w:val="nil"/>
                    <w:tr2bl w:val="nil"/>
                  </w:tcBorders>
                  <w:vAlign w:val="center"/>
                </w:tcPr>
                <w:p w14:paraId="6F94BE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357</w:t>
                  </w:r>
                </w:p>
              </w:tc>
              <w:tc>
                <w:tcPr>
                  <w:tcW w:w="1954" w:type="dxa"/>
                  <w:tcBorders>
                    <w:tl2br w:val="nil"/>
                    <w:tr2bl w:val="nil"/>
                  </w:tcBorders>
                  <w:vAlign w:val="center"/>
                </w:tcPr>
                <w:p w14:paraId="361F44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住宅区，约418户</w:t>
                  </w:r>
                </w:p>
              </w:tc>
            </w:tr>
            <w:tr w14:paraId="0C0FF8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9" w:hRule="atLeast"/>
              </w:trPr>
              <w:tc>
                <w:tcPr>
                  <w:tcW w:w="438" w:type="dxa"/>
                  <w:tcBorders>
                    <w:tl2br w:val="nil"/>
                    <w:tr2bl w:val="nil"/>
                  </w:tcBorders>
                  <w:shd w:val="clear" w:color="auto" w:fill="auto"/>
                  <w:vAlign w:val="center"/>
                </w:tcPr>
                <w:p w14:paraId="3A2DC0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2110" w:type="dxa"/>
                  <w:tcBorders>
                    <w:tl2br w:val="nil"/>
                    <w:tr2bl w:val="nil"/>
                  </w:tcBorders>
                  <w:vAlign w:val="center"/>
                </w:tcPr>
                <w:p w14:paraId="57A941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斌鑫西城绿锦榕尚居</w:t>
                  </w:r>
                </w:p>
              </w:tc>
              <w:tc>
                <w:tcPr>
                  <w:tcW w:w="643" w:type="dxa"/>
                  <w:tcBorders>
                    <w:tl2br w:val="nil"/>
                    <w:tr2bl w:val="nil"/>
                  </w:tcBorders>
                  <w:vAlign w:val="center"/>
                </w:tcPr>
                <w:p w14:paraId="6F4A9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370</w:t>
                  </w:r>
                </w:p>
              </w:tc>
              <w:tc>
                <w:tcPr>
                  <w:tcW w:w="688" w:type="dxa"/>
                  <w:tcBorders>
                    <w:tl2br w:val="nil"/>
                    <w:tr2bl w:val="nil"/>
                  </w:tcBorders>
                  <w:vAlign w:val="center"/>
                </w:tcPr>
                <w:p w14:paraId="4BFF7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-458</w:t>
                  </w:r>
                </w:p>
              </w:tc>
              <w:tc>
                <w:tcPr>
                  <w:tcW w:w="911" w:type="dxa"/>
                  <w:vMerge w:val="continue"/>
                  <w:tcBorders>
                    <w:tl2br w:val="nil"/>
                    <w:tr2bl w:val="nil"/>
                  </w:tcBorders>
                  <w:vAlign w:val="center"/>
                </w:tcPr>
                <w:p w14:paraId="396125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290A7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SE</w:t>
                  </w:r>
                </w:p>
              </w:tc>
              <w:tc>
                <w:tcPr>
                  <w:tcW w:w="862" w:type="dxa"/>
                  <w:tcBorders>
                    <w:tl2br w:val="nil"/>
                    <w:tr2bl w:val="nil"/>
                  </w:tcBorders>
                  <w:vAlign w:val="center"/>
                </w:tcPr>
                <w:p w14:paraId="7C1AD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482</w:t>
                  </w:r>
                </w:p>
              </w:tc>
              <w:tc>
                <w:tcPr>
                  <w:tcW w:w="1954" w:type="dxa"/>
                  <w:tcBorders>
                    <w:tl2br w:val="nil"/>
                    <w:tr2bl w:val="nil"/>
                  </w:tcBorders>
                  <w:vAlign w:val="center"/>
                </w:tcPr>
                <w:p w14:paraId="63C7BC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住宅区，约2100户</w:t>
                  </w:r>
                </w:p>
              </w:tc>
            </w:tr>
            <w:tr w14:paraId="09ED46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438" w:type="dxa"/>
                  <w:tcBorders>
                    <w:tl2br w:val="nil"/>
                    <w:tr2bl w:val="nil"/>
                  </w:tcBorders>
                  <w:vAlign w:val="center"/>
                </w:tcPr>
                <w:p w14:paraId="5D9C53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w:t>
                  </w:r>
                </w:p>
              </w:tc>
              <w:tc>
                <w:tcPr>
                  <w:tcW w:w="2110" w:type="dxa"/>
                  <w:tcBorders>
                    <w:tl2br w:val="nil"/>
                    <w:tr2bl w:val="nil"/>
                  </w:tcBorders>
                  <w:vAlign w:val="center"/>
                </w:tcPr>
                <w:p w14:paraId="6CD099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斌鑫西城绿锦北区</w:t>
                  </w:r>
                </w:p>
              </w:tc>
              <w:tc>
                <w:tcPr>
                  <w:tcW w:w="643" w:type="dxa"/>
                  <w:tcBorders>
                    <w:tl2br w:val="nil"/>
                    <w:tr2bl w:val="nil"/>
                  </w:tcBorders>
                  <w:vAlign w:val="center"/>
                </w:tcPr>
                <w:p w14:paraId="7C37E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382</w:t>
                  </w:r>
                </w:p>
              </w:tc>
              <w:tc>
                <w:tcPr>
                  <w:tcW w:w="688" w:type="dxa"/>
                  <w:tcBorders>
                    <w:tl2br w:val="nil"/>
                    <w:tr2bl w:val="nil"/>
                  </w:tcBorders>
                  <w:vAlign w:val="center"/>
                </w:tcPr>
                <w:p w14:paraId="32EBE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-210</w:t>
                  </w:r>
                </w:p>
              </w:tc>
              <w:tc>
                <w:tcPr>
                  <w:tcW w:w="911" w:type="dxa"/>
                  <w:vMerge w:val="continue"/>
                  <w:tcBorders>
                    <w:tl2br w:val="nil"/>
                    <w:tr2bl w:val="nil"/>
                  </w:tcBorders>
                  <w:vAlign w:val="center"/>
                </w:tcPr>
                <w:p w14:paraId="468C97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3B61FE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SE</w:t>
                  </w:r>
                </w:p>
              </w:tc>
              <w:tc>
                <w:tcPr>
                  <w:tcW w:w="862" w:type="dxa"/>
                  <w:tcBorders>
                    <w:tl2br w:val="nil"/>
                    <w:tr2bl w:val="nil"/>
                  </w:tcBorders>
                  <w:vAlign w:val="center"/>
                </w:tcPr>
                <w:p w14:paraId="6C0A7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298</w:t>
                  </w:r>
                </w:p>
              </w:tc>
              <w:tc>
                <w:tcPr>
                  <w:tcW w:w="1954" w:type="dxa"/>
                  <w:tcBorders>
                    <w:tl2br w:val="nil"/>
                    <w:tr2bl w:val="nil"/>
                  </w:tcBorders>
                  <w:vAlign w:val="center"/>
                </w:tcPr>
                <w:p w14:paraId="613E0E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住宅区，约1865户</w:t>
                  </w:r>
                </w:p>
              </w:tc>
            </w:tr>
            <w:tr w14:paraId="19A38A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438" w:type="dxa"/>
                  <w:tcBorders>
                    <w:tl2br w:val="nil"/>
                    <w:tr2bl w:val="nil"/>
                  </w:tcBorders>
                  <w:vAlign w:val="center"/>
                </w:tcPr>
                <w:p w14:paraId="4B7C19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110" w:type="dxa"/>
                  <w:tcBorders>
                    <w:tl2br w:val="nil"/>
                    <w:tr2bl w:val="nil"/>
                  </w:tcBorders>
                  <w:vAlign w:val="center"/>
                </w:tcPr>
                <w:p w14:paraId="199E6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color w:val="auto"/>
                      <w:sz w:val="21"/>
                      <w:highlight w:val="none"/>
                      <w:lang w:val="en-US" w:eastAsia="zh-CN"/>
                    </w:rPr>
                  </w:pPr>
                  <w:r>
                    <w:rPr>
                      <w:rFonts w:hint="eastAsia" w:ascii="Times New Roman" w:hAnsi="Times New Roman" w:eastAsia="宋体"/>
                      <w:b w:val="0"/>
                      <w:bCs/>
                      <w:color w:val="auto"/>
                      <w:sz w:val="21"/>
                      <w:highlight w:val="none"/>
                      <w:lang w:val="en-US" w:eastAsia="zh-CN"/>
                    </w:rPr>
                    <w:t>华岩派出所</w:t>
                  </w:r>
                </w:p>
              </w:tc>
              <w:tc>
                <w:tcPr>
                  <w:tcW w:w="643" w:type="dxa"/>
                  <w:tcBorders>
                    <w:tl2br w:val="nil"/>
                    <w:tr2bl w:val="nil"/>
                  </w:tcBorders>
                  <w:vAlign w:val="center"/>
                </w:tcPr>
                <w:p w14:paraId="566A1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232</w:t>
                  </w:r>
                </w:p>
              </w:tc>
              <w:tc>
                <w:tcPr>
                  <w:tcW w:w="688" w:type="dxa"/>
                  <w:tcBorders>
                    <w:tl2br w:val="nil"/>
                    <w:tr2bl w:val="nil"/>
                  </w:tcBorders>
                  <w:vAlign w:val="center"/>
                </w:tcPr>
                <w:p w14:paraId="2ED49A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-137</w:t>
                  </w:r>
                </w:p>
              </w:tc>
              <w:tc>
                <w:tcPr>
                  <w:tcW w:w="911" w:type="dxa"/>
                  <w:vMerge w:val="continue"/>
                  <w:tcBorders>
                    <w:tl2br w:val="nil"/>
                    <w:tr2bl w:val="nil"/>
                  </w:tcBorders>
                  <w:vAlign w:val="center"/>
                </w:tcPr>
                <w:p w14:paraId="2C337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01ADC1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SE</w:t>
                  </w:r>
                </w:p>
              </w:tc>
              <w:tc>
                <w:tcPr>
                  <w:tcW w:w="862" w:type="dxa"/>
                  <w:tcBorders>
                    <w:tl2br w:val="nil"/>
                    <w:tr2bl w:val="nil"/>
                  </w:tcBorders>
                  <w:vAlign w:val="center"/>
                </w:tcPr>
                <w:p w14:paraId="7831BF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249</w:t>
                  </w:r>
                </w:p>
              </w:tc>
              <w:tc>
                <w:tcPr>
                  <w:tcW w:w="1954" w:type="dxa"/>
                  <w:tcBorders>
                    <w:tl2br w:val="nil"/>
                    <w:tr2bl w:val="nil"/>
                  </w:tcBorders>
                  <w:vAlign w:val="center"/>
                </w:tcPr>
                <w:p w14:paraId="71276D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政府部门，约5人</w:t>
                  </w:r>
                </w:p>
              </w:tc>
            </w:tr>
            <w:tr w14:paraId="3F6690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438" w:type="dxa"/>
                  <w:tcBorders>
                    <w:tl2br w:val="nil"/>
                    <w:tr2bl w:val="nil"/>
                  </w:tcBorders>
                  <w:vAlign w:val="center"/>
                </w:tcPr>
                <w:p w14:paraId="39A8F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110" w:type="dxa"/>
                  <w:tcBorders>
                    <w:tl2br w:val="nil"/>
                    <w:tr2bl w:val="nil"/>
                  </w:tcBorders>
                  <w:vAlign w:val="center"/>
                </w:tcPr>
                <w:p w14:paraId="607341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val="0"/>
                      <w:bCs/>
                      <w:color w:val="auto"/>
                      <w:sz w:val="21"/>
                      <w:highlight w:val="none"/>
                      <w:lang w:val="en-US" w:eastAsia="zh-CN"/>
                    </w:rPr>
                  </w:pPr>
                  <w:r>
                    <w:rPr>
                      <w:rFonts w:hint="eastAsia" w:ascii="Times New Roman" w:hAnsi="Times New Roman" w:eastAsia="宋体"/>
                      <w:b w:val="0"/>
                      <w:bCs/>
                      <w:color w:val="auto"/>
                      <w:sz w:val="21"/>
                      <w:highlight w:val="none"/>
                      <w:lang w:val="en-US" w:eastAsia="zh-CN"/>
                    </w:rPr>
                    <w:t>重庆仁本医院</w:t>
                  </w:r>
                </w:p>
              </w:tc>
              <w:tc>
                <w:tcPr>
                  <w:tcW w:w="643" w:type="dxa"/>
                  <w:tcBorders>
                    <w:tl2br w:val="nil"/>
                    <w:tr2bl w:val="nil"/>
                  </w:tcBorders>
                  <w:vAlign w:val="center"/>
                </w:tcPr>
                <w:p w14:paraId="68251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504</w:t>
                  </w:r>
                </w:p>
              </w:tc>
              <w:tc>
                <w:tcPr>
                  <w:tcW w:w="688" w:type="dxa"/>
                  <w:tcBorders>
                    <w:tl2br w:val="nil"/>
                    <w:tr2bl w:val="nil"/>
                  </w:tcBorders>
                  <w:vAlign w:val="center"/>
                </w:tcPr>
                <w:p w14:paraId="2522D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-328</w:t>
                  </w:r>
                </w:p>
              </w:tc>
              <w:tc>
                <w:tcPr>
                  <w:tcW w:w="911" w:type="dxa"/>
                  <w:vMerge w:val="continue"/>
                  <w:tcBorders>
                    <w:tl2br w:val="nil"/>
                    <w:tr2bl w:val="nil"/>
                  </w:tcBorders>
                  <w:vAlign w:val="center"/>
                </w:tcPr>
                <w:p w14:paraId="172677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1A06A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SE</w:t>
                  </w:r>
                </w:p>
              </w:tc>
              <w:tc>
                <w:tcPr>
                  <w:tcW w:w="862" w:type="dxa"/>
                  <w:tcBorders>
                    <w:tl2br w:val="nil"/>
                    <w:tr2bl w:val="nil"/>
                  </w:tcBorders>
                  <w:vAlign w:val="center"/>
                </w:tcPr>
                <w:p w14:paraId="61705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586</w:t>
                  </w:r>
                </w:p>
              </w:tc>
              <w:tc>
                <w:tcPr>
                  <w:tcW w:w="1954" w:type="dxa"/>
                  <w:tcBorders>
                    <w:tl2br w:val="nil"/>
                    <w:tr2bl w:val="nil"/>
                  </w:tcBorders>
                  <w:vAlign w:val="center"/>
                </w:tcPr>
                <w:p w14:paraId="580EF1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医院，约33人</w:t>
                  </w:r>
                </w:p>
              </w:tc>
            </w:tr>
            <w:tr w14:paraId="74AEFE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vAlign w:val="center"/>
                </w:tcPr>
                <w:p w14:paraId="00B933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14</w:t>
                  </w:r>
                </w:p>
              </w:tc>
              <w:tc>
                <w:tcPr>
                  <w:tcW w:w="2110" w:type="dxa"/>
                  <w:tcBorders>
                    <w:tl2br w:val="nil"/>
                    <w:tr2bl w:val="nil"/>
                  </w:tcBorders>
                  <w:vAlign w:val="center"/>
                </w:tcPr>
                <w:p w14:paraId="152830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长帆汀蓝郡</w:t>
                  </w:r>
                </w:p>
              </w:tc>
              <w:tc>
                <w:tcPr>
                  <w:tcW w:w="643" w:type="dxa"/>
                  <w:tcBorders>
                    <w:tl2br w:val="nil"/>
                    <w:tr2bl w:val="nil"/>
                  </w:tcBorders>
                  <w:vAlign w:val="center"/>
                </w:tcPr>
                <w:p w14:paraId="096FC9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310</w:t>
                  </w:r>
                </w:p>
              </w:tc>
              <w:tc>
                <w:tcPr>
                  <w:tcW w:w="688" w:type="dxa"/>
                  <w:tcBorders>
                    <w:tl2br w:val="nil"/>
                    <w:tr2bl w:val="nil"/>
                  </w:tcBorders>
                  <w:vAlign w:val="center"/>
                </w:tcPr>
                <w:p w14:paraId="44F7CB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w:t>
                  </w:r>
                </w:p>
              </w:tc>
              <w:tc>
                <w:tcPr>
                  <w:tcW w:w="911" w:type="dxa"/>
                  <w:vMerge w:val="continue"/>
                  <w:tcBorders>
                    <w:tl2br w:val="nil"/>
                    <w:tr2bl w:val="nil"/>
                  </w:tcBorders>
                  <w:vAlign w:val="center"/>
                </w:tcPr>
                <w:p w14:paraId="6722C0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77EF7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E</w:t>
                  </w:r>
                </w:p>
              </w:tc>
              <w:tc>
                <w:tcPr>
                  <w:tcW w:w="862" w:type="dxa"/>
                  <w:tcBorders>
                    <w:tl2br w:val="nil"/>
                    <w:tr2bl w:val="nil"/>
                  </w:tcBorders>
                  <w:vAlign w:val="center"/>
                </w:tcPr>
                <w:p w14:paraId="4A1E1C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198</w:t>
                  </w:r>
                </w:p>
              </w:tc>
              <w:tc>
                <w:tcPr>
                  <w:tcW w:w="1954" w:type="dxa"/>
                  <w:tcBorders>
                    <w:tl2br w:val="nil"/>
                    <w:tr2bl w:val="nil"/>
                  </w:tcBorders>
                  <w:vAlign w:val="center"/>
                </w:tcPr>
                <w:p w14:paraId="540E2F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住宅区，约982户</w:t>
                  </w:r>
                </w:p>
              </w:tc>
            </w:tr>
            <w:tr w14:paraId="626C76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vAlign w:val="center"/>
                </w:tcPr>
                <w:p w14:paraId="35F295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2110" w:type="dxa"/>
                  <w:tcBorders>
                    <w:tl2br w:val="nil"/>
                    <w:tr2bl w:val="nil"/>
                  </w:tcBorders>
                  <w:vAlign w:val="center"/>
                </w:tcPr>
                <w:p w14:paraId="416F6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重庆行知育才学校</w:t>
                  </w:r>
                </w:p>
              </w:tc>
              <w:tc>
                <w:tcPr>
                  <w:tcW w:w="643" w:type="dxa"/>
                  <w:tcBorders>
                    <w:tl2br w:val="nil"/>
                    <w:tr2bl w:val="nil"/>
                  </w:tcBorders>
                  <w:vAlign w:val="center"/>
                </w:tcPr>
                <w:p w14:paraId="1A03F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608</w:t>
                  </w:r>
                </w:p>
              </w:tc>
              <w:tc>
                <w:tcPr>
                  <w:tcW w:w="688" w:type="dxa"/>
                  <w:tcBorders>
                    <w:tl2br w:val="nil"/>
                    <w:tr2bl w:val="nil"/>
                  </w:tcBorders>
                  <w:vAlign w:val="center"/>
                </w:tcPr>
                <w:p w14:paraId="64B6A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w:t>
                  </w:r>
                </w:p>
              </w:tc>
              <w:tc>
                <w:tcPr>
                  <w:tcW w:w="911" w:type="dxa"/>
                  <w:vMerge w:val="continue"/>
                  <w:tcBorders>
                    <w:tl2br w:val="nil"/>
                    <w:tr2bl w:val="nil"/>
                  </w:tcBorders>
                  <w:vAlign w:val="center"/>
                </w:tcPr>
                <w:p w14:paraId="6D3CB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1A6FCE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E</w:t>
                  </w:r>
                </w:p>
              </w:tc>
              <w:tc>
                <w:tcPr>
                  <w:tcW w:w="862" w:type="dxa"/>
                  <w:tcBorders>
                    <w:tl2br w:val="nil"/>
                    <w:tr2bl w:val="nil"/>
                  </w:tcBorders>
                  <w:vAlign w:val="center"/>
                </w:tcPr>
                <w:p w14:paraId="385EF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423</w:t>
                  </w:r>
                </w:p>
              </w:tc>
              <w:tc>
                <w:tcPr>
                  <w:tcW w:w="1954" w:type="dxa"/>
                  <w:tcBorders>
                    <w:tl2br w:val="nil"/>
                    <w:tr2bl w:val="nil"/>
                  </w:tcBorders>
                  <w:vAlign w:val="center"/>
                </w:tcPr>
                <w:p w14:paraId="019865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学校，约3100人</w:t>
                  </w:r>
                </w:p>
              </w:tc>
            </w:tr>
            <w:tr w14:paraId="4E3286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vAlign w:val="center"/>
                </w:tcPr>
                <w:p w14:paraId="4F154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16</w:t>
                  </w:r>
                </w:p>
              </w:tc>
              <w:tc>
                <w:tcPr>
                  <w:tcW w:w="2110" w:type="dxa"/>
                  <w:tcBorders>
                    <w:tl2br w:val="nil"/>
                    <w:tr2bl w:val="nil"/>
                  </w:tcBorders>
                  <w:vAlign w:val="center"/>
                </w:tcPr>
                <w:p w14:paraId="507E7120">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金融街金悦府1期</w:t>
                  </w:r>
                </w:p>
              </w:tc>
              <w:tc>
                <w:tcPr>
                  <w:tcW w:w="643" w:type="dxa"/>
                  <w:tcBorders>
                    <w:tl2br w:val="nil"/>
                    <w:tr2bl w:val="nil"/>
                  </w:tcBorders>
                  <w:vAlign w:val="center"/>
                </w:tcPr>
                <w:p w14:paraId="2636A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600</w:t>
                  </w:r>
                </w:p>
              </w:tc>
              <w:tc>
                <w:tcPr>
                  <w:tcW w:w="688" w:type="dxa"/>
                  <w:tcBorders>
                    <w:tl2br w:val="nil"/>
                    <w:tr2bl w:val="nil"/>
                  </w:tcBorders>
                  <w:vAlign w:val="center"/>
                </w:tcPr>
                <w:p w14:paraId="3D5FFE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213</w:t>
                  </w:r>
                </w:p>
              </w:tc>
              <w:tc>
                <w:tcPr>
                  <w:tcW w:w="911" w:type="dxa"/>
                  <w:vMerge w:val="continue"/>
                  <w:tcBorders>
                    <w:tl2br w:val="nil"/>
                    <w:tr2bl w:val="nil"/>
                  </w:tcBorders>
                  <w:vAlign w:val="center"/>
                </w:tcPr>
                <w:p w14:paraId="7F568D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58E0BE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NE</w:t>
                  </w:r>
                </w:p>
              </w:tc>
              <w:tc>
                <w:tcPr>
                  <w:tcW w:w="862" w:type="dxa"/>
                  <w:tcBorders>
                    <w:tl2br w:val="nil"/>
                    <w:tr2bl w:val="nil"/>
                  </w:tcBorders>
                  <w:vAlign w:val="center"/>
                </w:tcPr>
                <w:p w14:paraId="68959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450</w:t>
                  </w:r>
                </w:p>
              </w:tc>
              <w:tc>
                <w:tcPr>
                  <w:tcW w:w="1954" w:type="dxa"/>
                  <w:tcBorders>
                    <w:tl2br w:val="nil"/>
                    <w:tr2bl w:val="nil"/>
                  </w:tcBorders>
                  <w:vAlign w:val="center"/>
                </w:tcPr>
                <w:p w14:paraId="4D4AA4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住宅区，约822户</w:t>
                  </w:r>
                </w:p>
              </w:tc>
            </w:tr>
            <w:tr w14:paraId="15993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438" w:type="dxa"/>
                  <w:tcBorders>
                    <w:tl2br w:val="nil"/>
                    <w:tr2bl w:val="nil"/>
                  </w:tcBorders>
                  <w:vAlign w:val="center"/>
                </w:tcPr>
                <w:p w14:paraId="01F316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17</w:t>
                  </w:r>
                </w:p>
              </w:tc>
              <w:tc>
                <w:tcPr>
                  <w:tcW w:w="2110" w:type="dxa"/>
                  <w:tcBorders>
                    <w:tl2br w:val="nil"/>
                    <w:tr2bl w:val="nil"/>
                  </w:tcBorders>
                  <w:vAlign w:val="center"/>
                </w:tcPr>
                <w:p w14:paraId="575D235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b w:val="0"/>
                      <w:bCs/>
                      <w:color w:val="auto"/>
                      <w:sz w:val="21"/>
                      <w:highlight w:val="none"/>
                      <w:lang w:val="en-US" w:eastAsia="zh-CN"/>
                    </w:rPr>
                    <w:t>金融街金悦府3期</w:t>
                  </w:r>
                </w:p>
              </w:tc>
              <w:tc>
                <w:tcPr>
                  <w:tcW w:w="643" w:type="dxa"/>
                  <w:tcBorders>
                    <w:tl2br w:val="nil"/>
                    <w:tr2bl w:val="nil"/>
                  </w:tcBorders>
                  <w:vAlign w:val="center"/>
                </w:tcPr>
                <w:p w14:paraId="4C33E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528</w:t>
                  </w:r>
                </w:p>
              </w:tc>
              <w:tc>
                <w:tcPr>
                  <w:tcW w:w="688" w:type="dxa"/>
                  <w:tcBorders>
                    <w:tl2br w:val="nil"/>
                    <w:tr2bl w:val="nil"/>
                  </w:tcBorders>
                  <w:vAlign w:val="center"/>
                </w:tcPr>
                <w:p w14:paraId="5F2D8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377</w:t>
                  </w:r>
                </w:p>
              </w:tc>
              <w:tc>
                <w:tcPr>
                  <w:tcW w:w="911" w:type="dxa"/>
                  <w:vMerge w:val="continue"/>
                  <w:tcBorders>
                    <w:tl2br w:val="nil"/>
                    <w:tr2bl w:val="nil"/>
                  </w:tcBorders>
                  <w:vAlign w:val="center"/>
                </w:tcPr>
                <w:p w14:paraId="2D7430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47" w:type="dxa"/>
                  <w:tcBorders>
                    <w:tl2br w:val="nil"/>
                    <w:tr2bl w:val="nil"/>
                  </w:tcBorders>
                  <w:vAlign w:val="center"/>
                </w:tcPr>
                <w:p w14:paraId="77C6B6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NE</w:t>
                  </w:r>
                </w:p>
              </w:tc>
              <w:tc>
                <w:tcPr>
                  <w:tcW w:w="862" w:type="dxa"/>
                  <w:tcBorders>
                    <w:tl2br w:val="nil"/>
                    <w:tr2bl w:val="nil"/>
                  </w:tcBorders>
                  <w:vAlign w:val="center"/>
                </w:tcPr>
                <w:p w14:paraId="654A30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455</w:t>
                  </w:r>
                </w:p>
              </w:tc>
              <w:tc>
                <w:tcPr>
                  <w:tcW w:w="1954" w:type="dxa"/>
                  <w:tcBorders>
                    <w:tl2br w:val="nil"/>
                    <w:tr2bl w:val="nil"/>
                  </w:tcBorders>
                  <w:vAlign w:val="center"/>
                </w:tcPr>
                <w:p w14:paraId="7DAD8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住宅区，约494户</w:t>
                  </w:r>
                </w:p>
              </w:tc>
            </w:tr>
            <w:tr w14:paraId="0C26FA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 w:hRule="atLeast"/>
              </w:trPr>
              <w:tc>
                <w:tcPr>
                  <w:tcW w:w="8353" w:type="dxa"/>
                  <w:gridSpan w:val="8"/>
                  <w:tcBorders>
                    <w:tl2br w:val="nil"/>
                    <w:tr2bl w:val="nil"/>
                  </w:tcBorders>
                  <w:vAlign w:val="center"/>
                </w:tcPr>
                <w:p w14:paraId="4C9C8C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lang w:val="en-US" w:eastAsia="zh-CN"/>
                    </w:rPr>
                    <w:t>注：以项目厂区中心</w:t>
                  </w:r>
                  <w:r>
                    <w:rPr>
                      <w:rFonts w:hint="eastAsia" w:ascii="Times New Roman" w:hAnsi="Times New Roman" w:eastAsia="宋体" w:cs="Times New Roman"/>
                      <w:b w:val="0"/>
                      <w:bCs w:val="0"/>
                      <w:color w:val="auto"/>
                      <w:kern w:val="0"/>
                      <w:sz w:val="21"/>
                      <w:szCs w:val="21"/>
                      <w:highlight w:val="none"/>
                      <w:lang w:val="en-US" w:eastAsia="zh-CN"/>
                    </w:rPr>
                    <w:t>（106.437147720,29.452424365）</w:t>
                  </w:r>
                  <w:r>
                    <w:rPr>
                      <w:rFonts w:hint="default" w:ascii="Times New Roman" w:hAnsi="Times New Roman" w:eastAsia="宋体" w:cs="Times New Roman"/>
                      <w:b w:val="0"/>
                      <w:bCs w:val="0"/>
                      <w:color w:val="auto"/>
                      <w:kern w:val="0"/>
                      <w:sz w:val="21"/>
                      <w:szCs w:val="21"/>
                      <w:highlight w:val="none"/>
                      <w:lang w:val="en-US" w:eastAsia="zh-CN"/>
                    </w:rPr>
                    <w:t>为原点（0，0）</w:t>
                  </w:r>
                  <w:r>
                    <w:rPr>
                      <w:rFonts w:hint="eastAsia"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val="en-US" w:eastAsia="zh-CN"/>
                    </w:rPr>
                    <w:t>以</w:t>
                  </w:r>
                  <w:r>
                    <w:rPr>
                      <w:rFonts w:hint="eastAsia" w:ascii="Times New Roman" w:hAnsi="Times New Roman" w:eastAsia="宋体" w:cs="Times New Roman"/>
                      <w:b w:val="0"/>
                      <w:bCs w:val="0"/>
                      <w:color w:val="auto"/>
                      <w:kern w:val="0"/>
                      <w:sz w:val="21"/>
                      <w:szCs w:val="21"/>
                      <w:highlight w:val="none"/>
                      <w:lang w:val="en-US" w:eastAsia="zh-CN"/>
                    </w:rPr>
                    <w:t>环境保护目标</w:t>
                  </w:r>
                  <w:r>
                    <w:rPr>
                      <w:rFonts w:hint="default" w:ascii="Times New Roman" w:hAnsi="Times New Roman" w:eastAsia="宋体" w:cs="Times New Roman"/>
                      <w:b w:val="0"/>
                      <w:bCs w:val="0"/>
                      <w:color w:val="auto"/>
                      <w:kern w:val="0"/>
                      <w:sz w:val="21"/>
                      <w:szCs w:val="21"/>
                      <w:highlight w:val="none"/>
                      <w:lang w:val="en-US" w:eastAsia="zh-CN"/>
                    </w:rPr>
                    <w:t>中心为</w:t>
                  </w:r>
                  <w:r>
                    <w:rPr>
                      <w:rFonts w:hint="eastAsia" w:ascii="Times New Roman" w:hAnsi="Times New Roman" w:eastAsia="宋体" w:cs="Times New Roman"/>
                      <w:b w:val="0"/>
                      <w:bCs w:val="0"/>
                      <w:color w:val="auto"/>
                      <w:kern w:val="0"/>
                      <w:sz w:val="21"/>
                      <w:szCs w:val="21"/>
                      <w:highlight w:val="none"/>
                      <w:lang w:val="en-US" w:eastAsia="zh-CN"/>
                    </w:rPr>
                    <w:t>坐标</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rPr>
                    <w:t>X</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color w:val="auto"/>
                      <w:kern w:val="0"/>
                      <w:sz w:val="21"/>
                      <w:szCs w:val="21"/>
                      <w:highlight w:val="none"/>
                      <w:lang w:val="en-US" w:eastAsia="zh-CN"/>
                    </w:rPr>
                    <w:t>Y</w:t>
                  </w:r>
                  <w:r>
                    <w:rPr>
                      <w:rFonts w:hint="default" w:ascii="Times New Roman" w:hAnsi="Times New Roman" w:eastAsia="宋体" w:cs="Times New Roman"/>
                      <w:b w:val="0"/>
                      <w:bCs w:val="0"/>
                      <w:color w:val="auto"/>
                      <w:kern w:val="0"/>
                      <w:sz w:val="21"/>
                      <w:szCs w:val="21"/>
                      <w:highlight w:val="none"/>
                      <w:lang w:val="en-US" w:eastAsia="zh-CN"/>
                    </w:rPr>
                    <w:t>）。</w:t>
                  </w:r>
                </w:p>
              </w:tc>
            </w:tr>
          </w:tbl>
          <w:p w14:paraId="57E85DCC">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200"/>
              <w:jc w:val="left"/>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cs="Times New Roman"/>
                <w:b w:val="0"/>
                <w:bCs w:val="0"/>
                <w:color w:val="auto"/>
                <w:kern w:val="0"/>
                <w:sz w:val="24"/>
                <w:szCs w:val="24"/>
                <w:lang w:val="en-US" w:eastAsia="zh-CN"/>
              </w:rPr>
              <w:t>（2）</w:t>
            </w:r>
            <w:r>
              <w:rPr>
                <w:rFonts w:hint="eastAsia" w:ascii="Times New Roman" w:hAnsi="Times New Roman" w:eastAsia="宋体" w:cs="Times New Roman"/>
                <w:b w:val="0"/>
                <w:bCs w:val="0"/>
                <w:color w:val="auto"/>
                <w:kern w:val="0"/>
                <w:sz w:val="24"/>
                <w:szCs w:val="24"/>
                <w:lang w:val="en-US" w:eastAsia="zh-CN"/>
              </w:rPr>
              <w:t>声环境保护目标</w:t>
            </w:r>
          </w:p>
          <w:p w14:paraId="1A2791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项目</w:t>
            </w:r>
            <w:r>
              <w:rPr>
                <w:rFonts w:hint="eastAsia"/>
                <w:color w:val="auto"/>
                <w:sz w:val="24"/>
                <w:szCs w:val="24"/>
                <w:highlight w:val="none"/>
                <w:lang w:val="en-US" w:eastAsia="zh-CN"/>
              </w:rPr>
              <w:t>厂界</w:t>
            </w:r>
            <w:r>
              <w:rPr>
                <w:rFonts w:hint="eastAsia" w:ascii="Times New Roman" w:hAnsi="Times New Roman" w:eastAsia="宋体" w:cs="Times New Roman"/>
                <w:b w:val="0"/>
                <w:bCs w:val="0"/>
                <w:color w:val="auto"/>
                <w:kern w:val="0"/>
                <w:sz w:val="24"/>
                <w:szCs w:val="24"/>
                <w:lang w:val="en-US" w:eastAsia="zh-CN"/>
              </w:rPr>
              <w:t>外50m范围内存在居住区。项目50m范围内声环境保护目标详见</w:t>
            </w:r>
          </w:p>
          <w:p w14:paraId="46861FF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left"/>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表3.2-</w:t>
            </w:r>
            <w:r>
              <w:rPr>
                <w:rFonts w:hint="eastAsia" w:cs="Times New Roman"/>
                <w:b w:val="0"/>
                <w:bCs w:val="0"/>
                <w:color w:val="auto"/>
                <w:kern w:val="0"/>
                <w:sz w:val="24"/>
                <w:szCs w:val="24"/>
                <w:lang w:val="en-US" w:eastAsia="zh-CN"/>
              </w:rPr>
              <w:t>3</w:t>
            </w:r>
            <w:r>
              <w:rPr>
                <w:rFonts w:hint="eastAsia" w:ascii="Times New Roman" w:hAnsi="Times New Roman" w:eastAsia="宋体" w:cs="Times New Roman"/>
                <w:b w:val="0"/>
                <w:bCs w:val="0"/>
                <w:color w:val="auto"/>
                <w:kern w:val="0"/>
                <w:sz w:val="24"/>
                <w:szCs w:val="24"/>
                <w:lang w:val="en-US" w:eastAsia="zh-CN"/>
              </w:rPr>
              <w:t>。</w:t>
            </w:r>
          </w:p>
          <w:p w14:paraId="79BCE6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表3.2-</w:t>
            </w:r>
            <w:r>
              <w:rPr>
                <w:rFonts w:hint="eastAsia" w:cs="Times New Roman"/>
                <w:b w:val="0"/>
                <w:bCs w:val="0"/>
                <w:color w:val="auto"/>
                <w:kern w:val="0"/>
                <w:sz w:val="21"/>
                <w:szCs w:val="21"/>
                <w:lang w:val="en-US" w:eastAsia="zh-CN"/>
              </w:rPr>
              <w:t>3</w:t>
            </w:r>
            <w:r>
              <w:rPr>
                <w:rFonts w:hint="eastAsia" w:ascii="Times New Roman" w:hAnsi="Times New Roman" w:eastAsia="宋体" w:cs="Times New Roman"/>
                <w:b w:val="0"/>
                <w:bCs w:val="0"/>
                <w:color w:val="auto"/>
                <w:kern w:val="0"/>
                <w:sz w:val="21"/>
                <w:szCs w:val="21"/>
                <w:lang w:val="en-US" w:eastAsia="zh-CN"/>
              </w:rPr>
              <w:t xml:space="preserve"> 项目声环境保护目标一览表</w:t>
            </w:r>
          </w:p>
          <w:tbl>
            <w:tblPr>
              <w:tblStyle w:val="22"/>
              <w:tblW w:w="835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909"/>
              <w:gridCol w:w="622"/>
              <w:gridCol w:w="760"/>
              <w:gridCol w:w="1327"/>
              <w:gridCol w:w="897"/>
              <w:gridCol w:w="1110"/>
              <w:gridCol w:w="1160"/>
            </w:tblGrid>
            <w:tr w14:paraId="3FAB1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569" w:type="dxa"/>
                  <w:vMerge w:val="restart"/>
                  <w:tcBorders>
                    <w:tl2br w:val="nil"/>
                    <w:tr2bl w:val="nil"/>
                  </w:tcBorders>
                  <w:vAlign w:val="center"/>
                </w:tcPr>
                <w:p w14:paraId="33CBBD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序号</w:t>
                  </w:r>
                </w:p>
              </w:tc>
              <w:tc>
                <w:tcPr>
                  <w:tcW w:w="1909" w:type="dxa"/>
                  <w:vMerge w:val="restart"/>
                  <w:tcBorders>
                    <w:tl2br w:val="nil"/>
                    <w:tr2bl w:val="nil"/>
                  </w:tcBorders>
                  <w:vAlign w:val="center"/>
                </w:tcPr>
                <w:p w14:paraId="167BD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名称</w:t>
                  </w:r>
                </w:p>
              </w:tc>
              <w:tc>
                <w:tcPr>
                  <w:tcW w:w="1382" w:type="dxa"/>
                  <w:gridSpan w:val="2"/>
                  <w:tcBorders>
                    <w:tl2br w:val="nil"/>
                    <w:tr2bl w:val="nil"/>
                  </w:tcBorders>
                  <w:vAlign w:val="center"/>
                </w:tcPr>
                <w:p w14:paraId="61264C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坐标/m</w:t>
                  </w:r>
                </w:p>
              </w:tc>
              <w:tc>
                <w:tcPr>
                  <w:tcW w:w="1327" w:type="dxa"/>
                  <w:vMerge w:val="restart"/>
                  <w:tcBorders>
                    <w:tl2br w:val="nil"/>
                    <w:tr2bl w:val="nil"/>
                  </w:tcBorders>
                  <w:vAlign w:val="center"/>
                </w:tcPr>
                <w:p w14:paraId="5CE3B8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环境功能区</w:t>
                  </w:r>
                </w:p>
              </w:tc>
              <w:tc>
                <w:tcPr>
                  <w:tcW w:w="897" w:type="dxa"/>
                  <w:vMerge w:val="restart"/>
                  <w:tcBorders>
                    <w:tl2br w:val="nil"/>
                    <w:tr2bl w:val="nil"/>
                  </w:tcBorders>
                  <w:vAlign w:val="center"/>
                </w:tcPr>
                <w:p w14:paraId="145074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相对厂址方位</w:t>
                  </w:r>
                </w:p>
              </w:tc>
              <w:tc>
                <w:tcPr>
                  <w:tcW w:w="1110" w:type="dxa"/>
                  <w:vMerge w:val="restart"/>
                  <w:tcBorders>
                    <w:tl2br w:val="nil"/>
                    <w:tr2bl w:val="nil"/>
                  </w:tcBorders>
                  <w:vAlign w:val="center"/>
                </w:tcPr>
                <w:p w14:paraId="04F64A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相对</w:t>
                  </w:r>
                  <w:r>
                    <w:rPr>
                      <w:rFonts w:hint="eastAsia"/>
                      <w:color w:val="auto"/>
                      <w:sz w:val="21"/>
                      <w:szCs w:val="21"/>
                      <w:highlight w:val="none"/>
                      <w:lang w:val="en-US" w:eastAsia="zh-CN"/>
                    </w:rPr>
                    <w:t>厂界最近</w:t>
                  </w:r>
                  <w:r>
                    <w:rPr>
                      <w:rFonts w:hint="eastAsia" w:ascii="Times New Roman" w:hAnsi="Times New Roman" w:cs="Times New Roman"/>
                      <w:b w:val="0"/>
                      <w:bCs w:val="0"/>
                      <w:color w:val="auto"/>
                      <w:kern w:val="0"/>
                      <w:sz w:val="21"/>
                      <w:szCs w:val="21"/>
                      <w:vertAlign w:val="baseline"/>
                      <w:lang w:val="en-US" w:eastAsia="zh-CN"/>
                    </w:rPr>
                    <w:t>距离</w:t>
                  </w:r>
                </w:p>
              </w:tc>
              <w:tc>
                <w:tcPr>
                  <w:tcW w:w="1160" w:type="dxa"/>
                  <w:vMerge w:val="restart"/>
                  <w:tcBorders>
                    <w:tl2br w:val="nil"/>
                    <w:tr2bl w:val="nil"/>
                  </w:tcBorders>
                  <w:vAlign w:val="center"/>
                </w:tcPr>
                <w:p w14:paraId="55A48D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保护内容</w:t>
                  </w:r>
                </w:p>
              </w:tc>
            </w:tr>
            <w:tr w14:paraId="1931D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9" w:type="dxa"/>
                  <w:vMerge w:val="continue"/>
                  <w:tcBorders>
                    <w:tl2br w:val="nil"/>
                    <w:tr2bl w:val="nil"/>
                  </w:tcBorders>
                  <w:vAlign w:val="center"/>
                </w:tcPr>
                <w:p w14:paraId="688ED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1909" w:type="dxa"/>
                  <w:vMerge w:val="continue"/>
                  <w:tcBorders>
                    <w:tl2br w:val="nil"/>
                    <w:tr2bl w:val="nil"/>
                  </w:tcBorders>
                  <w:vAlign w:val="center"/>
                </w:tcPr>
                <w:p w14:paraId="21EBFA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622" w:type="dxa"/>
                  <w:tcBorders>
                    <w:tl2br w:val="nil"/>
                    <w:tr2bl w:val="nil"/>
                  </w:tcBorders>
                  <w:vAlign w:val="center"/>
                </w:tcPr>
                <w:p w14:paraId="6ACD79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X</w:t>
                  </w:r>
                </w:p>
              </w:tc>
              <w:tc>
                <w:tcPr>
                  <w:tcW w:w="760" w:type="dxa"/>
                  <w:tcBorders>
                    <w:tl2br w:val="nil"/>
                    <w:tr2bl w:val="nil"/>
                  </w:tcBorders>
                  <w:vAlign w:val="center"/>
                </w:tcPr>
                <w:p w14:paraId="446C60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Y</w:t>
                  </w:r>
                </w:p>
              </w:tc>
              <w:tc>
                <w:tcPr>
                  <w:tcW w:w="1327" w:type="dxa"/>
                  <w:vMerge w:val="continue"/>
                  <w:tcBorders>
                    <w:tl2br w:val="nil"/>
                    <w:tr2bl w:val="nil"/>
                  </w:tcBorders>
                  <w:vAlign w:val="center"/>
                </w:tcPr>
                <w:p w14:paraId="5C6478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897" w:type="dxa"/>
                  <w:vMerge w:val="continue"/>
                  <w:tcBorders>
                    <w:tl2br w:val="nil"/>
                    <w:tr2bl w:val="nil"/>
                  </w:tcBorders>
                  <w:vAlign w:val="center"/>
                </w:tcPr>
                <w:p w14:paraId="52A40F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1110" w:type="dxa"/>
                  <w:vMerge w:val="continue"/>
                  <w:tcBorders>
                    <w:tl2br w:val="nil"/>
                    <w:tr2bl w:val="nil"/>
                  </w:tcBorders>
                  <w:vAlign w:val="center"/>
                </w:tcPr>
                <w:p w14:paraId="4B5026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c>
                <w:tcPr>
                  <w:tcW w:w="1160" w:type="dxa"/>
                  <w:vMerge w:val="continue"/>
                  <w:tcBorders>
                    <w:tl2br w:val="nil"/>
                    <w:tr2bl w:val="nil"/>
                  </w:tcBorders>
                  <w:vAlign w:val="center"/>
                </w:tcPr>
                <w:p w14:paraId="65164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rPr>
                  </w:pPr>
                </w:p>
              </w:tc>
            </w:tr>
            <w:tr w14:paraId="6B7EC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9" w:type="dxa"/>
                  <w:tcBorders>
                    <w:tl2br w:val="nil"/>
                    <w:tr2bl w:val="nil"/>
                  </w:tcBorders>
                  <w:vAlign w:val="center"/>
                </w:tcPr>
                <w:p w14:paraId="295E7F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1</w:t>
                  </w:r>
                </w:p>
              </w:tc>
              <w:tc>
                <w:tcPr>
                  <w:tcW w:w="1909" w:type="dxa"/>
                  <w:tcBorders>
                    <w:tl2br w:val="nil"/>
                    <w:tr2bl w:val="nil"/>
                  </w:tcBorders>
                  <w:shd w:val="clear" w:color="auto" w:fill="auto"/>
                  <w:vAlign w:val="center"/>
                </w:tcPr>
                <w:p w14:paraId="7293B5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highlight w:val="none"/>
                      <w:vertAlign w:val="baseline"/>
                      <w:lang w:val="en-US" w:eastAsia="zh-CN"/>
                    </w:rPr>
                    <w:t>金科阳光小镇6期</w:t>
                  </w:r>
                </w:p>
              </w:tc>
              <w:tc>
                <w:tcPr>
                  <w:tcW w:w="622" w:type="dxa"/>
                  <w:tcBorders>
                    <w:tl2br w:val="nil"/>
                    <w:tr2bl w:val="nil"/>
                  </w:tcBorders>
                  <w:shd w:val="clear" w:color="auto" w:fill="auto"/>
                  <w:vAlign w:val="center"/>
                </w:tcPr>
                <w:p w14:paraId="3EE065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81</w:t>
                  </w:r>
                </w:p>
              </w:tc>
              <w:tc>
                <w:tcPr>
                  <w:tcW w:w="760" w:type="dxa"/>
                  <w:tcBorders>
                    <w:tl2br w:val="nil"/>
                    <w:tr2bl w:val="nil"/>
                  </w:tcBorders>
                  <w:shd w:val="clear" w:color="auto" w:fill="auto"/>
                  <w:vAlign w:val="center"/>
                </w:tcPr>
                <w:p w14:paraId="6BA2D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63</w:t>
                  </w:r>
                </w:p>
              </w:tc>
              <w:tc>
                <w:tcPr>
                  <w:tcW w:w="1327" w:type="dxa"/>
                  <w:tcBorders>
                    <w:tl2br w:val="nil"/>
                    <w:tr2bl w:val="nil"/>
                  </w:tcBorders>
                  <w:shd w:val="clear" w:color="auto" w:fill="auto"/>
                  <w:vAlign w:val="center"/>
                </w:tcPr>
                <w:p w14:paraId="5DA0A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rPr>
                    <w:t>声环境1类</w:t>
                  </w:r>
                </w:p>
              </w:tc>
              <w:tc>
                <w:tcPr>
                  <w:tcW w:w="897" w:type="dxa"/>
                  <w:tcBorders>
                    <w:tl2br w:val="nil"/>
                    <w:tr2bl w:val="nil"/>
                  </w:tcBorders>
                  <w:shd w:val="clear" w:color="auto" w:fill="auto"/>
                  <w:vAlign w:val="center"/>
                </w:tcPr>
                <w:p w14:paraId="0B3F5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highlight w:val="none"/>
                      <w:vertAlign w:val="baseline"/>
                      <w:lang w:val="en-US" w:eastAsia="zh-CN"/>
                    </w:rPr>
                    <w:t>NE</w:t>
                  </w:r>
                </w:p>
              </w:tc>
              <w:tc>
                <w:tcPr>
                  <w:tcW w:w="1110" w:type="dxa"/>
                  <w:tcBorders>
                    <w:tl2br w:val="nil"/>
                    <w:tr2bl w:val="nil"/>
                  </w:tcBorders>
                  <w:shd w:val="clear" w:color="auto" w:fill="auto"/>
                  <w:vAlign w:val="center"/>
                </w:tcPr>
                <w:p w14:paraId="7AD8FA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highlight w:val="none"/>
                      <w:vertAlign w:val="baseline"/>
                      <w:lang w:val="en-US" w:eastAsia="zh-CN"/>
                    </w:rPr>
                    <w:t>紧邻</w:t>
                  </w:r>
                </w:p>
              </w:tc>
              <w:tc>
                <w:tcPr>
                  <w:tcW w:w="1160" w:type="dxa"/>
                  <w:tcBorders>
                    <w:tl2br w:val="nil"/>
                    <w:tr2bl w:val="nil"/>
                  </w:tcBorders>
                  <w:shd w:val="clear" w:color="auto" w:fill="auto"/>
                  <w:vAlign w:val="center"/>
                </w:tcPr>
                <w:p w14:paraId="2E5F8C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rPr>
                    <w:t>住宅区，约3060户</w:t>
                  </w:r>
                </w:p>
              </w:tc>
            </w:tr>
            <w:tr w14:paraId="0F42D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54" w:type="dxa"/>
                  <w:gridSpan w:val="8"/>
                  <w:tcBorders>
                    <w:tl2br w:val="nil"/>
                    <w:tr2bl w:val="nil"/>
                  </w:tcBorders>
                  <w:vAlign w:val="center"/>
                </w:tcPr>
                <w:p w14:paraId="0B16EC2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注：</w:t>
                  </w:r>
                  <w:r>
                    <w:rPr>
                      <w:rFonts w:hint="default" w:ascii="Times New Roman" w:hAnsi="Times New Roman" w:eastAsia="宋体" w:cs="Times New Roman"/>
                      <w:b w:val="0"/>
                      <w:bCs w:val="0"/>
                      <w:color w:val="auto"/>
                      <w:kern w:val="0"/>
                      <w:sz w:val="21"/>
                      <w:szCs w:val="21"/>
                      <w:vertAlign w:val="baseline"/>
                      <w:lang w:val="en-US" w:eastAsia="zh-CN"/>
                    </w:rPr>
                    <w:t>以项目厂区中心</w:t>
                  </w:r>
                  <w:r>
                    <w:rPr>
                      <w:rFonts w:hint="eastAsia" w:ascii="Times New Roman" w:hAnsi="Times New Roman" w:eastAsia="宋体" w:cs="Times New Roman"/>
                      <w:b w:val="0"/>
                      <w:bCs w:val="0"/>
                      <w:color w:val="auto"/>
                      <w:kern w:val="0"/>
                      <w:sz w:val="21"/>
                      <w:szCs w:val="21"/>
                      <w:vertAlign w:val="baseline"/>
                      <w:lang w:val="en-US" w:eastAsia="zh-CN"/>
                    </w:rPr>
                    <w:t>（</w:t>
                  </w:r>
                  <w:r>
                    <w:rPr>
                      <w:rFonts w:hint="eastAsia" w:cs="Times New Roman"/>
                      <w:b w:val="0"/>
                      <w:bCs w:val="0"/>
                      <w:color w:val="auto"/>
                      <w:kern w:val="0"/>
                      <w:sz w:val="21"/>
                      <w:szCs w:val="21"/>
                      <w:vertAlign w:val="baseline"/>
                      <w:lang w:val="en-US" w:eastAsia="zh-CN"/>
                    </w:rPr>
                    <w:t>106.437147720,29.452424365</w:t>
                  </w:r>
                  <w:r>
                    <w:rPr>
                      <w:rFonts w:hint="eastAsia" w:ascii="Times New Roman" w:hAnsi="Times New Roman" w:eastAsia="宋体" w:cs="Times New Roman"/>
                      <w:b w:val="0"/>
                      <w:bCs w:val="0"/>
                      <w:color w:val="auto"/>
                      <w:kern w:val="0"/>
                      <w:sz w:val="21"/>
                      <w:szCs w:val="21"/>
                      <w:vertAlign w:val="baseline"/>
                      <w:lang w:val="en-US" w:eastAsia="zh-CN"/>
                    </w:rPr>
                    <w:t>）</w:t>
                  </w:r>
                  <w:r>
                    <w:rPr>
                      <w:rFonts w:hint="default" w:ascii="Times New Roman" w:hAnsi="Times New Roman" w:eastAsia="宋体" w:cs="Times New Roman"/>
                      <w:b w:val="0"/>
                      <w:bCs w:val="0"/>
                      <w:color w:val="auto"/>
                      <w:kern w:val="0"/>
                      <w:sz w:val="21"/>
                      <w:szCs w:val="21"/>
                      <w:vertAlign w:val="baseline"/>
                      <w:lang w:val="en-US" w:eastAsia="zh-CN"/>
                    </w:rPr>
                    <w:t>为原点（0，0）</w:t>
                  </w:r>
                  <w:r>
                    <w:rPr>
                      <w:rFonts w:hint="eastAsia" w:ascii="Times New Roman" w:hAnsi="Times New Roman" w:eastAsia="宋体" w:cs="Times New Roman"/>
                      <w:b w:val="0"/>
                      <w:bCs w:val="0"/>
                      <w:color w:val="auto"/>
                      <w:kern w:val="0"/>
                      <w:sz w:val="21"/>
                      <w:szCs w:val="21"/>
                      <w:vertAlign w:val="baseline"/>
                      <w:lang w:val="en-US" w:eastAsia="zh-CN"/>
                    </w:rPr>
                    <w:t>，</w:t>
                  </w:r>
                  <w:r>
                    <w:rPr>
                      <w:rFonts w:hint="default" w:ascii="Times New Roman" w:hAnsi="Times New Roman" w:eastAsia="宋体" w:cs="Times New Roman"/>
                      <w:b w:val="0"/>
                      <w:bCs w:val="0"/>
                      <w:color w:val="auto"/>
                      <w:kern w:val="0"/>
                      <w:sz w:val="21"/>
                      <w:szCs w:val="21"/>
                      <w:vertAlign w:val="baseline"/>
                      <w:lang w:val="en-US" w:eastAsia="zh-CN"/>
                    </w:rPr>
                    <w:t>以</w:t>
                  </w:r>
                  <w:r>
                    <w:rPr>
                      <w:rFonts w:hint="eastAsia" w:ascii="Times New Roman" w:hAnsi="Times New Roman" w:eastAsia="宋体" w:cs="Times New Roman"/>
                      <w:b w:val="0"/>
                      <w:bCs w:val="0"/>
                      <w:color w:val="auto"/>
                      <w:kern w:val="0"/>
                      <w:sz w:val="21"/>
                      <w:szCs w:val="21"/>
                      <w:vertAlign w:val="baseline"/>
                      <w:lang w:val="en-US" w:eastAsia="zh-CN"/>
                    </w:rPr>
                    <w:t>环境保护目标</w:t>
                  </w:r>
                  <w:r>
                    <w:rPr>
                      <w:rFonts w:hint="default" w:ascii="Times New Roman" w:hAnsi="Times New Roman" w:eastAsia="宋体" w:cs="Times New Roman"/>
                      <w:b w:val="0"/>
                      <w:bCs w:val="0"/>
                      <w:color w:val="auto"/>
                      <w:kern w:val="0"/>
                      <w:sz w:val="21"/>
                      <w:szCs w:val="21"/>
                      <w:vertAlign w:val="baseline"/>
                      <w:lang w:val="en-US" w:eastAsia="zh-CN"/>
                    </w:rPr>
                    <w:t>中心为</w:t>
                  </w:r>
                  <w:r>
                    <w:rPr>
                      <w:rFonts w:hint="eastAsia" w:ascii="Times New Roman" w:hAnsi="Times New Roman" w:eastAsia="宋体" w:cs="Times New Roman"/>
                      <w:b w:val="0"/>
                      <w:bCs w:val="0"/>
                      <w:color w:val="auto"/>
                      <w:kern w:val="0"/>
                      <w:sz w:val="21"/>
                      <w:szCs w:val="21"/>
                      <w:vertAlign w:val="baseline"/>
                      <w:lang w:val="en-US" w:eastAsia="zh-CN"/>
                    </w:rPr>
                    <w:t>坐标</w:t>
                  </w:r>
                  <w:r>
                    <w:rPr>
                      <w:rFonts w:hint="default" w:ascii="Times New Roman" w:hAnsi="Times New Roman" w:eastAsia="宋体" w:cs="Times New Roman"/>
                      <w:b w:val="0"/>
                      <w:bCs w:val="0"/>
                      <w:color w:val="auto"/>
                      <w:kern w:val="0"/>
                      <w:sz w:val="21"/>
                      <w:szCs w:val="21"/>
                      <w:vertAlign w:val="baseline"/>
                      <w:lang w:val="en-US" w:eastAsia="zh-CN"/>
                    </w:rPr>
                    <w:t>（</w:t>
                  </w:r>
                  <w:r>
                    <w:rPr>
                      <w:rFonts w:hint="eastAsia" w:ascii="Times New Roman" w:hAnsi="Times New Roman" w:eastAsia="宋体" w:cs="Times New Roman"/>
                      <w:b w:val="0"/>
                      <w:bCs w:val="0"/>
                      <w:color w:val="auto"/>
                      <w:kern w:val="0"/>
                      <w:sz w:val="21"/>
                      <w:szCs w:val="21"/>
                      <w:vertAlign w:val="baseline"/>
                      <w:lang w:val="en-US" w:eastAsia="zh-CN"/>
                    </w:rPr>
                    <w:t>X</w:t>
                  </w:r>
                  <w:r>
                    <w:rPr>
                      <w:rFonts w:hint="default" w:ascii="Times New Roman" w:hAnsi="Times New Roman" w:eastAsia="宋体" w:cs="Times New Roman"/>
                      <w:b w:val="0"/>
                      <w:bCs w:val="0"/>
                      <w:color w:val="auto"/>
                      <w:kern w:val="0"/>
                      <w:sz w:val="21"/>
                      <w:szCs w:val="21"/>
                      <w:vertAlign w:val="baseline"/>
                      <w:lang w:val="en-US" w:eastAsia="zh-CN"/>
                    </w:rPr>
                    <w:t>，</w:t>
                  </w:r>
                  <w:r>
                    <w:rPr>
                      <w:rFonts w:hint="eastAsia" w:ascii="Times New Roman" w:hAnsi="Times New Roman" w:eastAsia="宋体" w:cs="Times New Roman"/>
                      <w:b w:val="0"/>
                      <w:bCs w:val="0"/>
                      <w:color w:val="auto"/>
                      <w:kern w:val="0"/>
                      <w:sz w:val="21"/>
                      <w:szCs w:val="21"/>
                      <w:vertAlign w:val="baseline"/>
                      <w:lang w:val="en-US" w:eastAsia="zh-CN"/>
                    </w:rPr>
                    <w:t>Y</w:t>
                  </w:r>
                  <w:r>
                    <w:rPr>
                      <w:rFonts w:hint="default" w:ascii="Times New Roman" w:hAnsi="Times New Roman" w:eastAsia="宋体" w:cs="Times New Roman"/>
                      <w:b w:val="0"/>
                      <w:bCs w:val="0"/>
                      <w:color w:val="auto"/>
                      <w:kern w:val="0"/>
                      <w:sz w:val="21"/>
                      <w:szCs w:val="21"/>
                      <w:vertAlign w:val="baseline"/>
                      <w:lang w:val="en-US" w:eastAsia="zh-CN"/>
                    </w:rPr>
                    <w:t>）</w:t>
                  </w:r>
                  <w:r>
                    <w:rPr>
                      <w:rFonts w:hint="eastAsia" w:ascii="Times New Roman" w:hAnsi="Times New Roman" w:eastAsia="宋体" w:cs="Times New Roman"/>
                      <w:b w:val="0"/>
                      <w:bCs w:val="0"/>
                      <w:color w:val="auto"/>
                      <w:kern w:val="0"/>
                      <w:sz w:val="21"/>
                      <w:szCs w:val="21"/>
                      <w:vertAlign w:val="baseline"/>
                      <w:lang w:val="en-US" w:eastAsia="zh-CN"/>
                    </w:rPr>
                    <w:t>。</w:t>
                  </w:r>
                </w:p>
              </w:tc>
            </w:tr>
          </w:tbl>
          <w:p w14:paraId="3705C3E2">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200"/>
              <w:jc w:val="left"/>
              <w:textAlignment w:val="auto"/>
              <w:rPr>
                <w:rFonts w:hint="eastAsia" w:ascii="Times New Roman" w:hAnsi="Times New Roman" w:cs="Times New Roman"/>
                <w:b w:val="0"/>
                <w:bCs w:val="0"/>
                <w:color w:val="auto"/>
                <w:kern w:val="0"/>
                <w:sz w:val="24"/>
                <w:szCs w:val="24"/>
                <w:lang w:val="en-US" w:eastAsia="zh-CN"/>
              </w:rPr>
            </w:pPr>
            <w:r>
              <w:rPr>
                <w:rFonts w:hint="eastAsia" w:cs="Times New Roman"/>
                <w:b w:val="0"/>
                <w:bCs w:val="0"/>
                <w:color w:val="auto"/>
                <w:kern w:val="0"/>
                <w:sz w:val="24"/>
                <w:szCs w:val="24"/>
                <w:lang w:val="en-US" w:eastAsia="zh-CN"/>
              </w:rPr>
              <w:t>（3）</w:t>
            </w:r>
            <w:r>
              <w:rPr>
                <w:rFonts w:hint="eastAsia" w:ascii="Times New Roman" w:hAnsi="Times New Roman" w:cs="Times New Roman"/>
                <w:b w:val="0"/>
                <w:bCs w:val="0"/>
                <w:color w:val="auto"/>
                <w:kern w:val="0"/>
                <w:sz w:val="24"/>
                <w:szCs w:val="24"/>
                <w:lang w:val="en-US" w:eastAsia="zh-CN"/>
              </w:rPr>
              <w:t>地下水环境</w:t>
            </w:r>
          </w:p>
          <w:p w14:paraId="3DAB47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项目</w:t>
            </w:r>
            <w:r>
              <w:rPr>
                <w:rFonts w:hint="eastAsia"/>
                <w:color w:val="auto"/>
                <w:sz w:val="24"/>
                <w:szCs w:val="24"/>
                <w:highlight w:val="none"/>
                <w:lang w:val="en-US" w:eastAsia="zh-CN"/>
              </w:rPr>
              <w:t>厂界</w:t>
            </w:r>
            <w:r>
              <w:rPr>
                <w:rFonts w:hint="default" w:ascii="Times New Roman" w:hAnsi="Times New Roman" w:cs="Times New Roman"/>
                <w:b w:val="0"/>
                <w:bCs w:val="0"/>
                <w:color w:val="auto"/>
                <w:kern w:val="0"/>
                <w:sz w:val="24"/>
                <w:szCs w:val="24"/>
                <w:lang w:val="en-US" w:eastAsia="zh-CN"/>
              </w:rPr>
              <w:t>外500m 范围内无地下水集中式饮用水水源和热水、矿泉水、温泉等特殊地下水资源。</w:t>
            </w:r>
          </w:p>
          <w:p w14:paraId="5954B8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cs="Times New Roman"/>
                <w:b w:val="0"/>
                <w:bCs w:val="0"/>
                <w:color w:val="auto"/>
                <w:kern w:val="0"/>
                <w:sz w:val="24"/>
                <w:szCs w:val="24"/>
                <w:lang w:val="en-US" w:eastAsia="zh-CN"/>
              </w:rPr>
            </w:pPr>
            <w:r>
              <w:rPr>
                <w:rFonts w:hint="eastAsia" w:cs="Times New Roman"/>
                <w:b w:val="0"/>
                <w:bCs w:val="0"/>
                <w:color w:val="auto"/>
                <w:kern w:val="0"/>
                <w:sz w:val="24"/>
                <w:szCs w:val="24"/>
                <w:lang w:val="en-US" w:eastAsia="zh-CN"/>
              </w:rPr>
              <w:t>（4）生态环境</w:t>
            </w:r>
          </w:p>
          <w:p w14:paraId="0D052EB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eastAsia="宋体" w:cs="Times New Roman"/>
                <w:b w:val="0"/>
                <w:bCs w:val="0"/>
                <w:color w:val="auto"/>
                <w:kern w:val="0"/>
                <w:sz w:val="24"/>
                <w:szCs w:val="24"/>
                <w:lang w:val="en-US" w:eastAsia="zh-CN"/>
              </w:rPr>
            </w:pPr>
            <w:r>
              <w:rPr>
                <w:rFonts w:hint="default" w:cs="Times New Roman"/>
                <w:b w:val="0"/>
                <w:bCs w:val="0"/>
                <w:color w:val="auto"/>
                <w:kern w:val="0"/>
                <w:sz w:val="24"/>
                <w:szCs w:val="24"/>
                <w:lang w:val="en-US" w:eastAsia="zh-CN"/>
              </w:rPr>
              <w:t>项目位于</w:t>
            </w:r>
            <w:r>
              <w:rPr>
                <w:rFonts w:hint="eastAsia" w:cs="Times New Roman"/>
                <w:b w:val="0"/>
                <w:bCs w:val="0"/>
                <w:color w:val="auto"/>
                <w:kern w:val="0"/>
                <w:sz w:val="24"/>
                <w:szCs w:val="24"/>
                <w:highlight w:val="none"/>
                <w:lang w:val="en-US" w:eastAsia="zh-CN"/>
              </w:rPr>
              <w:t>重庆市九龙坡区华岩镇华福大道北段16号14幢附2-2号、2-3号、2-4号</w:t>
            </w:r>
            <w:r>
              <w:rPr>
                <w:rFonts w:hint="default" w:cs="Times New Roman"/>
                <w:b w:val="0"/>
                <w:bCs w:val="0"/>
                <w:color w:val="auto"/>
                <w:kern w:val="0"/>
                <w:sz w:val="24"/>
                <w:szCs w:val="24"/>
                <w:lang w:val="en-US" w:eastAsia="zh-CN"/>
              </w:rPr>
              <w:t>，属于城市建成区，</w:t>
            </w:r>
            <w:r>
              <w:rPr>
                <w:rFonts w:hint="default" w:ascii="Times New Roman" w:hAnsi="Times New Roman" w:eastAsia="宋体" w:cs="Times New Roman"/>
                <w:b w:val="0"/>
                <w:bCs w:val="0"/>
                <w:color w:val="auto"/>
                <w:kern w:val="0"/>
                <w:sz w:val="24"/>
                <w:szCs w:val="24"/>
              </w:rPr>
              <w:t>用地范围内无生态环境保护目标</w:t>
            </w:r>
            <w:r>
              <w:rPr>
                <w:rFonts w:hint="eastAsia" w:ascii="Times New Roman" w:hAnsi="Times New Roman" w:eastAsia="宋体" w:cs="Times New Roman"/>
                <w:b w:val="0"/>
                <w:bCs w:val="0"/>
                <w:color w:val="auto"/>
                <w:kern w:val="0"/>
                <w:sz w:val="24"/>
                <w:szCs w:val="24"/>
                <w:lang w:eastAsia="zh-CN"/>
              </w:rPr>
              <w:t>。</w:t>
            </w:r>
          </w:p>
        </w:tc>
      </w:tr>
      <w:tr w14:paraId="17B68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tcMar>
              <w:left w:w="28" w:type="dxa"/>
              <w:right w:w="28" w:type="dxa"/>
            </w:tcMar>
            <w:vAlign w:val="center"/>
          </w:tcPr>
          <w:p w14:paraId="6B50B709">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污染</w:t>
            </w:r>
          </w:p>
          <w:p w14:paraId="070EDF67">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物排</w:t>
            </w:r>
          </w:p>
          <w:p w14:paraId="2E5A884A">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放控</w:t>
            </w:r>
          </w:p>
          <w:p w14:paraId="5480C7FB">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制标</w:t>
            </w:r>
          </w:p>
          <w:p w14:paraId="637108CB">
            <w:pPr>
              <w:adjustRightInd w:val="0"/>
              <w:snapToGrid w:val="0"/>
              <w:jc w:val="center"/>
              <w:rPr>
                <w:rFonts w:ascii="宋体" w:hAnsi="宋体" w:cs="宋体"/>
                <w:color w:val="auto"/>
                <w:kern w:val="0"/>
                <w:szCs w:val="21"/>
              </w:rPr>
            </w:pPr>
            <w:r>
              <w:rPr>
                <w:rFonts w:hint="eastAsia" w:ascii="宋体" w:hAnsi="宋体" w:cs="宋体"/>
                <w:color w:val="auto"/>
                <w:kern w:val="0"/>
                <w:sz w:val="24"/>
                <w:szCs w:val="24"/>
              </w:rPr>
              <w:t>准</w:t>
            </w:r>
          </w:p>
        </w:tc>
        <w:tc>
          <w:tcPr>
            <w:tcW w:w="8600" w:type="dxa"/>
            <w:noWrap w:val="0"/>
            <w:vAlign w:val="center"/>
          </w:tcPr>
          <w:p w14:paraId="755E1D2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3.3污染物排放控制标准</w:t>
            </w:r>
          </w:p>
          <w:p w14:paraId="35ACDB79">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3.3.1大气污染物排放标准</w:t>
            </w:r>
          </w:p>
          <w:p w14:paraId="00F70D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cs="Times New Roman"/>
                <w:b w:val="0"/>
                <w:bCs w:val="0"/>
                <w:color w:val="auto"/>
                <w:kern w:val="0"/>
                <w:sz w:val="24"/>
                <w:szCs w:val="24"/>
                <w:highlight w:val="none"/>
              </w:rPr>
              <w:t>废气</w:t>
            </w:r>
          </w:p>
          <w:p w14:paraId="27E957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项目臭气主要来自动物住院过程，产生的臭气量较小，执行《恶臭污染物排放标准》</w:t>
            </w: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cs="Times New Roman"/>
                <w:b w:val="0"/>
                <w:bCs w:val="0"/>
                <w:color w:val="auto"/>
                <w:kern w:val="0"/>
                <w:sz w:val="24"/>
                <w:szCs w:val="24"/>
                <w:highlight w:val="none"/>
              </w:rPr>
              <w:t>GB</w:t>
            </w:r>
            <w:r>
              <w:rPr>
                <w:rFonts w:hint="eastAsia" w:cs="Times New Roman"/>
                <w:b w:val="0"/>
                <w:bCs w:val="0"/>
                <w:color w:val="auto"/>
                <w:kern w:val="0"/>
                <w:sz w:val="24"/>
                <w:szCs w:val="24"/>
                <w:highlight w:val="none"/>
                <w:lang w:val="en-US" w:eastAsia="zh-CN"/>
              </w:rPr>
              <w:t xml:space="preserve"> </w:t>
            </w:r>
            <w:r>
              <w:rPr>
                <w:rFonts w:hint="default" w:ascii="Times New Roman" w:hAnsi="Times New Roman" w:cs="Times New Roman"/>
                <w:b w:val="0"/>
                <w:bCs w:val="0"/>
                <w:color w:val="auto"/>
                <w:kern w:val="0"/>
                <w:sz w:val="24"/>
                <w:szCs w:val="24"/>
                <w:highlight w:val="none"/>
              </w:rPr>
              <w:t>14554-93</w:t>
            </w:r>
            <w:r>
              <w:rPr>
                <w:rFonts w:hint="default" w:ascii="Times New Roman" w:hAnsi="Times New Roman" w:cs="Times New Roman"/>
                <w:b w:val="0"/>
                <w:bCs w:val="0"/>
                <w:color w:val="auto"/>
                <w:kern w:val="0"/>
                <w:sz w:val="24"/>
                <w:szCs w:val="24"/>
                <w:highlight w:val="none"/>
                <w:lang w:eastAsia="zh-CN"/>
              </w:rPr>
              <w:t>）</w:t>
            </w:r>
            <w:r>
              <w:rPr>
                <w:rFonts w:hint="default" w:ascii="Times New Roman" w:hAnsi="Times New Roman" w:cs="Times New Roman"/>
                <w:b w:val="0"/>
                <w:bCs w:val="0"/>
                <w:color w:val="auto"/>
                <w:kern w:val="0"/>
                <w:sz w:val="24"/>
                <w:szCs w:val="24"/>
                <w:highlight w:val="none"/>
              </w:rPr>
              <w:t>具体标准值见表3</w:t>
            </w:r>
            <w:r>
              <w:rPr>
                <w:rFonts w:hint="eastAsia"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rPr>
              <w:t>3-1。</w:t>
            </w:r>
          </w:p>
          <w:p w14:paraId="2C622C5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表3.3-1 恶臭污染物排放标准</w:t>
            </w:r>
          </w:p>
          <w:tbl>
            <w:tblPr>
              <w:tblStyle w:val="22"/>
              <w:tblW w:w="8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361"/>
              <w:gridCol w:w="3297"/>
            </w:tblGrid>
            <w:tr w14:paraId="4F2A0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6" w:type="dxa"/>
                  <w:tcBorders>
                    <w:tl2br w:val="nil"/>
                    <w:tr2bl w:val="nil"/>
                  </w:tcBorders>
                  <w:vAlign w:val="center"/>
                </w:tcPr>
                <w:p w14:paraId="525247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序号</w:t>
                  </w:r>
                </w:p>
              </w:tc>
              <w:tc>
                <w:tcPr>
                  <w:tcW w:w="3361" w:type="dxa"/>
                  <w:tcBorders>
                    <w:tl2br w:val="nil"/>
                    <w:tr2bl w:val="nil"/>
                  </w:tcBorders>
                  <w:vAlign w:val="center"/>
                </w:tcPr>
                <w:p w14:paraId="2BDB37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污染物名称</w:t>
                  </w:r>
                </w:p>
              </w:tc>
              <w:tc>
                <w:tcPr>
                  <w:tcW w:w="3297" w:type="dxa"/>
                  <w:tcBorders>
                    <w:tl2br w:val="nil"/>
                    <w:tr2bl w:val="nil"/>
                  </w:tcBorders>
                  <w:vAlign w:val="center"/>
                </w:tcPr>
                <w:p w14:paraId="0AB29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标准值（二级）</w:t>
                  </w:r>
                </w:p>
              </w:tc>
            </w:tr>
            <w:tr w14:paraId="41E4A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tcBorders>
                    <w:tl2br w:val="nil"/>
                    <w:tr2bl w:val="nil"/>
                  </w:tcBorders>
                  <w:vAlign w:val="center"/>
                </w:tcPr>
                <w:p w14:paraId="3AE8B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w:t>
                  </w:r>
                </w:p>
              </w:tc>
              <w:tc>
                <w:tcPr>
                  <w:tcW w:w="3361" w:type="dxa"/>
                  <w:tcBorders>
                    <w:tl2br w:val="nil"/>
                    <w:tr2bl w:val="nil"/>
                  </w:tcBorders>
                  <w:vAlign w:val="center"/>
                </w:tcPr>
                <w:p w14:paraId="41FEF0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臭气浓度</w:t>
                  </w:r>
                </w:p>
              </w:tc>
              <w:tc>
                <w:tcPr>
                  <w:tcW w:w="3297" w:type="dxa"/>
                  <w:tcBorders>
                    <w:tl2br w:val="nil"/>
                    <w:tr2bl w:val="nil"/>
                  </w:tcBorders>
                  <w:vAlign w:val="center"/>
                </w:tcPr>
                <w:p w14:paraId="74927D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20（无量纲）</w:t>
                  </w:r>
                </w:p>
              </w:tc>
            </w:tr>
          </w:tbl>
          <w:p w14:paraId="5D39549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default" w:ascii="Times New Roman" w:hAnsi="Times New Roman"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3.3.2 废水污染物排放标准</w:t>
            </w:r>
          </w:p>
          <w:p w14:paraId="12BE4C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项目为</w:t>
            </w:r>
            <w:r>
              <w:rPr>
                <w:rFonts w:hint="eastAsia" w:cs="Times New Roman"/>
                <w:b w:val="0"/>
                <w:bCs w:val="0"/>
                <w:color w:val="auto"/>
                <w:kern w:val="0"/>
                <w:sz w:val="24"/>
                <w:szCs w:val="24"/>
                <w:highlight w:val="none"/>
                <w:lang w:val="en-US" w:eastAsia="zh-CN"/>
              </w:rPr>
              <w:t>动物</w:t>
            </w:r>
            <w:r>
              <w:rPr>
                <w:rFonts w:hint="default" w:ascii="Times New Roman" w:hAnsi="Times New Roman" w:cs="Times New Roman"/>
                <w:b w:val="0"/>
                <w:bCs w:val="0"/>
                <w:color w:val="auto"/>
                <w:kern w:val="0"/>
                <w:sz w:val="24"/>
                <w:szCs w:val="24"/>
                <w:highlight w:val="none"/>
                <w:lang w:val="en-US" w:eastAsia="zh-CN"/>
              </w:rPr>
              <w:t>医院，接诊量较小，参照《医疗废物管理条例（2011修订）》中</w:t>
            </w:r>
            <w:r>
              <w:rPr>
                <w:rFonts w:hint="eastAsia"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eastAsia="zh-CN"/>
              </w:rPr>
              <w:t>第二十条 医疗卫生机构产生的污水、传染病病人或者疑似传染病病人的排泄物，应当按照国家规定严格消毒；达到国家规定的排放标准后，方可排入污水处理系统。</w:t>
            </w:r>
            <w:r>
              <w:rPr>
                <w:rFonts w:hint="eastAsia"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eastAsia="zh-CN"/>
              </w:rPr>
              <w:t>和《动物诊疗机构管理办法》</w:t>
            </w:r>
            <w:r>
              <w:rPr>
                <w:rFonts w:hint="eastAsia"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eastAsia="zh-CN"/>
              </w:rPr>
              <w:t>中华人民共和国农业农村部令2022年第5号</w:t>
            </w:r>
            <w:r>
              <w:rPr>
                <w:rFonts w:hint="eastAsia"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eastAsia="zh-CN"/>
              </w:rPr>
              <w:t>中</w:t>
            </w:r>
            <w:r>
              <w:rPr>
                <w:rFonts w:hint="eastAsia"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eastAsia="zh-CN"/>
              </w:rPr>
              <w:t>第二十六条 ……动物诊疗机构应当参照《医疗废物管理条例》的有关规定处理诊疗废弃物，不得随意丢弃诊疗废弃物，排放未经无害化处理的诊疗废水。</w:t>
            </w:r>
            <w:r>
              <w:rPr>
                <w:rFonts w:hint="eastAsia" w:cs="Times New Roman"/>
                <w:b w:val="0"/>
                <w:bCs w:val="0"/>
                <w:color w:val="auto"/>
                <w:kern w:val="0"/>
                <w:sz w:val="24"/>
                <w:szCs w:val="24"/>
                <w:highlight w:val="none"/>
                <w:lang w:val="en-US" w:eastAsia="zh-CN"/>
              </w:rPr>
              <w:t>”</w:t>
            </w:r>
          </w:p>
          <w:p w14:paraId="162831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项目营运期废水为生活污水、医疗废水及</w:t>
            </w:r>
            <w:r>
              <w:rPr>
                <w:rFonts w:hint="eastAsia" w:cs="Times New Roman"/>
                <w:b w:val="0"/>
                <w:bCs w:val="0"/>
                <w:color w:val="auto"/>
                <w:kern w:val="0"/>
                <w:sz w:val="24"/>
                <w:szCs w:val="24"/>
                <w:highlight w:val="none"/>
                <w:lang w:val="en-US" w:eastAsia="zh-CN"/>
              </w:rPr>
              <w:t>其他废水</w:t>
            </w:r>
            <w:r>
              <w:rPr>
                <w:rFonts w:hint="default" w:ascii="Times New Roman" w:hAnsi="Times New Roman" w:cs="Times New Roman"/>
                <w:b w:val="0"/>
                <w:bCs w:val="0"/>
                <w:color w:val="auto"/>
                <w:kern w:val="0"/>
                <w:sz w:val="24"/>
                <w:szCs w:val="24"/>
                <w:highlight w:val="none"/>
                <w:lang w:val="en-US" w:eastAsia="zh-CN"/>
              </w:rPr>
              <w:t>，医疗废水经</w:t>
            </w:r>
            <w:r>
              <w:rPr>
                <w:rFonts w:hint="eastAsia" w:cs="Times New Roman"/>
                <w:b w:val="0"/>
                <w:bCs w:val="0"/>
                <w:color w:val="auto"/>
                <w:kern w:val="0"/>
                <w:sz w:val="24"/>
                <w:szCs w:val="24"/>
                <w:highlight w:val="none"/>
                <w:lang w:val="en-US" w:eastAsia="zh-CN"/>
              </w:rPr>
              <w:t>相应的消毒设施</w:t>
            </w:r>
            <w:r>
              <w:rPr>
                <w:rFonts w:hint="default" w:ascii="Times New Roman" w:hAnsi="Times New Roman" w:cs="Times New Roman"/>
                <w:b w:val="0"/>
                <w:bCs w:val="0"/>
                <w:color w:val="auto"/>
                <w:kern w:val="0"/>
                <w:sz w:val="24"/>
                <w:szCs w:val="24"/>
                <w:highlight w:val="none"/>
                <w:lang w:val="en-US" w:eastAsia="zh-CN"/>
              </w:rPr>
              <w:t>预处理后（出水参照执行《医疗机构水污染物排放标准》</w:t>
            </w:r>
            <w:r>
              <w:rPr>
                <w:rFonts w:hint="eastAsia" w:cs="Times New Roman"/>
                <w:b w:val="0"/>
                <w:bCs w:val="0"/>
                <w:color w:val="auto"/>
                <w:kern w:val="0"/>
                <w:sz w:val="24"/>
                <w:szCs w:val="24"/>
                <w:highlight w:val="none"/>
                <w:lang w:val="en-US" w:eastAsia="zh-CN"/>
              </w:rPr>
              <w:t>（GB18466-2005）</w:t>
            </w:r>
            <w:r>
              <w:rPr>
                <w:rFonts w:hint="default" w:ascii="Times New Roman" w:hAnsi="Times New Roman" w:cs="Times New Roman"/>
                <w:b w:val="0"/>
                <w:bCs w:val="0"/>
                <w:color w:val="auto"/>
                <w:kern w:val="0"/>
                <w:sz w:val="24"/>
                <w:szCs w:val="24"/>
                <w:highlight w:val="none"/>
                <w:lang w:val="en-US" w:eastAsia="zh-CN"/>
              </w:rPr>
              <w:t>预处理标准）</w:t>
            </w:r>
            <w:r>
              <w:rPr>
                <w:rFonts w:hint="eastAsia" w:cs="Times New Roman"/>
                <w:b w:val="0"/>
                <w:bCs w:val="0"/>
                <w:color w:val="auto"/>
                <w:kern w:val="0"/>
                <w:sz w:val="24"/>
                <w:szCs w:val="24"/>
                <w:highlight w:val="none"/>
                <w:lang w:val="en-US" w:eastAsia="zh-CN"/>
              </w:rPr>
              <w:t>，宠物洗浴废水经滤网过滤后，</w:t>
            </w:r>
            <w:r>
              <w:rPr>
                <w:rFonts w:hint="default" w:ascii="Times New Roman" w:hAnsi="Times New Roman" w:cs="Times New Roman"/>
                <w:b w:val="0"/>
                <w:bCs w:val="0"/>
                <w:color w:val="auto"/>
                <w:kern w:val="0"/>
                <w:sz w:val="24"/>
                <w:szCs w:val="24"/>
                <w:highlight w:val="none"/>
                <w:lang w:val="en-US" w:eastAsia="zh-CN"/>
              </w:rPr>
              <w:t>与生活污水、</w:t>
            </w:r>
            <w:r>
              <w:rPr>
                <w:rFonts w:hint="eastAsia" w:cs="Times New Roman"/>
                <w:b w:val="0"/>
                <w:bCs w:val="0"/>
                <w:color w:val="auto"/>
                <w:kern w:val="0"/>
                <w:sz w:val="24"/>
                <w:szCs w:val="24"/>
                <w:highlight w:val="none"/>
                <w:lang w:val="en-US" w:eastAsia="zh-CN"/>
              </w:rPr>
              <w:t>其他废水</w:t>
            </w:r>
            <w:r>
              <w:rPr>
                <w:rFonts w:hint="default" w:ascii="Times New Roman" w:hAnsi="Times New Roman" w:cs="Times New Roman"/>
                <w:b w:val="0"/>
                <w:bCs w:val="0"/>
                <w:color w:val="auto"/>
                <w:kern w:val="0"/>
                <w:sz w:val="24"/>
                <w:szCs w:val="24"/>
                <w:highlight w:val="none"/>
                <w:lang w:val="en-US" w:eastAsia="zh-CN"/>
              </w:rPr>
              <w:t>一起进入</w:t>
            </w:r>
            <w:r>
              <w:rPr>
                <w:rFonts w:hint="eastAsia" w:cs="Times New Roman"/>
                <w:b w:val="0"/>
                <w:bCs w:val="0"/>
                <w:color w:val="auto"/>
                <w:kern w:val="0"/>
                <w:sz w:val="24"/>
                <w:szCs w:val="24"/>
                <w:highlight w:val="none"/>
                <w:lang w:val="en-US" w:eastAsia="zh-CN"/>
              </w:rPr>
              <w:t>金科阳光小镇6期的</w:t>
            </w:r>
            <w:r>
              <w:rPr>
                <w:rFonts w:hint="default" w:ascii="Times New Roman" w:hAnsi="Times New Roman" w:cs="Times New Roman"/>
                <w:b w:val="0"/>
                <w:bCs w:val="0"/>
                <w:color w:val="auto"/>
                <w:kern w:val="0"/>
                <w:sz w:val="24"/>
                <w:szCs w:val="24"/>
                <w:highlight w:val="none"/>
                <w:lang w:val="en-US" w:eastAsia="zh-CN"/>
              </w:rPr>
              <w:t>生化池，处理达《污水综合排放标准》（GB8978-1996）三级标准，汇入市政污水管网进入</w:t>
            </w:r>
            <w:r>
              <w:rPr>
                <w:rFonts w:hint="eastAsia" w:cs="Times New Roman"/>
                <w:b w:val="0"/>
                <w:bCs w:val="0"/>
                <w:color w:val="auto"/>
                <w:kern w:val="0"/>
                <w:sz w:val="24"/>
                <w:szCs w:val="24"/>
                <w:highlight w:val="none"/>
                <w:lang w:val="en-US" w:eastAsia="zh-CN"/>
              </w:rPr>
              <w:t>中梁山污水处理厂</w:t>
            </w:r>
            <w:r>
              <w:rPr>
                <w:rFonts w:hint="default" w:ascii="Times New Roman" w:hAnsi="Times New Roman" w:cs="Times New Roman"/>
                <w:b w:val="0"/>
                <w:bCs w:val="0"/>
                <w:color w:val="auto"/>
                <w:kern w:val="0"/>
                <w:sz w:val="24"/>
                <w:szCs w:val="24"/>
                <w:highlight w:val="none"/>
                <w:lang w:val="en-US" w:eastAsia="zh-CN"/>
              </w:rPr>
              <w:t>进一步处理达《城镇污水处理厂污染物排放标准》（GB18918-2002）一级A标准后排入</w:t>
            </w:r>
            <w:r>
              <w:rPr>
                <w:rFonts w:hint="eastAsia" w:cs="Times New Roman"/>
                <w:b w:val="0"/>
                <w:bCs w:val="0"/>
                <w:color w:val="auto"/>
                <w:kern w:val="0"/>
                <w:sz w:val="24"/>
                <w:szCs w:val="24"/>
                <w:highlight w:val="none"/>
                <w:lang w:val="en-US" w:eastAsia="zh-CN"/>
              </w:rPr>
              <w:t>长江</w:t>
            </w:r>
            <w:r>
              <w:rPr>
                <w:rFonts w:hint="default" w:ascii="Times New Roman" w:hAnsi="Times New Roman" w:cs="Times New Roman"/>
                <w:b w:val="0"/>
                <w:bCs w:val="0"/>
                <w:color w:val="auto"/>
                <w:kern w:val="0"/>
                <w:sz w:val="24"/>
                <w:szCs w:val="24"/>
                <w:highlight w:val="none"/>
                <w:lang w:val="en-US" w:eastAsia="zh-CN"/>
              </w:rPr>
              <w:t>。污水排放标准详见表3.3-</w:t>
            </w:r>
            <w:r>
              <w:rPr>
                <w:rFonts w:hint="eastAsia" w:cs="Times New Roman"/>
                <w:b w:val="0"/>
                <w:bCs w:val="0"/>
                <w:color w:val="auto"/>
                <w:kern w:val="0"/>
                <w:sz w:val="24"/>
                <w:szCs w:val="24"/>
                <w:highlight w:val="none"/>
                <w:lang w:val="en-US" w:eastAsia="zh-CN"/>
              </w:rPr>
              <w:t>2</w:t>
            </w:r>
            <w:r>
              <w:rPr>
                <w:rFonts w:hint="default" w:ascii="Times New Roman" w:hAnsi="Times New Roman" w:cs="Times New Roman"/>
                <w:b w:val="0"/>
                <w:bCs w:val="0"/>
                <w:color w:val="auto"/>
                <w:kern w:val="0"/>
                <w:sz w:val="24"/>
                <w:szCs w:val="24"/>
                <w:highlight w:val="none"/>
                <w:lang w:val="en-US" w:eastAsia="zh-CN"/>
              </w:rPr>
              <w:t>。</w:t>
            </w:r>
          </w:p>
          <w:p w14:paraId="4FAF8B6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表3.3-</w:t>
            </w:r>
            <w:r>
              <w:rPr>
                <w:rFonts w:hint="eastAsia" w:cs="Times New Roman"/>
                <w:b w:val="0"/>
                <w:bCs w:val="0"/>
                <w:color w:val="auto"/>
                <w:kern w:val="0"/>
                <w:sz w:val="21"/>
                <w:szCs w:val="21"/>
                <w:highlight w:val="none"/>
                <w:lang w:val="en-US" w:eastAsia="zh-CN"/>
              </w:rPr>
              <w:t>2</w:t>
            </w:r>
            <w:r>
              <w:rPr>
                <w:rFonts w:hint="default" w:ascii="Times New Roman" w:hAnsi="Times New Roman" w:cs="Times New Roman"/>
                <w:b w:val="0"/>
                <w:bCs w:val="0"/>
                <w:color w:val="auto"/>
                <w:kern w:val="0"/>
                <w:sz w:val="21"/>
                <w:szCs w:val="21"/>
                <w:highlight w:val="none"/>
                <w:lang w:val="en-US" w:eastAsia="zh-CN"/>
              </w:rPr>
              <w:t xml:space="preserve"> 项目废水污染物排放标准 单位：mg/L</w:t>
            </w:r>
          </w:p>
          <w:tbl>
            <w:tblPr>
              <w:tblStyle w:val="22"/>
              <w:tblW w:w="834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46"/>
              <w:gridCol w:w="633"/>
              <w:gridCol w:w="711"/>
              <w:gridCol w:w="743"/>
              <w:gridCol w:w="578"/>
              <w:gridCol w:w="907"/>
              <w:gridCol w:w="683"/>
              <w:gridCol w:w="630"/>
              <w:gridCol w:w="700"/>
              <w:gridCol w:w="818"/>
            </w:tblGrid>
            <w:tr w14:paraId="5215DD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946" w:type="dxa"/>
                  <w:tcBorders>
                    <w:tl2br w:val="nil"/>
                    <w:tr2bl w:val="nil"/>
                  </w:tcBorders>
                  <w:vAlign w:val="center"/>
                </w:tcPr>
                <w:p w14:paraId="70C38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内容</w:t>
                  </w:r>
                </w:p>
              </w:tc>
              <w:tc>
                <w:tcPr>
                  <w:tcW w:w="633" w:type="dxa"/>
                  <w:tcBorders>
                    <w:tl2br w:val="nil"/>
                    <w:tr2bl w:val="nil"/>
                  </w:tcBorders>
                  <w:vAlign w:val="center"/>
                </w:tcPr>
                <w:p w14:paraId="77C8BF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pH</w:t>
                  </w:r>
                </w:p>
              </w:tc>
              <w:tc>
                <w:tcPr>
                  <w:tcW w:w="711" w:type="dxa"/>
                  <w:tcBorders>
                    <w:tl2br w:val="nil"/>
                    <w:tr2bl w:val="nil"/>
                  </w:tcBorders>
                  <w:vAlign w:val="center"/>
                </w:tcPr>
                <w:p w14:paraId="59D0E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COD</w:t>
                  </w:r>
                </w:p>
              </w:tc>
              <w:tc>
                <w:tcPr>
                  <w:tcW w:w="743" w:type="dxa"/>
                  <w:tcBorders>
                    <w:tl2br w:val="nil"/>
                    <w:tr2bl w:val="nil"/>
                  </w:tcBorders>
                  <w:vAlign w:val="center"/>
                </w:tcPr>
                <w:p w14:paraId="76F4F3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BOD</w:t>
                  </w:r>
                  <w:r>
                    <w:rPr>
                      <w:rFonts w:hint="default" w:ascii="Times New Roman" w:hAnsi="Times New Roman" w:cs="Times New Roman"/>
                      <w:b w:val="0"/>
                      <w:bCs w:val="0"/>
                      <w:color w:val="auto"/>
                      <w:kern w:val="0"/>
                      <w:sz w:val="21"/>
                      <w:szCs w:val="21"/>
                      <w:highlight w:val="none"/>
                      <w:vertAlign w:val="subscript"/>
                      <w:lang w:val="en-US" w:eastAsia="zh-CN"/>
                    </w:rPr>
                    <w:t>5</w:t>
                  </w:r>
                </w:p>
              </w:tc>
              <w:tc>
                <w:tcPr>
                  <w:tcW w:w="578" w:type="dxa"/>
                  <w:tcBorders>
                    <w:tl2br w:val="nil"/>
                    <w:tr2bl w:val="nil"/>
                  </w:tcBorders>
                  <w:vAlign w:val="center"/>
                </w:tcPr>
                <w:p w14:paraId="0616F6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SS</w:t>
                  </w:r>
                </w:p>
              </w:tc>
              <w:tc>
                <w:tcPr>
                  <w:tcW w:w="907" w:type="dxa"/>
                  <w:tcBorders>
                    <w:tl2br w:val="nil"/>
                    <w:tr2bl w:val="nil"/>
                  </w:tcBorders>
                  <w:vAlign w:val="center"/>
                </w:tcPr>
                <w:p w14:paraId="17A09F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氨氮</w:t>
                  </w:r>
                </w:p>
              </w:tc>
              <w:tc>
                <w:tcPr>
                  <w:tcW w:w="683" w:type="dxa"/>
                  <w:tcBorders>
                    <w:tl2br w:val="nil"/>
                    <w:tr2bl w:val="nil"/>
                  </w:tcBorders>
                  <w:vAlign w:val="center"/>
                </w:tcPr>
                <w:p w14:paraId="0C2A3F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总磷</w:t>
                  </w:r>
                </w:p>
              </w:tc>
              <w:tc>
                <w:tcPr>
                  <w:tcW w:w="630" w:type="dxa"/>
                  <w:tcBorders>
                    <w:tl2br w:val="nil"/>
                    <w:tr2bl w:val="nil"/>
                  </w:tcBorders>
                  <w:vAlign w:val="center"/>
                </w:tcPr>
                <w:p w14:paraId="157CBC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LAS</w:t>
                  </w:r>
                </w:p>
              </w:tc>
              <w:tc>
                <w:tcPr>
                  <w:tcW w:w="700" w:type="dxa"/>
                  <w:tcBorders>
                    <w:tl2br w:val="nil"/>
                    <w:tr2bl w:val="nil"/>
                  </w:tcBorders>
                  <w:vAlign w:val="center"/>
                </w:tcPr>
                <w:p w14:paraId="4CB991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粪大肠菌群</w:t>
                  </w:r>
                </w:p>
              </w:tc>
              <w:tc>
                <w:tcPr>
                  <w:tcW w:w="818" w:type="dxa"/>
                  <w:tcBorders>
                    <w:tl2br w:val="nil"/>
                    <w:tr2bl w:val="nil"/>
                  </w:tcBorders>
                  <w:vAlign w:val="center"/>
                </w:tcPr>
                <w:p w14:paraId="013C1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总余氯</w:t>
                  </w:r>
                </w:p>
              </w:tc>
            </w:tr>
            <w:tr w14:paraId="3677A6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4" w:hRule="atLeast"/>
              </w:trPr>
              <w:tc>
                <w:tcPr>
                  <w:tcW w:w="1946" w:type="dxa"/>
                  <w:tcBorders>
                    <w:tl2br w:val="nil"/>
                    <w:tr2bl w:val="nil"/>
                  </w:tcBorders>
                  <w:vAlign w:val="center"/>
                </w:tcPr>
                <w:p w14:paraId="03CD7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《污水综合排放标准》（GB</w:t>
                  </w:r>
                  <w:r>
                    <w:rPr>
                      <w:rFonts w:hint="eastAsia" w:cs="Times New Roman"/>
                      <w:b w:val="0"/>
                      <w:bCs w:val="0"/>
                      <w:color w:val="auto"/>
                      <w:kern w:val="0"/>
                      <w:sz w:val="21"/>
                      <w:szCs w:val="21"/>
                      <w:highlight w:val="none"/>
                      <w:vertAlign w:val="baseline"/>
                      <w:lang w:val="en-US" w:eastAsia="zh-CN"/>
                    </w:rPr>
                    <w:t xml:space="preserve"> </w:t>
                  </w:r>
                  <w:r>
                    <w:rPr>
                      <w:rFonts w:hint="default" w:ascii="Times New Roman" w:hAnsi="Times New Roman" w:cs="Times New Roman"/>
                      <w:b w:val="0"/>
                      <w:bCs w:val="0"/>
                      <w:color w:val="auto"/>
                      <w:kern w:val="0"/>
                      <w:sz w:val="21"/>
                      <w:szCs w:val="21"/>
                      <w:highlight w:val="none"/>
                      <w:vertAlign w:val="baseline"/>
                      <w:lang w:val="en-US" w:eastAsia="zh-CN"/>
                    </w:rPr>
                    <w:t>8978-1996）三级标准</w:t>
                  </w:r>
                </w:p>
              </w:tc>
              <w:tc>
                <w:tcPr>
                  <w:tcW w:w="633" w:type="dxa"/>
                  <w:tcBorders>
                    <w:tl2br w:val="nil"/>
                    <w:tr2bl w:val="nil"/>
                  </w:tcBorders>
                  <w:vAlign w:val="center"/>
                </w:tcPr>
                <w:p w14:paraId="1C7C9E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6~9</w:t>
                  </w:r>
                </w:p>
              </w:tc>
              <w:tc>
                <w:tcPr>
                  <w:tcW w:w="711" w:type="dxa"/>
                  <w:tcBorders>
                    <w:tl2br w:val="nil"/>
                    <w:tr2bl w:val="nil"/>
                  </w:tcBorders>
                  <w:vAlign w:val="center"/>
                </w:tcPr>
                <w:p w14:paraId="0C1947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500</w:t>
                  </w:r>
                </w:p>
              </w:tc>
              <w:tc>
                <w:tcPr>
                  <w:tcW w:w="743" w:type="dxa"/>
                  <w:tcBorders>
                    <w:tl2br w:val="nil"/>
                    <w:tr2bl w:val="nil"/>
                  </w:tcBorders>
                  <w:vAlign w:val="center"/>
                </w:tcPr>
                <w:p w14:paraId="17A11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300</w:t>
                  </w:r>
                </w:p>
              </w:tc>
              <w:tc>
                <w:tcPr>
                  <w:tcW w:w="578" w:type="dxa"/>
                  <w:tcBorders>
                    <w:tl2br w:val="nil"/>
                    <w:tr2bl w:val="nil"/>
                  </w:tcBorders>
                  <w:vAlign w:val="center"/>
                </w:tcPr>
                <w:p w14:paraId="7463FD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400</w:t>
                  </w:r>
                </w:p>
              </w:tc>
              <w:tc>
                <w:tcPr>
                  <w:tcW w:w="907" w:type="dxa"/>
                  <w:tcBorders>
                    <w:tl2br w:val="nil"/>
                    <w:tr2bl w:val="nil"/>
                  </w:tcBorders>
                  <w:vAlign w:val="center"/>
                </w:tcPr>
                <w:p w14:paraId="25E544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45</w:t>
                  </w:r>
                  <w:r>
                    <w:rPr>
                      <w:rFonts w:hint="default" w:ascii="Times New Roman" w:hAnsi="Times New Roman" w:cs="Times New Roman"/>
                      <w:b w:val="0"/>
                      <w:bCs w:val="0"/>
                      <w:color w:val="auto"/>
                      <w:kern w:val="0"/>
                      <w:sz w:val="21"/>
                      <w:szCs w:val="21"/>
                      <w:highlight w:val="none"/>
                      <w:vertAlign w:val="superscript"/>
                      <w:lang w:val="en-US" w:eastAsia="zh-CN"/>
                    </w:rPr>
                    <w:t>①</w:t>
                  </w:r>
                </w:p>
              </w:tc>
              <w:tc>
                <w:tcPr>
                  <w:tcW w:w="683" w:type="dxa"/>
                  <w:tcBorders>
                    <w:tl2br w:val="nil"/>
                    <w:tr2bl w:val="nil"/>
                  </w:tcBorders>
                  <w:vAlign w:val="center"/>
                </w:tcPr>
                <w:p w14:paraId="35545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8</w:t>
                  </w:r>
                  <w:r>
                    <w:rPr>
                      <w:rFonts w:hint="default" w:ascii="Times New Roman" w:hAnsi="Times New Roman" w:cs="Times New Roman"/>
                      <w:b w:val="0"/>
                      <w:bCs w:val="0"/>
                      <w:color w:val="auto"/>
                      <w:kern w:val="0"/>
                      <w:sz w:val="21"/>
                      <w:szCs w:val="21"/>
                      <w:highlight w:val="none"/>
                      <w:vertAlign w:val="superscript"/>
                      <w:lang w:val="en-US" w:eastAsia="zh-CN"/>
                    </w:rPr>
                    <w:t>①</w:t>
                  </w:r>
                </w:p>
              </w:tc>
              <w:tc>
                <w:tcPr>
                  <w:tcW w:w="630" w:type="dxa"/>
                  <w:tcBorders>
                    <w:tl2br w:val="nil"/>
                    <w:tr2bl w:val="nil"/>
                  </w:tcBorders>
                  <w:vAlign w:val="center"/>
                </w:tcPr>
                <w:p w14:paraId="695F99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20</w:t>
                  </w:r>
                </w:p>
              </w:tc>
              <w:tc>
                <w:tcPr>
                  <w:tcW w:w="700" w:type="dxa"/>
                  <w:tcBorders>
                    <w:tl2br w:val="nil"/>
                    <w:tr2bl w:val="nil"/>
                  </w:tcBorders>
                  <w:vAlign w:val="center"/>
                </w:tcPr>
                <w:p w14:paraId="1B9B7B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5000个/L</w:t>
                  </w:r>
                </w:p>
              </w:tc>
              <w:tc>
                <w:tcPr>
                  <w:tcW w:w="818" w:type="dxa"/>
                  <w:tcBorders>
                    <w:tl2br w:val="nil"/>
                    <w:tr2bl w:val="nil"/>
                  </w:tcBorders>
                  <w:vAlign w:val="center"/>
                </w:tcPr>
                <w:p w14:paraId="583444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r>
            <w:tr w14:paraId="1C5651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946" w:type="dxa"/>
                  <w:tcBorders>
                    <w:tl2br w:val="nil"/>
                    <w:tr2bl w:val="nil"/>
                  </w:tcBorders>
                  <w:vAlign w:val="center"/>
                </w:tcPr>
                <w:p w14:paraId="6B1C97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《医疗废水排放标准》</w:t>
                  </w:r>
                  <w:r>
                    <w:rPr>
                      <w:rFonts w:hint="eastAsia" w:cs="Times New Roman"/>
                      <w:b w:val="0"/>
                      <w:bCs w:val="0"/>
                      <w:color w:val="auto"/>
                      <w:kern w:val="0"/>
                      <w:sz w:val="21"/>
                      <w:szCs w:val="21"/>
                      <w:highlight w:val="none"/>
                      <w:vertAlign w:val="baseline"/>
                      <w:lang w:val="en-US" w:eastAsia="zh-CN"/>
                    </w:rPr>
                    <w:t>（GB 18466-2005）</w:t>
                  </w:r>
                </w:p>
                <w:p w14:paraId="5C0E0D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表2预处理标准</w:t>
                  </w:r>
                </w:p>
              </w:tc>
              <w:tc>
                <w:tcPr>
                  <w:tcW w:w="633" w:type="dxa"/>
                  <w:tcBorders>
                    <w:tl2br w:val="nil"/>
                    <w:tr2bl w:val="nil"/>
                  </w:tcBorders>
                  <w:vAlign w:val="center"/>
                </w:tcPr>
                <w:p w14:paraId="476A4C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711" w:type="dxa"/>
                  <w:tcBorders>
                    <w:tl2br w:val="nil"/>
                    <w:tr2bl w:val="nil"/>
                  </w:tcBorders>
                  <w:vAlign w:val="center"/>
                </w:tcPr>
                <w:p w14:paraId="1D5B7E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743" w:type="dxa"/>
                  <w:tcBorders>
                    <w:tl2br w:val="nil"/>
                    <w:tr2bl w:val="nil"/>
                  </w:tcBorders>
                  <w:vAlign w:val="center"/>
                </w:tcPr>
                <w:p w14:paraId="412E2B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578" w:type="dxa"/>
                  <w:tcBorders>
                    <w:tl2br w:val="nil"/>
                    <w:tr2bl w:val="nil"/>
                  </w:tcBorders>
                  <w:vAlign w:val="center"/>
                </w:tcPr>
                <w:p w14:paraId="005471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907" w:type="dxa"/>
                  <w:tcBorders>
                    <w:tl2br w:val="nil"/>
                    <w:tr2bl w:val="nil"/>
                  </w:tcBorders>
                  <w:vAlign w:val="center"/>
                </w:tcPr>
                <w:p w14:paraId="3821A9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683" w:type="dxa"/>
                  <w:tcBorders>
                    <w:tl2br w:val="nil"/>
                    <w:tr2bl w:val="nil"/>
                  </w:tcBorders>
                  <w:vAlign w:val="center"/>
                </w:tcPr>
                <w:p w14:paraId="354885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w:t>
                  </w:r>
                </w:p>
              </w:tc>
              <w:tc>
                <w:tcPr>
                  <w:tcW w:w="630" w:type="dxa"/>
                  <w:tcBorders>
                    <w:tl2br w:val="nil"/>
                    <w:tr2bl w:val="nil"/>
                  </w:tcBorders>
                  <w:vAlign w:val="center"/>
                </w:tcPr>
                <w:p w14:paraId="30A504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w:t>
                  </w:r>
                </w:p>
              </w:tc>
              <w:tc>
                <w:tcPr>
                  <w:tcW w:w="700" w:type="dxa"/>
                  <w:tcBorders>
                    <w:tl2br w:val="nil"/>
                    <w:tr2bl w:val="nil"/>
                  </w:tcBorders>
                  <w:vAlign w:val="center"/>
                </w:tcPr>
                <w:p w14:paraId="28D6E9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5000个/L</w:t>
                  </w:r>
                </w:p>
              </w:tc>
              <w:tc>
                <w:tcPr>
                  <w:tcW w:w="818" w:type="dxa"/>
                  <w:tcBorders>
                    <w:tl2br w:val="nil"/>
                    <w:tr2bl w:val="nil"/>
                  </w:tcBorders>
                  <w:vAlign w:val="center"/>
                </w:tcPr>
                <w:p w14:paraId="3E0029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2~8</w:t>
                  </w:r>
                  <w:r>
                    <w:rPr>
                      <w:rFonts w:hint="eastAsia" w:cs="Times New Roman"/>
                      <w:b w:val="0"/>
                      <w:bCs w:val="0"/>
                      <w:color w:val="auto"/>
                      <w:kern w:val="0"/>
                      <w:sz w:val="21"/>
                      <w:szCs w:val="21"/>
                      <w:highlight w:val="none"/>
                      <w:vertAlign w:val="superscript"/>
                      <w:lang w:val="en-US" w:eastAsia="zh-CN"/>
                    </w:rPr>
                    <w:t>②</w:t>
                  </w:r>
                </w:p>
              </w:tc>
            </w:tr>
            <w:tr w14:paraId="343C7C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946" w:type="dxa"/>
                  <w:tcBorders>
                    <w:tl2br w:val="nil"/>
                    <w:tr2bl w:val="nil"/>
                  </w:tcBorders>
                  <w:vAlign w:val="center"/>
                </w:tcPr>
                <w:p w14:paraId="32AACD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cs="Times New Roman"/>
                      <w:b w:val="0"/>
                      <w:bCs w:val="0"/>
                      <w:color w:val="auto"/>
                      <w:kern w:val="0"/>
                      <w:sz w:val="21"/>
                      <w:szCs w:val="21"/>
                      <w:highlight w:val="none"/>
                      <w:vertAlign w:val="baseline"/>
                      <w:lang w:val="en-US" w:eastAsia="zh-CN"/>
                    </w:rPr>
                    <w:t>城镇污水处理厂污染物排放标准</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cs="Times New Roman"/>
                      <w:b w:val="0"/>
                      <w:bCs w:val="0"/>
                      <w:color w:val="auto"/>
                      <w:kern w:val="0"/>
                      <w:sz w:val="21"/>
                      <w:szCs w:val="21"/>
                      <w:highlight w:val="none"/>
                      <w:vertAlign w:val="baseline"/>
                      <w:lang w:val="en-US" w:eastAsia="zh-CN"/>
                    </w:rPr>
                    <w:t>（GB</w:t>
                  </w:r>
                  <w:r>
                    <w:rPr>
                      <w:rFonts w:hint="eastAsia" w:cs="Times New Roman"/>
                      <w:b w:val="0"/>
                      <w:bCs w:val="0"/>
                      <w:color w:val="auto"/>
                      <w:kern w:val="0"/>
                      <w:sz w:val="21"/>
                      <w:szCs w:val="21"/>
                      <w:highlight w:val="none"/>
                      <w:vertAlign w:val="baseline"/>
                      <w:lang w:val="en-US" w:eastAsia="zh-CN"/>
                    </w:rPr>
                    <w:t xml:space="preserve"> </w:t>
                  </w:r>
                  <w:r>
                    <w:rPr>
                      <w:rFonts w:hint="default" w:ascii="Times New Roman" w:hAnsi="Times New Roman" w:cs="Times New Roman"/>
                      <w:b w:val="0"/>
                      <w:bCs w:val="0"/>
                      <w:color w:val="auto"/>
                      <w:kern w:val="0"/>
                      <w:sz w:val="21"/>
                      <w:szCs w:val="21"/>
                      <w:highlight w:val="none"/>
                      <w:vertAlign w:val="baseline"/>
                      <w:lang w:val="en-US" w:eastAsia="zh-CN"/>
                    </w:rPr>
                    <w:t>18918-2002）</w:t>
                  </w:r>
                </w:p>
                <w:p w14:paraId="77C35A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一级A标</w:t>
                  </w:r>
                </w:p>
              </w:tc>
              <w:tc>
                <w:tcPr>
                  <w:tcW w:w="633" w:type="dxa"/>
                  <w:tcBorders>
                    <w:tl2br w:val="nil"/>
                    <w:tr2bl w:val="nil"/>
                  </w:tcBorders>
                  <w:vAlign w:val="center"/>
                </w:tcPr>
                <w:p w14:paraId="732D6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6~9</w:t>
                  </w:r>
                </w:p>
              </w:tc>
              <w:tc>
                <w:tcPr>
                  <w:tcW w:w="711" w:type="dxa"/>
                  <w:tcBorders>
                    <w:tl2br w:val="nil"/>
                    <w:tr2bl w:val="nil"/>
                  </w:tcBorders>
                  <w:vAlign w:val="center"/>
                </w:tcPr>
                <w:p w14:paraId="051C22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50</w:t>
                  </w:r>
                </w:p>
              </w:tc>
              <w:tc>
                <w:tcPr>
                  <w:tcW w:w="743" w:type="dxa"/>
                  <w:tcBorders>
                    <w:tl2br w:val="nil"/>
                    <w:tr2bl w:val="nil"/>
                  </w:tcBorders>
                  <w:vAlign w:val="center"/>
                </w:tcPr>
                <w:p w14:paraId="4F10E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w:t>
                  </w:r>
                </w:p>
              </w:tc>
              <w:tc>
                <w:tcPr>
                  <w:tcW w:w="578" w:type="dxa"/>
                  <w:tcBorders>
                    <w:tl2br w:val="nil"/>
                    <w:tr2bl w:val="nil"/>
                  </w:tcBorders>
                  <w:vAlign w:val="center"/>
                </w:tcPr>
                <w:p w14:paraId="139E80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w:t>
                  </w:r>
                </w:p>
              </w:tc>
              <w:tc>
                <w:tcPr>
                  <w:tcW w:w="907" w:type="dxa"/>
                  <w:tcBorders>
                    <w:tl2br w:val="nil"/>
                    <w:tr2bl w:val="nil"/>
                  </w:tcBorders>
                  <w:vAlign w:val="center"/>
                </w:tcPr>
                <w:p w14:paraId="34EA1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5（8）</w:t>
                  </w:r>
                  <w:r>
                    <w:rPr>
                      <w:rFonts w:hint="default" w:ascii="Times New Roman" w:hAnsi="Times New Roman" w:cs="Times New Roman"/>
                      <w:b w:val="0"/>
                      <w:bCs w:val="0"/>
                      <w:color w:val="auto"/>
                      <w:kern w:val="0"/>
                      <w:sz w:val="21"/>
                      <w:szCs w:val="21"/>
                      <w:highlight w:val="none"/>
                      <w:vertAlign w:val="superscript"/>
                      <w:lang w:val="en-US" w:eastAsia="zh-CN"/>
                    </w:rPr>
                    <w:t>③</w:t>
                  </w:r>
                </w:p>
              </w:tc>
              <w:tc>
                <w:tcPr>
                  <w:tcW w:w="683" w:type="dxa"/>
                  <w:tcBorders>
                    <w:tl2br w:val="nil"/>
                    <w:tr2bl w:val="nil"/>
                  </w:tcBorders>
                  <w:vAlign w:val="center"/>
                </w:tcPr>
                <w:p w14:paraId="5B6FB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0.5</w:t>
                  </w:r>
                </w:p>
              </w:tc>
              <w:tc>
                <w:tcPr>
                  <w:tcW w:w="630" w:type="dxa"/>
                  <w:tcBorders>
                    <w:tl2br w:val="nil"/>
                    <w:tr2bl w:val="nil"/>
                  </w:tcBorders>
                  <w:vAlign w:val="center"/>
                </w:tcPr>
                <w:p w14:paraId="07569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0.5</w:t>
                  </w:r>
                </w:p>
              </w:tc>
              <w:tc>
                <w:tcPr>
                  <w:tcW w:w="700" w:type="dxa"/>
                  <w:tcBorders>
                    <w:tl2br w:val="nil"/>
                    <w:tr2bl w:val="nil"/>
                  </w:tcBorders>
                  <w:vAlign w:val="center"/>
                </w:tcPr>
                <w:p w14:paraId="79BC8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1000个/L</w:t>
                  </w:r>
                </w:p>
              </w:tc>
              <w:tc>
                <w:tcPr>
                  <w:tcW w:w="818" w:type="dxa"/>
                  <w:tcBorders>
                    <w:tl2br w:val="nil"/>
                    <w:tr2bl w:val="nil"/>
                  </w:tcBorders>
                  <w:vAlign w:val="center"/>
                </w:tcPr>
                <w:p w14:paraId="55E18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w:t>
                  </w:r>
                </w:p>
              </w:tc>
            </w:tr>
            <w:tr w14:paraId="11584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349" w:type="dxa"/>
                  <w:gridSpan w:val="10"/>
                  <w:tcBorders>
                    <w:tl2br w:val="nil"/>
                    <w:tr2bl w:val="nil"/>
                  </w:tcBorders>
                  <w:vAlign w:val="center"/>
                </w:tcPr>
                <w:p w14:paraId="0495B9B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注：①氨氮、TP 执行《污水排入城镇下水道水质标准》（GB/T</w:t>
                  </w:r>
                  <w:r>
                    <w:rPr>
                      <w:rFonts w:hint="eastAsia" w:cs="Times New Roman"/>
                      <w:b w:val="0"/>
                      <w:bCs w:val="0"/>
                      <w:color w:val="auto"/>
                      <w:kern w:val="0"/>
                      <w:sz w:val="21"/>
                      <w:szCs w:val="21"/>
                      <w:highlight w:val="none"/>
                      <w:vertAlign w:val="baseline"/>
                      <w:lang w:val="en-US" w:eastAsia="zh-CN"/>
                    </w:rPr>
                    <w:t xml:space="preserve"> </w:t>
                  </w:r>
                  <w:r>
                    <w:rPr>
                      <w:rFonts w:hint="default" w:ascii="Times New Roman" w:hAnsi="Times New Roman" w:cs="Times New Roman"/>
                      <w:b w:val="0"/>
                      <w:bCs w:val="0"/>
                      <w:color w:val="auto"/>
                      <w:kern w:val="0"/>
                      <w:sz w:val="21"/>
                      <w:szCs w:val="21"/>
                      <w:highlight w:val="none"/>
                      <w:vertAlign w:val="baseline"/>
                      <w:lang w:val="en-US" w:eastAsia="zh-CN"/>
                    </w:rPr>
                    <w:t>31962-2015）B级标</w:t>
                  </w:r>
                </w:p>
                <w:p w14:paraId="4BB66BE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准；</w:t>
                  </w:r>
                </w:p>
                <w:p w14:paraId="41A66945">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②预处理标准：消毒接触池接触时间≥1h，接触池出口总余氯2~8mg/L</w:t>
                  </w:r>
                  <w:r>
                    <w:rPr>
                      <w:rFonts w:hint="eastAsia" w:cs="Times New Roman"/>
                      <w:b w:val="0"/>
                      <w:bCs w:val="0"/>
                      <w:color w:val="auto"/>
                      <w:kern w:val="0"/>
                      <w:sz w:val="21"/>
                      <w:szCs w:val="21"/>
                      <w:highlight w:val="none"/>
                      <w:vertAlign w:val="baseline"/>
                      <w:lang w:val="en-US" w:eastAsia="zh-CN"/>
                    </w:rPr>
                    <w:t>。</w:t>
                  </w:r>
                  <w:r>
                    <w:rPr>
                      <w:rFonts w:hint="default" w:ascii="Times New Roman" w:hAnsi="Times New Roman" w:cs="Times New Roman"/>
                      <w:b w:val="0"/>
                      <w:bCs w:val="0"/>
                      <w:color w:val="auto"/>
                      <w:kern w:val="0"/>
                      <w:sz w:val="21"/>
                      <w:szCs w:val="21"/>
                      <w:highlight w:val="none"/>
                      <w:vertAlign w:val="baseline"/>
                      <w:lang w:val="en-US" w:eastAsia="zh-CN"/>
                    </w:rPr>
                    <w:t>采用其他消毒剂对总余氯</w:t>
                  </w:r>
                  <w:r>
                    <w:rPr>
                      <w:rFonts w:hint="eastAsia" w:cs="Times New Roman"/>
                      <w:b w:val="0"/>
                      <w:bCs w:val="0"/>
                      <w:color w:val="auto"/>
                      <w:kern w:val="0"/>
                      <w:sz w:val="21"/>
                      <w:szCs w:val="21"/>
                      <w:highlight w:val="none"/>
                      <w:vertAlign w:val="baseline"/>
                      <w:lang w:val="en-US" w:eastAsia="zh-CN"/>
                    </w:rPr>
                    <w:t>不作</w:t>
                  </w:r>
                  <w:r>
                    <w:rPr>
                      <w:rFonts w:hint="default" w:ascii="Times New Roman" w:hAnsi="Times New Roman" w:cs="Times New Roman"/>
                      <w:b w:val="0"/>
                      <w:bCs w:val="0"/>
                      <w:color w:val="auto"/>
                      <w:kern w:val="0"/>
                      <w:sz w:val="21"/>
                      <w:szCs w:val="21"/>
                      <w:highlight w:val="none"/>
                      <w:vertAlign w:val="baseline"/>
                      <w:lang w:val="en-US" w:eastAsia="zh-CN"/>
                    </w:rPr>
                    <w:t>要求；</w:t>
                  </w:r>
                </w:p>
                <w:p w14:paraId="5B0FD91A">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③括号外数值为水温&gt;12℃时的控制指标，括号内数值为水温&lt;12℃时的控制指标。</w:t>
                  </w:r>
                </w:p>
              </w:tc>
            </w:tr>
          </w:tbl>
          <w:p w14:paraId="0D02D38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default" w:ascii="Times New Roman" w:hAnsi="Times New Roman"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3.3.3 噪声标准</w:t>
            </w:r>
          </w:p>
          <w:p w14:paraId="1772AD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项目位于</w:t>
            </w:r>
            <w:r>
              <w:rPr>
                <w:rFonts w:hint="eastAsia" w:cs="Times New Roman"/>
                <w:b w:val="0"/>
                <w:bCs w:val="0"/>
                <w:color w:val="auto"/>
                <w:kern w:val="0"/>
                <w:sz w:val="24"/>
                <w:szCs w:val="24"/>
                <w:highlight w:val="none"/>
                <w:lang w:val="en-US" w:eastAsia="zh-CN"/>
              </w:rPr>
              <w:t>重庆市九龙坡区华岩镇华福大道北段16号14幢附2-2号、2-3号、2-4号（金科阳光小镇6期商业裙楼）</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highlight w:val="none"/>
              </w:rPr>
              <w:t>《重庆市中心城区声环境功能区划分方案</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2023年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可知，</w:t>
            </w:r>
            <w:r>
              <w:rPr>
                <w:rFonts w:hint="default" w:ascii="Times New Roman" w:hAnsi="Times New Roman" w:cs="Times New Roman"/>
                <w:b w:val="0"/>
                <w:bCs w:val="0"/>
                <w:color w:val="auto"/>
                <w:kern w:val="0"/>
                <w:sz w:val="24"/>
                <w:szCs w:val="24"/>
                <w:highlight w:val="none"/>
                <w:lang w:val="en-US" w:eastAsia="zh-CN"/>
              </w:rPr>
              <w:t>项目所在区域为</w:t>
            </w:r>
            <w:r>
              <w:rPr>
                <w:rFonts w:hint="eastAsia"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eastAsia="zh-CN"/>
              </w:rPr>
              <w:t>类声环境功能区</w:t>
            </w:r>
            <w:r>
              <w:rPr>
                <w:rFonts w:hint="eastAsia" w:cs="Times New Roman"/>
                <w:b w:val="0"/>
                <w:bCs w:val="0"/>
                <w:color w:val="auto"/>
                <w:kern w:val="0"/>
                <w:sz w:val="24"/>
                <w:szCs w:val="24"/>
                <w:highlight w:val="none"/>
                <w:lang w:val="en-US" w:eastAsia="zh-CN"/>
              </w:rPr>
              <w:t>，因此项目</w:t>
            </w:r>
            <w:r>
              <w:rPr>
                <w:rFonts w:hint="default" w:ascii="Times New Roman" w:hAnsi="Times New Roman" w:cs="Times New Roman"/>
                <w:b w:val="0"/>
                <w:bCs w:val="0"/>
                <w:color w:val="auto"/>
                <w:kern w:val="0"/>
                <w:sz w:val="24"/>
                <w:szCs w:val="24"/>
                <w:highlight w:val="none"/>
                <w:lang w:val="en-US" w:eastAsia="zh-CN"/>
              </w:rPr>
              <w:t>厂界</w:t>
            </w:r>
            <w:r>
              <w:rPr>
                <w:rFonts w:hint="eastAsia" w:cs="Times New Roman"/>
                <w:b w:val="0"/>
                <w:bCs w:val="0"/>
                <w:color w:val="auto"/>
                <w:kern w:val="0"/>
                <w:sz w:val="24"/>
                <w:szCs w:val="24"/>
                <w:highlight w:val="none"/>
                <w:lang w:val="en-US" w:eastAsia="zh-CN"/>
              </w:rPr>
              <w:t>噪声</w:t>
            </w:r>
            <w:r>
              <w:rPr>
                <w:rFonts w:hint="default" w:ascii="Times New Roman" w:hAnsi="Times New Roman" w:cs="Times New Roman"/>
                <w:b w:val="0"/>
                <w:bCs w:val="0"/>
                <w:color w:val="auto"/>
                <w:kern w:val="0"/>
                <w:sz w:val="24"/>
                <w:szCs w:val="24"/>
                <w:highlight w:val="none"/>
                <w:lang w:val="en-US" w:eastAsia="zh-CN"/>
              </w:rPr>
              <w:t>执行《工业企业厂界环境噪声排放标准》（GB12348-2008）</w:t>
            </w:r>
            <w:r>
              <w:rPr>
                <w:rFonts w:hint="eastAsia"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eastAsia="zh-CN"/>
              </w:rPr>
              <w:t>类标准。</w:t>
            </w:r>
          </w:p>
          <w:p w14:paraId="6839139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表3.3-</w:t>
            </w:r>
            <w:r>
              <w:rPr>
                <w:rFonts w:hint="eastAsia" w:cs="Times New Roman"/>
                <w:b w:val="0"/>
                <w:bCs w:val="0"/>
                <w:color w:val="auto"/>
                <w:kern w:val="0"/>
                <w:sz w:val="21"/>
                <w:szCs w:val="21"/>
                <w:highlight w:val="none"/>
                <w:lang w:val="en-US" w:eastAsia="zh-CN"/>
              </w:rPr>
              <w:t xml:space="preserve">3 </w:t>
            </w:r>
            <w:r>
              <w:rPr>
                <w:rFonts w:hint="default" w:ascii="Times New Roman" w:hAnsi="Times New Roman" w:cs="Times New Roman"/>
                <w:b w:val="0"/>
                <w:bCs w:val="0"/>
                <w:color w:val="auto"/>
                <w:kern w:val="0"/>
                <w:sz w:val="21"/>
                <w:szCs w:val="21"/>
                <w:highlight w:val="none"/>
                <w:lang w:val="en-US" w:eastAsia="zh-CN"/>
              </w:rPr>
              <w:t>噪声排放限值 单位：dB（A）</w:t>
            </w:r>
          </w:p>
          <w:tbl>
            <w:tblPr>
              <w:tblStyle w:val="22"/>
              <w:tblW w:w="8351"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61"/>
              <w:gridCol w:w="5055"/>
              <w:gridCol w:w="660"/>
              <w:gridCol w:w="650"/>
              <w:gridCol w:w="725"/>
            </w:tblGrid>
            <w:tr w14:paraId="6920BE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1" w:type="dxa"/>
                  <w:tcBorders>
                    <w:tl2br w:val="nil"/>
                    <w:tr2bl w:val="nil"/>
                  </w:tcBorders>
                  <w:vAlign w:val="center"/>
                </w:tcPr>
                <w:p w14:paraId="6959D1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厂界</w:t>
                  </w:r>
                </w:p>
              </w:tc>
              <w:tc>
                <w:tcPr>
                  <w:tcW w:w="5715" w:type="dxa"/>
                  <w:gridSpan w:val="2"/>
                  <w:tcBorders>
                    <w:tl2br w:val="nil"/>
                    <w:tr2bl w:val="nil"/>
                  </w:tcBorders>
                  <w:vAlign w:val="center"/>
                </w:tcPr>
                <w:p w14:paraId="0AF6D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执行标准</w:t>
                  </w:r>
                </w:p>
              </w:tc>
              <w:tc>
                <w:tcPr>
                  <w:tcW w:w="650" w:type="dxa"/>
                  <w:tcBorders>
                    <w:tl2br w:val="nil"/>
                    <w:tr2bl w:val="nil"/>
                  </w:tcBorders>
                  <w:vAlign w:val="center"/>
                </w:tcPr>
                <w:p w14:paraId="3D32E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725" w:type="dxa"/>
                  <w:tcBorders>
                    <w:tl2br w:val="nil"/>
                    <w:tr2bl w:val="nil"/>
                  </w:tcBorders>
                  <w:vAlign w:val="center"/>
                </w:tcPr>
                <w:p w14:paraId="14D6C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夜间</w:t>
                  </w:r>
                </w:p>
              </w:tc>
            </w:tr>
            <w:tr w14:paraId="7C9F8F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61" w:type="dxa"/>
                  <w:tcBorders>
                    <w:tl2br w:val="nil"/>
                    <w:tr2bl w:val="nil"/>
                  </w:tcBorders>
                  <w:vAlign w:val="center"/>
                </w:tcPr>
                <w:p w14:paraId="4DB239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北侧、南侧</w:t>
                  </w:r>
                </w:p>
              </w:tc>
              <w:tc>
                <w:tcPr>
                  <w:tcW w:w="5055" w:type="dxa"/>
                  <w:tcBorders>
                    <w:tl2br w:val="nil"/>
                    <w:tr2bl w:val="nil"/>
                  </w:tcBorders>
                  <w:vAlign w:val="center"/>
                </w:tcPr>
                <w:p w14:paraId="504ECD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《工业企业</w:t>
                  </w:r>
                  <w:r>
                    <w:rPr>
                      <w:rFonts w:hint="eastAsia" w:cs="Times New Roman"/>
                      <w:b w:val="0"/>
                      <w:bCs w:val="0"/>
                      <w:color w:val="auto"/>
                      <w:kern w:val="0"/>
                      <w:sz w:val="21"/>
                      <w:szCs w:val="21"/>
                      <w:highlight w:val="none"/>
                      <w:vertAlign w:val="baseline"/>
                      <w:lang w:val="en-US" w:eastAsia="zh-CN"/>
                    </w:rPr>
                    <w:t>厂</w:t>
                  </w:r>
                  <w:r>
                    <w:rPr>
                      <w:rFonts w:hint="default" w:ascii="Times New Roman" w:hAnsi="Times New Roman" w:cs="Times New Roman"/>
                      <w:b w:val="0"/>
                      <w:bCs w:val="0"/>
                      <w:color w:val="auto"/>
                      <w:kern w:val="0"/>
                      <w:sz w:val="21"/>
                      <w:szCs w:val="21"/>
                      <w:highlight w:val="none"/>
                      <w:vertAlign w:val="baseline"/>
                      <w:lang w:val="en-US" w:eastAsia="zh-CN"/>
                    </w:rPr>
                    <w:t>界环境噪声排放标准》（GB</w:t>
                  </w:r>
                  <w:r>
                    <w:rPr>
                      <w:rFonts w:hint="eastAsia" w:cs="Times New Roman"/>
                      <w:b w:val="0"/>
                      <w:bCs w:val="0"/>
                      <w:color w:val="auto"/>
                      <w:kern w:val="0"/>
                      <w:sz w:val="21"/>
                      <w:szCs w:val="21"/>
                      <w:highlight w:val="none"/>
                      <w:vertAlign w:val="baseline"/>
                      <w:lang w:val="en-US" w:eastAsia="zh-CN"/>
                    </w:rPr>
                    <w:t xml:space="preserve"> </w:t>
                  </w:r>
                  <w:r>
                    <w:rPr>
                      <w:rFonts w:hint="default" w:ascii="Times New Roman" w:hAnsi="Times New Roman" w:cs="Times New Roman"/>
                      <w:b w:val="0"/>
                      <w:bCs w:val="0"/>
                      <w:color w:val="auto"/>
                      <w:kern w:val="0"/>
                      <w:sz w:val="21"/>
                      <w:szCs w:val="21"/>
                      <w:highlight w:val="none"/>
                      <w:vertAlign w:val="baseline"/>
                      <w:lang w:val="en-US" w:eastAsia="zh-CN"/>
                    </w:rPr>
                    <w:t>12348-2008）</w:t>
                  </w:r>
                </w:p>
              </w:tc>
              <w:tc>
                <w:tcPr>
                  <w:tcW w:w="660" w:type="dxa"/>
                  <w:tcBorders>
                    <w:tl2br w:val="nil"/>
                    <w:tr2bl w:val="nil"/>
                  </w:tcBorders>
                  <w:vAlign w:val="center"/>
                </w:tcPr>
                <w:p w14:paraId="29914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1类</w:t>
                  </w:r>
                </w:p>
              </w:tc>
              <w:tc>
                <w:tcPr>
                  <w:tcW w:w="650" w:type="dxa"/>
                  <w:tcBorders>
                    <w:tl2br w:val="nil"/>
                    <w:tr2bl w:val="nil"/>
                  </w:tcBorders>
                  <w:vAlign w:val="center"/>
                </w:tcPr>
                <w:p w14:paraId="494AF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55</w:t>
                  </w:r>
                </w:p>
              </w:tc>
              <w:tc>
                <w:tcPr>
                  <w:tcW w:w="725" w:type="dxa"/>
                  <w:tcBorders>
                    <w:tl2br w:val="nil"/>
                    <w:tr2bl w:val="nil"/>
                  </w:tcBorders>
                  <w:vAlign w:val="center"/>
                </w:tcPr>
                <w:p w14:paraId="0B186A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45</w:t>
                  </w:r>
                </w:p>
              </w:tc>
            </w:tr>
            <w:tr w14:paraId="31A903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351" w:type="dxa"/>
                  <w:gridSpan w:val="5"/>
                  <w:tcBorders>
                    <w:tl2br w:val="nil"/>
                    <w:tr2bl w:val="nil"/>
                  </w:tcBorders>
                  <w:vAlign w:val="center"/>
                </w:tcPr>
                <w:p w14:paraId="6BD5DBA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注：</w:t>
                  </w:r>
                  <w:r>
                    <w:rPr>
                      <w:rFonts w:hint="default" w:ascii="Times New Roman" w:hAnsi="Times New Roman" w:cs="Times New Roman"/>
                      <w:b w:val="0"/>
                      <w:bCs/>
                      <w:color w:val="auto"/>
                      <w:kern w:val="0"/>
                      <w:sz w:val="21"/>
                      <w:szCs w:val="21"/>
                      <w:highlight w:val="none"/>
                      <w:vertAlign w:val="baseline"/>
                      <w:lang w:eastAsia="zh-CN"/>
                    </w:rPr>
                    <w:t>项目</w:t>
                  </w:r>
                  <w:r>
                    <w:rPr>
                      <w:rFonts w:hint="eastAsia" w:cs="Times New Roman"/>
                      <w:b w:val="0"/>
                      <w:bCs/>
                      <w:color w:val="auto"/>
                      <w:kern w:val="0"/>
                      <w:sz w:val="21"/>
                      <w:szCs w:val="21"/>
                      <w:highlight w:val="none"/>
                      <w:vertAlign w:val="baseline"/>
                      <w:lang w:val="en-US" w:eastAsia="zh-CN"/>
                    </w:rPr>
                    <w:t>东、西侧</w:t>
                  </w:r>
                  <w:r>
                    <w:rPr>
                      <w:rFonts w:hint="eastAsia" w:cs="Times New Roman"/>
                      <w:b w:val="0"/>
                      <w:bCs/>
                      <w:color w:val="auto"/>
                      <w:kern w:val="0"/>
                      <w:sz w:val="21"/>
                      <w:szCs w:val="21"/>
                      <w:highlight w:val="none"/>
                      <w:vertAlign w:val="baseline"/>
                      <w:lang w:eastAsia="zh-CN"/>
                    </w:rPr>
                    <w:t>厂界</w:t>
                  </w:r>
                  <w:r>
                    <w:rPr>
                      <w:rFonts w:hint="default" w:ascii="Times New Roman" w:hAnsi="Times New Roman" w:cs="Times New Roman"/>
                      <w:b w:val="0"/>
                      <w:bCs/>
                      <w:color w:val="auto"/>
                      <w:kern w:val="0"/>
                      <w:sz w:val="21"/>
                      <w:szCs w:val="21"/>
                      <w:highlight w:val="none"/>
                      <w:vertAlign w:val="baseline"/>
                      <w:lang w:eastAsia="zh-CN"/>
                    </w:rPr>
                    <w:t>与隔壁商户共用</w:t>
                  </w:r>
                  <w:r>
                    <w:rPr>
                      <w:rFonts w:hint="eastAsia" w:cs="Times New Roman"/>
                      <w:b w:val="0"/>
                      <w:bCs/>
                      <w:color w:val="auto"/>
                      <w:kern w:val="0"/>
                      <w:sz w:val="21"/>
                      <w:szCs w:val="21"/>
                      <w:highlight w:val="none"/>
                      <w:vertAlign w:val="baseline"/>
                      <w:lang w:val="en-US" w:eastAsia="zh-CN"/>
                    </w:rPr>
                    <w:t>隔墙</w:t>
                  </w:r>
                  <w:r>
                    <w:rPr>
                      <w:rFonts w:hint="default" w:ascii="Times New Roman" w:hAnsi="Times New Roman" w:cs="Times New Roman"/>
                      <w:b w:val="0"/>
                      <w:bCs/>
                      <w:color w:val="auto"/>
                      <w:kern w:val="0"/>
                      <w:sz w:val="21"/>
                      <w:szCs w:val="21"/>
                      <w:highlight w:val="none"/>
                      <w:vertAlign w:val="baseline"/>
                      <w:lang w:eastAsia="zh-CN"/>
                    </w:rPr>
                    <w:t>，因此本评价</w:t>
                  </w:r>
                  <w:r>
                    <w:rPr>
                      <w:rFonts w:hint="eastAsia" w:cs="Times New Roman"/>
                      <w:b w:val="0"/>
                      <w:bCs/>
                      <w:color w:val="auto"/>
                      <w:kern w:val="0"/>
                      <w:sz w:val="21"/>
                      <w:szCs w:val="21"/>
                      <w:highlight w:val="none"/>
                      <w:vertAlign w:val="baseline"/>
                      <w:lang w:val="en-US" w:eastAsia="zh-CN"/>
                    </w:rPr>
                    <w:t>不考虑东、西侧噪声。</w:t>
                  </w:r>
                </w:p>
              </w:tc>
            </w:tr>
          </w:tbl>
          <w:p w14:paraId="2EB45CA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default" w:ascii="Times New Roman" w:hAnsi="Times New Roman"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3.3.4 固废</w:t>
            </w:r>
          </w:p>
          <w:p w14:paraId="15B949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一般固体废物：根据《一般工业固体废物贮存和填埋污染控制标准》（GB 18599-2020）中要求，“采用库房、包装工具（罐、桶、包装袋等）贮存一般工业固体废物过程的污染控制，不适用（GB 18599-2020）标准，贮存过程中应满足相应的防渗漏、防雨淋、防扬尘等环境保护要求”；一般固体废物分类执行《固体废物分类与代码目录》（2024）相关要求。</w:t>
            </w:r>
          </w:p>
          <w:p w14:paraId="5ED7F4E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执行</w:t>
            </w:r>
            <w:r>
              <w:rPr>
                <w:rFonts w:hint="eastAsia" w:ascii="Times New Roman" w:hAnsi="Times New Roman" w:eastAsia="宋体" w:cs="Times New Roman"/>
                <w:color w:val="auto"/>
                <w:sz w:val="24"/>
                <w:szCs w:val="24"/>
                <w:highlight w:val="none"/>
                <w:lang w:eastAsia="zh-CN"/>
              </w:rPr>
              <w:t>《国家危险废物名录》（2025年）</w:t>
            </w:r>
            <w:r>
              <w:rPr>
                <w:rFonts w:hint="default" w:ascii="Times New Roman" w:hAnsi="Times New Roman" w:eastAsia="宋体" w:cs="Times New Roman"/>
                <w:color w:val="auto"/>
                <w:sz w:val="24"/>
                <w:szCs w:val="24"/>
                <w:highlight w:val="none"/>
              </w:rPr>
              <w:t>、《危险废物贮存污染控制标准》（GB</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《危险废物识别标志设置技术规范》（HJ</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1276-2022）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危险废物转移按照《危险废物转移管理办法》（生态环境部、公安部、交通运输部令第23号）执行转移制度。</w:t>
            </w:r>
          </w:p>
          <w:p w14:paraId="3FB954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eastAsia" w:cs="Times New Roman"/>
                <w:color w:val="auto"/>
                <w:sz w:val="24"/>
                <w:szCs w:val="24"/>
                <w:highlight w:val="none"/>
                <w:lang w:val="en-US" w:eastAsia="zh-CN"/>
              </w:rPr>
              <w:t>医疗废物：执行《医疗废物管理条例》（2011年修正本）、《医疗卫生机构医疗废物管理办法》（中华人民共和国卫生部令第36号）、《中华人民共和国动物防疫法》（2021年）、《医疗废物集中处置技术规范》（环发〔2003〕206号）、《医疗废物专用包装袋、容器和警示标志标准》（HJ 421-2008）。</w:t>
            </w:r>
          </w:p>
          <w:p w14:paraId="6C1100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动物尸体和动物病理组织：《中华人民共和国动物防疫法》（2021年）、《重庆市动物防疫条例》。</w:t>
            </w:r>
          </w:p>
          <w:p w14:paraId="64DAB2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生活垃圾实行分类收集，由环卫部门统一收集处置</w:t>
            </w:r>
            <w:r>
              <w:rPr>
                <w:rFonts w:hint="eastAsia" w:cs="Times New Roman"/>
                <w:b w:val="0"/>
                <w:bCs w:val="0"/>
                <w:color w:val="auto"/>
                <w:kern w:val="0"/>
                <w:sz w:val="24"/>
                <w:szCs w:val="24"/>
                <w:highlight w:val="none"/>
                <w:lang w:val="en-US" w:eastAsia="zh-CN"/>
              </w:rPr>
              <w:t>。</w:t>
            </w:r>
          </w:p>
          <w:p w14:paraId="129A7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241" w:firstLineChars="100"/>
              <w:jc w:val="left"/>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rPr>
              <w:t>3.</w:t>
            </w:r>
            <w:r>
              <w:rPr>
                <w:rFonts w:hint="eastAsia" w:cs="Times New Roman"/>
                <w:b/>
                <w:bCs/>
                <w:color w:val="auto"/>
                <w:kern w:val="0"/>
                <w:sz w:val="24"/>
                <w:highlight w:val="none"/>
                <w:lang w:val="en-US" w:eastAsia="zh-CN"/>
              </w:rPr>
              <w:t>3</w:t>
            </w:r>
            <w:r>
              <w:rPr>
                <w:rFonts w:hint="default" w:ascii="Times New Roman" w:hAnsi="Times New Roman" w:cs="Times New Roman"/>
                <w:b/>
                <w:bCs/>
                <w:color w:val="auto"/>
                <w:kern w:val="0"/>
                <w:sz w:val="24"/>
                <w:highlight w:val="none"/>
              </w:rPr>
              <w:t>.5地下水</w:t>
            </w: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lang w:val="en-US" w:eastAsia="zh-CN"/>
              </w:rPr>
              <w:t>土壤环境</w:t>
            </w:r>
          </w:p>
          <w:p w14:paraId="6662B26D">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依据</w:t>
            </w:r>
            <w:r>
              <w:rPr>
                <w:rFonts w:hint="eastAsia" w:ascii="Times New Roman" w:hAnsi="Times New Roman" w:cs="Times New Roman"/>
                <w:b w:val="0"/>
                <w:bCs w:val="0"/>
                <w:color w:val="auto"/>
                <w:kern w:val="0"/>
                <w:sz w:val="24"/>
                <w:szCs w:val="24"/>
                <w:highlight w:val="none"/>
                <w:lang w:val="en-US" w:eastAsia="zh-CN" w:bidi="ar-SA"/>
              </w:rPr>
              <w:t>《建设项目环境影响报告表编制技术指南（污染影响类）（试行）》</w:t>
            </w:r>
            <w:r>
              <w:rPr>
                <w:rFonts w:hint="default" w:ascii="Times New Roman" w:hAnsi="Times New Roman" w:eastAsia="宋体" w:cs="Times New Roman"/>
                <w:b w:val="0"/>
                <w:bCs w:val="0"/>
                <w:color w:val="auto"/>
                <w:kern w:val="0"/>
                <w:sz w:val="24"/>
                <w:szCs w:val="24"/>
                <w:highlight w:val="none"/>
                <w:lang w:val="en-US" w:eastAsia="zh-CN" w:bidi="ar-SA"/>
              </w:rPr>
              <w:t>，原则上不开展环境质量现状调查。建设项目存在土壤、地下水环境污染途径的，应结合污染源、保护目标分布情况开展现状调查以留作背景值。</w:t>
            </w:r>
          </w:p>
          <w:p w14:paraId="11858118">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项目位于城市建成区，厂界外500米范围内无地下水集中式饮用水水源和热水、矿泉水、温泉等特殊地下水资源。本项目为动物医院，设置的</w:t>
            </w:r>
            <w:r>
              <w:rPr>
                <w:rFonts w:hint="eastAsia" w:ascii="Times New Roman" w:hAnsi="Times New Roman" w:cs="Times New Roman"/>
                <w:b w:val="0"/>
                <w:bCs w:val="0"/>
                <w:color w:val="auto"/>
                <w:kern w:val="0"/>
                <w:sz w:val="24"/>
                <w:szCs w:val="24"/>
                <w:highlight w:val="none"/>
                <w:lang w:val="en-US" w:eastAsia="zh-CN" w:bidi="ar-SA"/>
              </w:rPr>
              <w:t>医疗废物贮存点</w:t>
            </w:r>
            <w:r>
              <w:rPr>
                <w:rFonts w:hint="default" w:ascii="Times New Roman" w:hAnsi="Times New Roman" w:eastAsia="宋体" w:cs="Times New Roman"/>
                <w:b w:val="0"/>
                <w:bCs w:val="0"/>
                <w:color w:val="auto"/>
                <w:kern w:val="0"/>
                <w:sz w:val="24"/>
                <w:szCs w:val="24"/>
                <w:highlight w:val="none"/>
                <w:lang w:val="en-US" w:eastAsia="zh-CN" w:bidi="ar-SA"/>
              </w:rPr>
              <w:t>按照《医疗废物管理条例》、参照《危险废物贮存污染控制标准》（GB 18597-2023）等的要求，采取</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六防</w:t>
            </w:r>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bidi="ar-SA"/>
              </w:rPr>
              <w:t>措施，地面采用坚固、防渗、耐腐蚀的钢筋混凝土材料铺设。运营期医疗废水经医疗废水处理设施处理达《医疗机构水污染物排放标准》</w:t>
            </w:r>
            <w:r>
              <w:rPr>
                <w:rFonts w:hint="eastAsia" w:ascii="Times New Roman" w:hAnsi="Times New Roman" w:cs="Times New Roman"/>
                <w:b w:val="0"/>
                <w:bCs w:val="0"/>
                <w:color w:val="auto"/>
                <w:kern w:val="0"/>
                <w:sz w:val="24"/>
                <w:szCs w:val="24"/>
                <w:highlight w:val="none"/>
                <w:lang w:val="en-US" w:eastAsia="zh-CN" w:bidi="ar-SA"/>
              </w:rPr>
              <w:t>（GB18466-2005）</w:t>
            </w:r>
            <w:r>
              <w:rPr>
                <w:rFonts w:hint="default" w:ascii="Times New Roman" w:hAnsi="Times New Roman" w:eastAsia="宋体" w:cs="Times New Roman"/>
                <w:b w:val="0"/>
                <w:bCs w:val="0"/>
                <w:color w:val="auto"/>
                <w:kern w:val="0"/>
                <w:sz w:val="24"/>
                <w:szCs w:val="24"/>
                <w:highlight w:val="none"/>
                <w:lang w:val="en-US" w:eastAsia="zh-CN" w:bidi="ar-SA"/>
              </w:rPr>
              <w:t>预处理标准后，</w:t>
            </w:r>
            <w:r>
              <w:rPr>
                <w:rFonts w:hint="eastAsia" w:ascii="Times New Roman" w:hAnsi="Times New Roman" w:cs="Times New Roman"/>
                <w:b w:val="0"/>
                <w:bCs w:val="0"/>
                <w:color w:val="auto"/>
                <w:kern w:val="0"/>
                <w:sz w:val="24"/>
                <w:szCs w:val="24"/>
                <w:highlight w:val="none"/>
                <w:lang w:val="en-US" w:eastAsia="zh-CN" w:bidi="ar-SA"/>
              </w:rPr>
              <w:t>宠物洗浴废水</w:t>
            </w:r>
            <w:r>
              <w:rPr>
                <w:rFonts w:hint="default" w:ascii="Times New Roman" w:hAnsi="Times New Roman" w:eastAsia="宋体" w:cs="Times New Roman"/>
                <w:b w:val="0"/>
                <w:bCs w:val="0"/>
                <w:color w:val="auto"/>
                <w:kern w:val="0"/>
                <w:sz w:val="24"/>
                <w:szCs w:val="24"/>
                <w:highlight w:val="none"/>
                <w:lang w:val="en-US" w:eastAsia="zh-CN" w:bidi="ar-SA"/>
              </w:rPr>
              <w:t>经滤网过滤后，与生活污水</w:t>
            </w:r>
            <w:r>
              <w:rPr>
                <w:rFonts w:hint="eastAsia" w:ascii="Times New Roman" w:hAnsi="Times New Roman" w:cs="Times New Roman"/>
                <w:b w:val="0"/>
                <w:bCs w:val="0"/>
                <w:color w:val="auto"/>
                <w:kern w:val="0"/>
                <w:sz w:val="24"/>
                <w:szCs w:val="24"/>
                <w:highlight w:val="none"/>
                <w:lang w:val="en-US" w:eastAsia="zh-CN" w:bidi="ar-SA"/>
              </w:rPr>
              <w:t>、其他废水</w:t>
            </w:r>
            <w:r>
              <w:rPr>
                <w:rFonts w:hint="default" w:ascii="Times New Roman" w:hAnsi="Times New Roman" w:eastAsia="宋体" w:cs="Times New Roman"/>
                <w:b w:val="0"/>
                <w:bCs w:val="0"/>
                <w:color w:val="auto"/>
                <w:kern w:val="0"/>
                <w:sz w:val="24"/>
                <w:szCs w:val="24"/>
                <w:highlight w:val="none"/>
                <w:lang w:val="en-US" w:eastAsia="zh-CN" w:bidi="ar-SA"/>
              </w:rPr>
              <w:t>一并进入</w:t>
            </w:r>
            <w:r>
              <w:rPr>
                <w:rFonts w:hint="eastAsia" w:ascii="Times New Roman" w:hAnsi="Times New Roman" w:cs="Times New Roman"/>
                <w:b w:val="0"/>
                <w:bCs w:val="0"/>
                <w:color w:val="auto"/>
                <w:kern w:val="0"/>
                <w:sz w:val="24"/>
                <w:szCs w:val="24"/>
                <w:highlight w:val="none"/>
                <w:lang w:val="en-US" w:eastAsia="zh-CN" w:bidi="ar-SA"/>
              </w:rPr>
              <w:t>金科阳光小镇6期</w:t>
            </w:r>
            <w:r>
              <w:rPr>
                <w:rFonts w:hint="default" w:ascii="Times New Roman" w:hAnsi="Times New Roman" w:eastAsia="宋体" w:cs="Times New Roman"/>
                <w:b w:val="0"/>
                <w:bCs w:val="0"/>
                <w:color w:val="auto"/>
                <w:kern w:val="0"/>
                <w:sz w:val="24"/>
                <w:szCs w:val="24"/>
                <w:highlight w:val="none"/>
                <w:lang w:val="en-US" w:eastAsia="zh-CN" w:bidi="ar-SA"/>
              </w:rPr>
              <w:t>生化池处理达《污水综合排放标准》（GB 8978-1996）三级标准，经市政污水管网进入</w:t>
            </w:r>
            <w:r>
              <w:rPr>
                <w:rFonts w:hint="eastAsia" w:ascii="Times New Roman" w:hAnsi="Times New Roman" w:cs="Times New Roman"/>
                <w:b w:val="0"/>
                <w:bCs w:val="0"/>
                <w:color w:val="auto"/>
                <w:kern w:val="0"/>
                <w:sz w:val="24"/>
                <w:szCs w:val="24"/>
                <w:highlight w:val="none"/>
                <w:lang w:val="en-US" w:eastAsia="zh-CN" w:bidi="ar-SA"/>
              </w:rPr>
              <w:t>中梁山污水处理厂</w:t>
            </w:r>
            <w:r>
              <w:rPr>
                <w:rFonts w:hint="default" w:ascii="Times New Roman" w:hAnsi="Times New Roman" w:eastAsia="宋体" w:cs="Times New Roman"/>
                <w:b w:val="0"/>
                <w:bCs w:val="0"/>
                <w:color w:val="auto"/>
                <w:kern w:val="0"/>
                <w:sz w:val="24"/>
                <w:szCs w:val="24"/>
                <w:highlight w:val="none"/>
                <w:lang w:val="en-US" w:eastAsia="zh-CN" w:bidi="ar-SA"/>
              </w:rPr>
              <w:t>深度处理达《城镇污水处理厂污染物排放标准》（GB18918-2002）一级A标后，排入</w:t>
            </w:r>
            <w:r>
              <w:rPr>
                <w:rFonts w:hint="eastAsia" w:ascii="Times New Roman" w:hAnsi="Times New Roman" w:cs="Times New Roman"/>
                <w:b w:val="0"/>
                <w:bCs w:val="0"/>
                <w:color w:val="auto"/>
                <w:kern w:val="0"/>
                <w:sz w:val="24"/>
                <w:szCs w:val="24"/>
                <w:highlight w:val="none"/>
                <w:lang w:val="en-US" w:eastAsia="zh-CN" w:bidi="ar-SA"/>
              </w:rPr>
              <w:t>长江</w:t>
            </w:r>
            <w:r>
              <w:rPr>
                <w:rFonts w:hint="default" w:ascii="Times New Roman" w:hAnsi="Times New Roman" w:eastAsia="宋体" w:cs="Times New Roman"/>
                <w:b w:val="0"/>
                <w:bCs w:val="0"/>
                <w:color w:val="auto"/>
                <w:kern w:val="0"/>
                <w:sz w:val="24"/>
                <w:szCs w:val="24"/>
                <w:highlight w:val="none"/>
                <w:lang w:val="en-US" w:eastAsia="zh-CN" w:bidi="ar-SA"/>
              </w:rPr>
              <w:t>。</w:t>
            </w:r>
          </w:p>
          <w:p w14:paraId="1C8E98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在正常工况下，项目不属于存在土壤、地下水环境污染途径的建设项目。故无需开展地下水、土壤调查。</w:t>
            </w:r>
          </w:p>
        </w:tc>
      </w:tr>
      <w:tr w14:paraId="31CC5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2B4050BA">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总量</w:t>
            </w:r>
          </w:p>
          <w:p w14:paraId="395B5081">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控制</w:t>
            </w:r>
          </w:p>
          <w:p w14:paraId="65D588EE">
            <w:pPr>
              <w:adjustRightInd w:val="0"/>
              <w:snapToGrid w:val="0"/>
              <w:jc w:val="center"/>
              <w:rPr>
                <w:rFonts w:ascii="宋体" w:hAnsi="宋体" w:cs="宋体"/>
                <w:color w:val="auto"/>
                <w:kern w:val="0"/>
                <w:szCs w:val="21"/>
              </w:rPr>
            </w:pPr>
            <w:r>
              <w:rPr>
                <w:rFonts w:hint="eastAsia" w:ascii="宋体" w:hAnsi="宋体" w:cs="宋体"/>
                <w:color w:val="auto"/>
                <w:kern w:val="0"/>
                <w:sz w:val="24"/>
                <w:szCs w:val="24"/>
              </w:rPr>
              <w:t>指标</w:t>
            </w:r>
          </w:p>
        </w:tc>
        <w:tc>
          <w:tcPr>
            <w:tcW w:w="8600" w:type="dxa"/>
            <w:noWrap w:val="0"/>
            <w:vAlign w:val="center"/>
          </w:tcPr>
          <w:p w14:paraId="765E77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color w:val="auto"/>
                <w:kern w:val="0"/>
                <w:sz w:val="24"/>
                <w:szCs w:val="24"/>
                <w:lang w:val="en-US" w:eastAsia="zh-CN"/>
              </w:rPr>
            </w:pPr>
            <w:r>
              <w:rPr>
                <w:rFonts w:hint="eastAsia" w:cs="Times New Roman"/>
                <w:b w:val="0"/>
                <w:bCs w:val="0"/>
                <w:color w:val="auto"/>
                <w:kern w:val="0"/>
                <w:sz w:val="24"/>
                <w:szCs w:val="24"/>
                <w:lang w:val="en-US" w:eastAsia="zh-CN"/>
              </w:rPr>
              <w:t>依据国家关于污染物排放执行总量控制的有关规定，结合项目的排污特点，项目污染物总量控制指标如下：</w:t>
            </w:r>
          </w:p>
          <w:p w14:paraId="69BE974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val="0"/>
                <w:bCs w:val="0"/>
                <w:color w:val="auto"/>
                <w:kern w:val="0"/>
                <w:sz w:val="21"/>
                <w:szCs w:val="21"/>
                <w:vertAlign w:val="baseline"/>
                <w:lang w:val="en-US" w:eastAsia="zh-CN"/>
              </w:rPr>
            </w:pPr>
            <w:r>
              <w:rPr>
                <w:rFonts w:hint="eastAsia" w:cs="Times New Roman"/>
                <w:b w:val="0"/>
                <w:bCs w:val="0"/>
                <w:color w:val="auto"/>
                <w:kern w:val="0"/>
                <w:sz w:val="21"/>
                <w:szCs w:val="21"/>
                <w:lang w:val="en-US" w:eastAsia="zh-CN"/>
              </w:rPr>
              <w:t>表3.4-1项目总量控制指标  单位：t/a</w:t>
            </w:r>
          </w:p>
          <w:tbl>
            <w:tblPr>
              <w:tblStyle w:val="22"/>
              <w:tblW w:w="835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16"/>
              <w:gridCol w:w="2146"/>
              <w:gridCol w:w="2898"/>
              <w:gridCol w:w="2094"/>
            </w:tblGrid>
            <w:tr w14:paraId="167E2F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16" w:type="dxa"/>
                  <w:vMerge w:val="restart"/>
                  <w:tcBorders>
                    <w:tl2br w:val="nil"/>
                    <w:tr2bl w:val="nil"/>
                  </w:tcBorders>
                  <w:vAlign w:val="center"/>
                </w:tcPr>
                <w:p w14:paraId="1BD717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类别</w:t>
                  </w:r>
                </w:p>
              </w:tc>
              <w:tc>
                <w:tcPr>
                  <w:tcW w:w="2146" w:type="dxa"/>
                  <w:vMerge w:val="restart"/>
                  <w:tcBorders>
                    <w:tl2br w:val="nil"/>
                    <w:tr2bl w:val="nil"/>
                  </w:tcBorders>
                  <w:vAlign w:val="center"/>
                </w:tcPr>
                <w:p w14:paraId="6AFBEC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污染因子</w:t>
                  </w:r>
                </w:p>
              </w:tc>
              <w:tc>
                <w:tcPr>
                  <w:tcW w:w="4992" w:type="dxa"/>
                  <w:gridSpan w:val="2"/>
                  <w:tcBorders>
                    <w:tl2br w:val="nil"/>
                    <w:tr2bl w:val="nil"/>
                  </w:tcBorders>
                  <w:vAlign w:val="center"/>
                </w:tcPr>
                <w:p w14:paraId="06B835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项目排放量</w:t>
                  </w:r>
                </w:p>
              </w:tc>
            </w:tr>
            <w:tr w14:paraId="7AE535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16" w:type="dxa"/>
                  <w:vMerge w:val="continue"/>
                  <w:tcBorders>
                    <w:tl2br w:val="nil"/>
                    <w:tr2bl w:val="nil"/>
                  </w:tcBorders>
                  <w:vAlign w:val="center"/>
                </w:tcPr>
                <w:p w14:paraId="199753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p>
              </w:tc>
              <w:tc>
                <w:tcPr>
                  <w:tcW w:w="2146" w:type="dxa"/>
                  <w:vMerge w:val="continue"/>
                  <w:tcBorders>
                    <w:tl2br w:val="nil"/>
                    <w:tr2bl w:val="nil"/>
                  </w:tcBorders>
                  <w:vAlign w:val="center"/>
                </w:tcPr>
                <w:p w14:paraId="01230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rPr>
                  </w:pPr>
                </w:p>
              </w:tc>
              <w:tc>
                <w:tcPr>
                  <w:tcW w:w="2898" w:type="dxa"/>
                  <w:tcBorders>
                    <w:tl2br w:val="nil"/>
                    <w:tr2bl w:val="nil"/>
                  </w:tcBorders>
                  <w:vAlign w:val="center"/>
                </w:tcPr>
                <w:p w14:paraId="1CD4D7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允许排入市政管网的量</w:t>
                  </w:r>
                </w:p>
              </w:tc>
              <w:tc>
                <w:tcPr>
                  <w:tcW w:w="2094" w:type="dxa"/>
                  <w:tcBorders>
                    <w:tl2br w:val="nil"/>
                    <w:tr2bl w:val="nil"/>
                  </w:tcBorders>
                  <w:vAlign w:val="center"/>
                </w:tcPr>
                <w:p w14:paraId="79CC15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允许排入环境的量</w:t>
                  </w:r>
                </w:p>
              </w:tc>
            </w:tr>
            <w:tr w14:paraId="234DCF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16" w:type="dxa"/>
                  <w:vMerge w:val="restart"/>
                  <w:tcBorders>
                    <w:tl2br w:val="nil"/>
                    <w:tr2bl w:val="nil"/>
                  </w:tcBorders>
                  <w:vAlign w:val="center"/>
                </w:tcPr>
                <w:p w14:paraId="77DBB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废水</w:t>
                  </w:r>
                </w:p>
              </w:tc>
              <w:tc>
                <w:tcPr>
                  <w:tcW w:w="2146" w:type="dxa"/>
                  <w:tcBorders>
                    <w:tl2br w:val="nil"/>
                    <w:tr2bl w:val="nil"/>
                  </w:tcBorders>
                  <w:vAlign w:val="center"/>
                </w:tcPr>
                <w:p w14:paraId="227A19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COD</w:t>
                  </w:r>
                </w:p>
              </w:tc>
              <w:tc>
                <w:tcPr>
                  <w:tcW w:w="2898" w:type="dxa"/>
                  <w:tcBorders>
                    <w:tl2br w:val="nil"/>
                    <w:tr2bl w:val="nil"/>
                  </w:tcBorders>
                  <w:vAlign w:val="center"/>
                </w:tcPr>
                <w:p w14:paraId="2E41D2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0.207</w:t>
                  </w:r>
                </w:p>
              </w:tc>
              <w:tc>
                <w:tcPr>
                  <w:tcW w:w="2094" w:type="dxa"/>
                  <w:tcBorders>
                    <w:tl2br w:val="nil"/>
                    <w:tr2bl w:val="nil"/>
                  </w:tcBorders>
                  <w:vAlign w:val="center"/>
                </w:tcPr>
                <w:p w14:paraId="7B2C2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0.035</w:t>
                  </w:r>
                </w:p>
              </w:tc>
            </w:tr>
            <w:tr w14:paraId="3653A2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216" w:type="dxa"/>
                  <w:vMerge w:val="continue"/>
                  <w:tcBorders>
                    <w:tl2br w:val="nil"/>
                    <w:tr2bl w:val="nil"/>
                  </w:tcBorders>
                  <w:vAlign w:val="center"/>
                </w:tcPr>
                <w:p w14:paraId="103B8D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rPr>
                  </w:pPr>
                </w:p>
              </w:tc>
              <w:tc>
                <w:tcPr>
                  <w:tcW w:w="2146" w:type="dxa"/>
                  <w:tcBorders>
                    <w:tl2br w:val="nil"/>
                    <w:tr2bl w:val="nil"/>
                  </w:tcBorders>
                  <w:vAlign w:val="center"/>
                </w:tcPr>
                <w:p w14:paraId="71B5E2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氨氮</w:t>
                  </w:r>
                </w:p>
              </w:tc>
              <w:tc>
                <w:tcPr>
                  <w:tcW w:w="2898" w:type="dxa"/>
                  <w:tcBorders>
                    <w:tl2br w:val="nil"/>
                    <w:tr2bl w:val="nil"/>
                  </w:tcBorders>
                  <w:vAlign w:val="center"/>
                </w:tcPr>
                <w:p w14:paraId="5CF1DE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0.007</w:t>
                  </w:r>
                </w:p>
              </w:tc>
              <w:tc>
                <w:tcPr>
                  <w:tcW w:w="2094" w:type="dxa"/>
                  <w:tcBorders>
                    <w:tl2br w:val="nil"/>
                    <w:tr2bl w:val="nil"/>
                  </w:tcBorders>
                  <w:vAlign w:val="center"/>
                </w:tcPr>
                <w:p w14:paraId="7A2151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vertAlign w:val="baseline"/>
                      <w:lang w:val="en-US" w:eastAsia="zh-CN"/>
                    </w:rPr>
                  </w:pPr>
                  <w:r>
                    <w:rPr>
                      <w:rFonts w:hint="eastAsia" w:cs="Times New Roman"/>
                      <w:b w:val="0"/>
                      <w:bCs w:val="0"/>
                      <w:color w:val="auto"/>
                      <w:kern w:val="0"/>
                      <w:sz w:val="21"/>
                      <w:szCs w:val="21"/>
                      <w:vertAlign w:val="baseline"/>
                      <w:lang w:val="en-US" w:eastAsia="zh-CN"/>
                    </w:rPr>
                    <w:t>0.003</w:t>
                  </w:r>
                </w:p>
              </w:tc>
            </w:tr>
          </w:tbl>
          <w:p w14:paraId="6228A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b w:val="0"/>
                <w:bCs w:val="0"/>
                <w:color w:val="auto"/>
                <w:kern w:val="0"/>
                <w:sz w:val="24"/>
                <w:szCs w:val="24"/>
                <w:lang w:val="en-US" w:eastAsia="zh-CN"/>
              </w:rPr>
            </w:pPr>
          </w:p>
        </w:tc>
      </w:tr>
    </w:tbl>
    <w:p w14:paraId="6D1A7207">
      <w:pPr>
        <w:pStyle w:val="17"/>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4"/>
        <w:gridCol w:w="8627"/>
      </w:tblGrid>
      <w:tr w14:paraId="0470F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dxa"/>
            <w:noWrap w:val="0"/>
            <w:tcMar>
              <w:left w:w="28" w:type="dxa"/>
              <w:right w:w="28" w:type="dxa"/>
            </w:tcMar>
            <w:vAlign w:val="center"/>
          </w:tcPr>
          <w:p w14:paraId="4EB0D91D">
            <w:pPr>
              <w:pStyle w:val="17"/>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施工</w:t>
            </w:r>
          </w:p>
          <w:p w14:paraId="32FCA1BD">
            <w:pPr>
              <w:pStyle w:val="17"/>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期环</w:t>
            </w:r>
          </w:p>
          <w:p w14:paraId="1A687E3A">
            <w:pPr>
              <w:pStyle w:val="17"/>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境保</w:t>
            </w:r>
          </w:p>
          <w:p w14:paraId="24D50D73">
            <w:pPr>
              <w:pStyle w:val="17"/>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护措</w:t>
            </w:r>
          </w:p>
          <w:p w14:paraId="04448B52">
            <w:pPr>
              <w:pStyle w:val="17"/>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4"/>
                <w:szCs w:val="24"/>
              </w:rPr>
              <w:t>施</w:t>
            </w:r>
          </w:p>
        </w:tc>
        <w:tc>
          <w:tcPr>
            <w:tcW w:w="8627" w:type="dxa"/>
            <w:noWrap w:val="0"/>
            <w:vAlign w:val="center"/>
          </w:tcPr>
          <w:p w14:paraId="522590E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auto"/>
                <w:spacing w:val="0"/>
                <w:sz w:val="24"/>
                <w:szCs w:val="24"/>
                <w:highlight w:val="none"/>
              </w:rPr>
            </w:pPr>
            <w:r>
              <w:rPr>
                <w:rFonts w:hint="default" w:ascii="Times New Roman" w:hAnsi="Times New Roman" w:cs="Times New Roman"/>
                <w:b/>
                <w:bCs w:val="0"/>
                <w:color w:val="auto"/>
                <w:spacing w:val="0"/>
                <w:sz w:val="24"/>
                <w:szCs w:val="24"/>
                <w:highlight w:val="none"/>
              </w:rPr>
              <w:t>4.1施工期环境影响及保护措施</w:t>
            </w:r>
          </w:p>
          <w:p w14:paraId="28D395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Cs/>
                <w:color w:val="auto"/>
                <w:spacing w:val="-10"/>
                <w:szCs w:val="21"/>
              </w:rPr>
            </w:pPr>
            <w:r>
              <w:rPr>
                <w:rFonts w:hint="default" w:ascii="Times New Roman" w:hAnsi="Times New Roman" w:cs="Times New Roman"/>
                <w:bCs/>
                <w:color w:val="auto"/>
                <w:spacing w:val="0"/>
                <w:sz w:val="24"/>
                <w:szCs w:val="24"/>
                <w:highlight w:val="none"/>
              </w:rPr>
              <w:t>本次扩建仅在手术室新增部分医疗设备，医疗设备购置入场后即可完成安装调试，施工期</w:t>
            </w:r>
            <w:r>
              <w:rPr>
                <w:rFonts w:hint="eastAsia" w:cs="Times New Roman"/>
                <w:bCs/>
                <w:color w:val="auto"/>
                <w:spacing w:val="0"/>
                <w:sz w:val="24"/>
                <w:szCs w:val="24"/>
                <w:highlight w:val="none"/>
                <w:lang w:val="en-US" w:eastAsia="zh-CN"/>
              </w:rPr>
              <w:t>很短，对外环境的影响很小</w:t>
            </w:r>
            <w:r>
              <w:rPr>
                <w:rFonts w:hint="default" w:ascii="Times New Roman" w:hAnsi="Times New Roman" w:cs="Times New Roman"/>
                <w:bCs/>
                <w:color w:val="auto"/>
                <w:spacing w:val="0"/>
                <w:sz w:val="24"/>
                <w:szCs w:val="24"/>
                <w:highlight w:val="none"/>
              </w:rPr>
              <w:t>。故本次环评不对施工期环境影响进行评价。</w:t>
            </w:r>
          </w:p>
        </w:tc>
      </w:tr>
      <w:tr w14:paraId="497FD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 w:type="dxa"/>
            <w:noWrap w:val="0"/>
            <w:tcMar>
              <w:left w:w="28" w:type="dxa"/>
              <w:right w:w="28" w:type="dxa"/>
            </w:tcMar>
            <w:vAlign w:val="center"/>
          </w:tcPr>
          <w:p w14:paraId="0DA408E7">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6ACAC5D2">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期环</w:t>
            </w:r>
          </w:p>
          <w:p w14:paraId="17E09CE2">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54EDB08E">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响和</w:t>
            </w:r>
          </w:p>
          <w:p w14:paraId="782ECE57">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保护</w:t>
            </w:r>
          </w:p>
          <w:p w14:paraId="272E6F93">
            <w:pPr>
              <w:pStyle w:val="17"/>
              <w:adjustRightInd w:val="0"/>
              <w:snapToGrid w:val="0"/>
              <w:spacing w:before="0" w:beforeAutospacing="0" w:after="0" w:afterAutospacing="0"/>
              <w:jc w:val="center"/>
              <w:rPr>
                <w:rFonts w:hint="eastAsia" w:cs="宋体"/>
                <w:color w:val="auto"/>
                <w:kern w:val="2"/>
                <w:sz w:val="24"/>
                <w:szCs w:val="24"/>
              </w:rPr>
            </w:pPr>
            <w:r>
              <w:rPr>
                <w:rFonts w:hint="eastAsia" w:ascii="宋体" w:hAnsi="宋体" w:cs="宋体"/>
                <w:bCs/>
                <w:color w:val="auto"/>
                <w:sz w:val="24"/>
                <w:szCs w:val="24"/>
              </w:rPr>
              <w:t>措施</w:t>
            </w:r>
          </w:p>
        </w:tc>
        <w:tc>
          <w:tcPr>
            <w:tcW w:w="8627" w:type="dxa"/>
            <w:noWrap w:val="0"/>
            <w:vAlign w:val="center"/>
          </w:tcPr>
          <w:p w14:paraId="72E38E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auto"/>
                <w:spacing w:val="0"/>
                <w:sz w:val="24"/>
                <w:szCs w:val="24"/>
              </w:rPr>
            </w:pPr>
            <w:r>
              <w:rPr>
                <w:rFonts w:hint="default" w:ascii="Times New Roman" w:hAnsi="Times New Roman" w:cs="Times New Roman"/>
                <w:b/>
                <w:bCs w:val="0"/>
                <w:color w:val="auto"/>
                <w:spacing w:val="0"/>
                <w:sz w:val="24"/>
                <w:szCs w:val="24"/>
              </w:rPr>
              <w:t>4.</w:t>
            </w:r>
            <w:r>
              <w:rPr>
                <w:rFonts w:hint="eastAsia" w:cs="Times New Roman"/>
                <w:b/>
                <w:bCs w:val="0"/>
                <w:color w:val="auto"/>
                <w:spacing w:val="0"/>
                <w:sz w:val="24"/>
                <w:szCs w:val="24"/>
                <w:lang w:val="en-US" w:eastAsia="zh-CN"/>
              </w:rPr>
              <w:t>2运营</w:t>
            </w:r>
            <w:r>
              <w:rPr>
                <w:rFonts w:hint="default" w:ascii="Times New Roman" w:hAnsi="Times New Roman" w:cs="Times New Roman"/>
                <w:b/>
                <w:bCs w:val="0"/>
                <w:color w:val="auto"/>
                <w:spacing w:val="0"/>
                <w:sz w:val="24"/>
                <w:szCs w:val="24"/>
              </w:rPr>
              <w:t>期环境影响及保护措施</w:t>
            </w:r>
          </w:p>
          <w:p w14:paraId="7B58C591">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textAlignment w:val="auto"/>
              <w:rPr>
                <w:rFonts w:hint="default" w:ascii="Times New Roman" w:hAnsi="Times New Roman" w:cs="Times New Roman"/>
                <w:b/>
                <w:bCs w:val="0"/>
                <w:color w:val="auto"/>
                <w:spacing w:val="0"/>
                <w:sz w:val="24"/>
                <w:szCs w:val="24"/>
              </w:rPr>
            </w:pPr>
            <w:r>
              <w:rPr>
                <w:rFonts w:hint="default" w:ascii="Times New Roman" w:hAnsi="Times New Roman" w:cs="Times New Roman"/>
                <w:b/>
                <w:bCs w:val="0"/>
                <w:color w:val="auto"/>
                <w:spacing w:val="0"/>
                <w:sz w:val="24"/>
                <w:szCs w:val="24"/>
              </w:rPr>
              <w:t>4.2.1废气环境影响和保护措施</w:t>
            </w:r>
          </w:p>
          <w:p w14:paraId="41376A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rPr>
              <w:t>项目不设置食堂，不涉及餐饮油烟。项目废气主要为宠物的排泄物所产生的臭味、</w:t>
            </w:r>
            <w:r>
              <w:rPr>
                <w:rFonts w:hint="eastAsia" w:cs="Times New Roman"/>
                <w:b w:val="0"/>
                <w:bCs/>
                <w:color w:val="auto"/>
                <w:spacing w:val="0"/>
                <w:sz w:val="24"/>
                <w:szCs w:val="24"/>
                <w:highlight w:val="none"/>
                <w:lang w:eastAsia="zh-CN"/>
              </w:rPr>
              <w:t>医疗废物贮存点</w:t>
            </w:r>
            <w:r>
              <w:rPr>
                <w:rFonts w:hint="default" w:ascii="Times New Roman" w:hAnsi="Times New Roman" w:cs="Times New Roman"/>
                <w:b w:val="0"/>
                <w:bCs/>
                <w:color w:val="auto"/>
                <w:spacing w:val="0"/>
                <w:sz w:val="24"/>
                <w:szCs w:val="24"/>
                <w:highlight w:val="none"/>
              </w:rPr>
              <w:t>异味和宠物自身产生的少量异味及污水处理设施异味。</w:t>
            </w:r>
          </w:p>
          <w:p w14:paraId="7301A5F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kern w:val="3"/>
                <w:sz w:val="24"/>
                <w:szCs w:val="24"/>
                <w:highlight w:val="none"/>
              </w:rPr>
            </w:pPr>
            <w:r>
              <w:rPr>
                <w:rFonts w:hint="default" w:ascii="Times New Roman" w:hAnsi="Times New Roman" w:cs="Times New Roman"/>
                <w:b w:val="0"/>
                <w:bCs/>
                <w:color w:val="auto"/>
                <w:spacing w:val="0"/>
                <w:kern w:val="3"/>
                <w:sz w:val="24"/>
                <w:szCs w:val="24"/>
                <w:highlight w:val="none"/>
              </w:rPr>
              <w:t>宠物的排泄物所产生的臭味及宠物自身的异味</w:t>
            </w:r>
          </w:p>
          <w:p w14:paraId="5A7D16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kern w:val="3"/>
                <w:sz w:val="24"/>
                <w:szCs w:val="24"/>
                <w:highlight w:val="none"/>
              </w:rPr>
              <w:t>宠物医院在猫笼内设置有猫砂盒或用于收集猫粪和猫尿，狗笼内设置排便与排尿盒，项目接诊的宠物产生</w:t>
            </w:r>
            <w:r>
              <w:rPr>
                <w:rFonts w:hint="default" w:ascii="Times New Roman" w:hAnsi="Times New Roman" w:eastAsia="宋体" w:cs="Times New Roman"/>
                <w:b w:val="0"/>
                <w:bCs/>
                <w:color w:val="auto"/>
                <w:spacing w:val="0"/>
                <w:kern w:val="3"/>
                <w:sz w:val="24"/>
                <w:szCs w:val="24"/>
                <w:highlight w:val="none"/>
              </w:rPr>
              <w:t>的</w:t>
            </w:r>
            <w:r>
              <w:rPr>
                <w:rFonts w:hint="default" w:ascii="Times New Roman" w:hAnsi="Times New Roman" w:eastAsia="宋体" w:cs="Times New Roman"/>
                <w:b w:val="0"/>
                <w:bCs/>
                <w:color w:val="auto"/>
                <w:spacing w:val="0"/>
                <w:kern w:val="3"/>
                <w:sz w:val="24"/>
                <w:szCs w:val="24"/>
                <w:highlight w:val="none"/>
                <w:lang w:val="en-US" w:eastAsia="zh-CN"/>
              </w:rPr>
              <w:t>宠物</w:t>
            </w:r>
            <w:r>
              <w:rPr>
                <w:rFonts w:hint="default" w:ascii="Times New Roman" w:hAnsi="Times New Roman" w:eastAsia="宋体" w:cs="Times New Roman"/>
                <w:b w:val="0"/>
                <w:bCs/>
                <w:color w:val="auto"/>
                <w:spacing w:val="0"/>
                <w:kern w:val="3"/>
                <w:sz w:val="24"/>
                <w:szCs w:val="24"/>
                <w:highlight w:val="none"/>
              </w:rPr>
              <w:t>排</w:t>
            </w:r>
            <w:r>
              <w:rPr>
                <w:rFonts w:hint="default" w:ascii="Times New Roman" w:hAnsi="Times New Roman" w:cs="Times New Roman"/>
                <w:b w:val="0"/>
                <w:bCs/>
                <w:color w:val="auto"/>
                <w:spacing w:val="0"/>
                <w:kern w:val="3"/>
                <w:sz w:val="24"/>
                <w:szCs w:val="24"/>
                <w:highlight w:val="none"/>
              </w:rPr>
              <w:t>泄物日常由专人及时进行更换清理。项目设置的住院病房通过空调系统通风换气</w:t>
            </w:r>
            <w:r>
              <w:rPr>
                <w:rFonts w:hint="default" w:ascii="Times New Roman" w:hAnsi="Times New Roman" w:cs="Times New Roman"/>
                <w:b w:val="0"/>
                <w:bCs/>
                <w:color w:val="auto"/>
                <w:spacing w:val="0"/>
                <w:kern w:val="3"/>
                <w:sz w:val="24"/>
                <w:szCs w:val="24"/>
                <w:highlight w:val="none"/>
                <w:lang w:eastAsia="zh-CN"/>
              </w:rPr>
              <w:t>；</w:t>
            </w:r>
            <w:r>
              <w:rPr>
                <w:rFonts w:hint="default" w:ascii="Times New Roman" w:hAnsi="Times New Roman" w:cs="Times New Roman"/>
                <w:b w:val="0"/>
                <w:bCs/>
                <w:color w:val="auto"/>
                <w:spacing w:val="0"/>
                <w:kern w:val="3"/>
                <w:sz w:val="24"/>
                <w:szCs w:val="24"/>
                <w:highlight w:val="none"/>
              </w:rPr>
              <w:t>病房内设有紫外线灯管对病房进行消毒杀菌，同时每天使用</w:t>
            </w:r>
            <w:r>
              <w:rPr>
                <w:rFonts w:hint="eastAsia" w:cs="Times New Roman"/>
                <w:b w:val="0"/>
                <w:bCs/>
                <w:color w:val="auto"/>
                <w:spacing w:val="0"/>
                <w:kern w:val="3"/>
                <w:sz w:val="24"/>
                <w:szCs w:val="24"/>
                <w:highlight w:val="none"/>
                <w:lang w:eastAsia="zh-CN"/>
              </w:rPr>
              <w:t>新洁尔灭</w:t>
            </w:r>
            <w:r>
              <w:rPr>
                <w:rFonts w:hint="default" w:ascii="Times New Roman" w:hAnsi="Times New Roman" w:cs="Times New Roman"/>
                <w:b w:val="0"/>
                <w:bCs/>
                <w:color w:val="auto"/>
                <w:spacing w:val="0"/>
                <w:kern w:val="3"/>
                <w:sz w:val="24"/>
                <w:szCs w:val="24"/>
                <w:highlight w:val="none"/>
              </w:rPr>
              <w:t>等对医院进行消毒，通过加强通风换气，可减少恶臭污染，对大气的影响较小。</w:t>
            </w:r>
          </w:p>
          <w:p w14:paraId="3E7034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lang w:val="en-US" w:eastAsia="zh-CN"/>
              </w:rPr>
              <w:t>2</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eastAsia="zh-CN"/>
              </w:rPr>
              <w:t>医疗废物贮存点</w:t>
            </w:r>
            <w:r>
              <w:rPr>
                <w:rFonts w:hint="default" w:ascii="Times New Roman" w:hAnsi="Times New Roman" w:cs="Times New Roman"/>
                <w:b w:val="0"/>
                <w:bCs/>
                <w:color w:val="auto"/>
                <w:spacing w:val="0"/>
                <w:sz w:val="24"/>
                <w:szCs w:val="24"/>
                <w:highlight w:val="none"/>
              </w:rPr>
              <w:t>异味</w:t>
            </w:r>
          </w:p>
          <w:p w14:paraId="30371E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rPr>
              <w:t>本评价要求医疗废物采用专用的医废袋</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桶</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进行收集，当日无法清运则放置于</w:t>
            </w:r>
            <w:r>
              <w:rPr>
                <w:rFonts w:hint="eastAsia" w:cs="Times New Roman"/>
                <w:b w:val="0"/>
                <w:bCs/>
                <w:color w:val="auto"/>
                <w:spacing w:val="0"/>
                <w:sz w:val="24"/>
                <w:szCs w:val="24"/>
                <w:highlight w:val="none"/>
                <w:lang w:eastAsia="zh-CN"/>
              </w:rPr>
              <w:t>医疗废物贮存点</w:t>
            </w:r>
            <w:r>
              <w:rPr>
                <w:rFonts w:hint="default" w:ascii="Times New Roman" w:hAnsi="Times New Roman" w:cs="Times New Roman"/>
                <w:b w:val="0"/>
                <w:bCs/>
                <w:color w:val="auto"/>
                <w:spacing w:val="0"/>
                <w:sz w:val="24"/>
                <w:szCs w:val="24"/>
                <w:highlight w:val="none"/>
              </w:rPr>
              <w:t>内，储存期不能超过两天。每天做好医疗废物的密封、清运和消毒工作，同时加强医疗废物管理，做好</w:t>
            </w:r>
            <w:r>
              <w:rPr>
                <w:rFonts w:hint="eastAsia" w:cs="Times New Roman"/>
                <w:b w:val="0"/>
                <w:bCs/>
                <w:color w:val="auto"/>
                <w:spacing w:val="0"/>
                <w:sz w:val="24"/>
                <w:szCs w:val="24"/>
                <w:highlight w:val="none"/>
                <w:lang w:val="en-US" w:eastAsia="zh-CN"/>
              </w:rPr>
              <w:t>贮存点</w:t>
            </w:r>
            <w:r>
              <w:rPr>
                <w:rFonts w:hint="default" w:ascii="Times New Roman" w:hAnsi="Times New Roman" w:cs="Times New Roman"/>
                <w:b w:val="0"/>
                <w:bCs/>
                <w:color w:val="auto"/>
                <w:spacing w:val="0"/>
                <w:sz w:val="24"/>
                <w:szCs w:val="24"/>
                <w:highlight w:val="none"/>
              </w:rPr>
              <w:t>的地面防渗处理，做好</w:t>
            </w:r>
            <w:r>
              <w:rPr>
                <w:rFonts w:hint="eastAsia" w:cs="Times New Roman"/>
                <w:b w:val="0"/>
                <w:bCs/>
                <w:color w:val="auto"/>
                <w:spacing w:val="0"/>
                <w:sz w:val="24"/>
                <w:szCs w:val="24"/>
                <w:highlight w:val="none"/>
                <w:lang w:val="en-US" w:eastAsia="zh-CN"/>
              </w:rPr>
              <w:t>贮存点</w:t>
            </w:r>
            <w:r>
              <w:rPr>
                <w:rFonts w:hint="default" w:ascii="Times New Roman" w:hAnsi="Times New Roman" w:cs="Times New Roman"/>
                <w:b w:val="0"/>
                <w:bCs/>
                <w:color w:val="auto"/>
                <w:spacing w:val="0"/>
                <w:sz w:val="24"/>
                <w:szCs w:val="24"/>
                <w:highlight w:val="none"/>
              </w:rPr>
              <w:t>的防鼠、防蚊蝇等措施，定期进行</w:t>
            </w:r>
            <w:r>
              <w:rPr>
                <w:rFonts w:hint="eastAsia" w:cs="Times New Roman"/>
                <w:b w:val="0"/>
                <w:bCs/>
                <w:color w:val="auto"/>
                <w:spacing w:val="0"/>
                <w:sz w:val="24"/>
                <w:szCs w:val="24"/>
                <w:highlight w:val="none"/>
                <w:lang w:eastAsia="zh-CN"/>
              </w:rPr>
              <w:t>医疗废物贮存点</w:t>
            </w:r>
            <w:r>
              <w:rPr>
                <w:rFonts w:hint="default" w:ascii="Times New Roman" w:hAnsi="Times New Roman" w:cs="Times New Roman"/>
                <w:b w:val="0"/>
                <w:bCs/>
                <w:color w:val="auto"/>
                <w:spacing w:val="0"/>
                <w:sz w:val="24"/>
                <w:szCs w:val="24"/>
                <w:highlight w:val="none"/>
              </w:rPr>
              <w:t>设施、设备的清洁和消毒工作</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消毒方式为喷洒消毒剂消毒</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w:t>
            </w:r>
          </w:p>
          <w:p w14:paraId="3B1034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3</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污水处理设施异味</w:t>
            </w:r>
          </w:p>
          <w:p w14:paraId="01A63A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cs="Times New Roman"/>
                <w:b w:val="0"/>
                <w:bCs/>
                <w:color w:val="auto"/>
                <w:spacing w:val="0"/>
                <w:sz w:val="24"/>
                <w:szCs w:val="24"/>
                <w:highlight w:val="none"/>
              </w:rPr>
              <w:t>项目医疗废水采用污水处理设施处理，废水采用消毒</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二氧化氯消毒片</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工艺处理</w:t>
            </w:r>
            <w:r>
              <w:rPr>
                <w:rFonts w:hint="default" w:ascii="Times New Roman" w:hAnsi="Times New Roman" w:cs="Times New Roman"/>
                <w:b w:val="0"/>
                <w:bCs/>
                <w:color w:val="auto"/>
                <w:spacing w:val="0"/>
                <w:sz w:val="24"/>
                <w:szCs w:val="24"/>
                <w:highlight w:val="none"/>
              </w:rPr>
              <w:t>。项目设置了</w:t>
            </w:r>
            <w:r>
              <w:rPr>
                <w:rFonts w:hint="eastAsia" w:cs="Times New Roman"/>
                <w:b w:val="0"/>
                <w:bCs/>
                <w:color w:val="auto"/>
                <w:spacing w:val="0"/>
                <w:sz w:val="24"/>
                <w:szCs w:val="24"/>
                <w:highlight w:val="none"/>
                <w:lang w:val="en-US" w:eastAsia="zh-CN"/>
              </w:rPr>
              <w:t>2</w:t>
            </w:r>
            <w:r>
              <w:rPr>
                <w:rFonts w:hint="default" w:ascii="Times New Roman" w:hAnsi="Times New Roman" w:cs="Times New Roman"/>
                <w:b w:val="0"/>
                <w:bCs/>
                <w:color w:val="auto"/>
                <w:spacing w:val="0"/>
                <w:sz w:val="24"/>
                <w:szCs w:val="24"/>
                <w:highlight w:val="none"/>
              </w:rPr>
              <w:t>台污水处理设施，</w:t>
            </w:r>
            <w:r>
              <w:rPr>
                <w:rFonts w:hint="eastAsia" w:cs="Times New Roman"/>
                <w:b w:val="0"/>
                <w:bCs/>
                <w:color w:val="auto"/>
                <w:spacing w:val="0"/>
                <w:sz w:val="24"/>
                <w:szCs w:val="24"/>
                <w:highlight w:val="none"/>
                <w:lang w:val="en-US" w:eastAsia="zh-CN"/>
              </w:rPr>
              <w:t>分别</w:t>
            </w:r>
            <w:r>
              <w:rPr>
                <w:rFonts w:hint="default" w:ascii="Times New Roman" w:hAnsi="Times New Roman" w:cs="Times New Roman"/>
                <w:b w:val="0"/>
                <w:bCs/>
                <w:color w:val="auto"/>
                <w:spacing w:val="0"/>
                <w:sz w:val="24"/>
                <w:szCs w:val="24"/>
                <w:highlight w:val="none"/>
              </w:rPr>
              <w:t>位于</w:t>
            </w:r>
            <w:r>
              <w:rPr>
                <w:rFonts w:hint="eastAsia" w:ascii="Times New Roman" w:hAnsi="Times New Roman" w:cs="Times New Roman"/>
                <w:b w:val="0"/>
                <w:bCs/>
                <w:color w:val="auto"/>
                <w:spacing w:val="0"/>
                <w:sz w:val="24"/>
                <w:szCs w:val="24"/>
                <w:highlight w:val="none"/>
                <w:lang w:val="en-US" w:eastAsia="zh-CN"/>
              </w:rPr>
              <w:t>化验室</w:t>
            </w:r>
            <w:r>
              <w:rPr>
                <w:rFonts w:hint="eastAsia" w:cs="Times New Roman"/>
                <w:b w:val="0"/>
                <w:bCs/>
                <w:color w:val="auto"/>
                <w:spacing w:val="0"/>
                <w:sz w:val="24"/>
                <w:szCs w:val="24"/>
                <w:highlight w:val="none"/>
                <w:lang w:val="en-US" w:eastAsia="zh-CN"/>
              </w:rPr>
              <w:t>和手术室</w:t>
            </w:r>
            <w:r>
              <w:rPr>
                <w:rFonts w:hint="default" w:ascii="Times New Roman" w:hAnsi="Times New Roman" w:cs="Times New Roman"/>
                <w:b w:val="0"/>
                <w:bCs/>
                <w:color w:val="auto"/>
                <w:spacing w:val="0"/>
                <w:sz w:val="24"/>
                <w:szCs w:val="24"/>
                <w:highlight w:val="none"/>
              </w:rPr>
              <w:t>，位于室内。医疗废水在污水处理设施内停留时间较短，且污水处理设施密闭，则产生异味强度较小，因此不会对周边环境产生影响。本评价要求建设单位加强管理，确保污水处理设施异味不扰民。</w:t>
            </w:r>
          </w:p>
          <w:p w14:paraId="715564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rPr>
            </w:pPr>
            <w:r>
              <w:rPr>
                <w:rFonts w:hint="default" w:ascii="Times New Roman" w:hAnsi="Times New Roman" w:cs="Times New Roman"/>
                <w:b w:val="0"/>
                <w:bCs/>
                <w:color w:val="auto"/>
                <w:spacing w:val="0"/>
                <w:sz w:val="24"/>
                <w:szCs w:val="24"/>
                <w:highlight w:val="none"/>
              </w:rPr>
              <w:t>综上所述，项目营运期室内空气经过空调系统加强通风、按时进行紫外线消毒后，能有效降低空气中的异味，对周围环境影响较小</w:t>
            </w:r>
            <w:r>
              <w:rPr>
                <w:rFonts w:hint="eastAsia"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本评价不进行验收监测的要求</w:t>
            </w:r>
            <w:r>
              <w:rPr>
                <w:rFonts w:hint="default" w:ascii="Times New Roman" w:hAnsi="Times New Roman" w:cs="Times New Roman"/>
                <w:b w:val="0"/>
                <w:bCs/>
                <w:color w:val="auto"/>
                <w:spacing w:val="0"/>
                <w:sz w:val="24"/>
                <w:szCs w:val="24"/>
                <w:highlight w:val="none"/>
              </w:rPr>
              <w:t>。</w:t>
            </w:r>
          </w:p>
          <w:p w14:paraId="4D2C074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4.2.2 废水环境影响及保护措施</w:t>
            </w:r>
          </w:p>
          <w:p w14:paraId="590A9A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4.2.2.1 废水产生源强</w:t>
            </w:r>
          </w:p>
          <w:p w14:paraId="22C7C8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rPr>
              <w:t>项目营运期废水主要是医疗废水</w:t>
            </w:r>
            <w:r>
              <w:rPr>
                <w:rFonts w:hint="eastAsia" w:ascii="Times New Roman" w:hAnsi="Times New Roman" w:eastAsia="宋体" w:cs="Times New Roman"/>
                <w:b w:val="0"/>
                <w:bCs/>
                <w:color w:val="auto"/>
                <w:spacing w:val="0"/>
                <w:sz w:val="24"/>
                <w:szCs w:val="24"/>
                <w:highlight w:val="none"/>
                <w:lang w:eastAsia="zh-CN"/>
              </w:rPr>
              <w:t>、</w:t>
            </w:r>
            <w:r>
              <w:rPr>
                <w:rFonts w:hint="eastAsia" w:ascii="Times New Roman" w:hAnsi="Times New Roman" w:eastAsia="宋体" w:cs="Times New Roman"/>
                <w:b w:val="0"/>
                <w:bCs/>
                <w:color w:val="auto"/>
                <w:spacing w:val="0"/>
                <w:sz w:val="24"/>
                <w:szCs w:val="24"/>
                <w:highlight w:val="none"/>
                <w:lang w:val="en-US" w:eastAsia="zh-CN"/>
              </w:rPr>
              <w:t>其他废水</w:t>
            </w:r>
            <w:r>
              <w:rPr>
                <w:rFonts w:hint="default" w:ascii="Times New Roman" w:hAnsi="Times New Roman" w:eastAsia="宋体" w:cs="Times New Roman"/>
                <w:b w:val="0"/>
                <w:bCs/>
                <w:color w:val="auto"/>
                <w:spacing w:val="0"/>
                <w:sz w:val="24"/>
                <w:szCs w:val="24"/>
                <w:highlight w:val="none"/>
              </w:rPr>
              <w:t>及生活污水。医疗废水包括诊疗废水、</w:t>
            </w:r>
            <w:r>
              <w:rPr>
                <w:rFonts w:hint="eastAsia" w:ascii="Times New Roman" w:hAnsi="Times New Roman" w:eastAsia="宋体" w:cs="Times New Roman"/>
                <w:b w:val="0"/>
                <w:bCs/>
                <w:color w:val="auto"/>
                <w:spacing w:val="0"/>
                <w:sz w:val="24"/>
                <w:szCs w:val="24"/>
                <w:highlight w:val="none"/>
                <w:lang w:val="en-US" w:eastAsia="zh-CN"/>
              </w:rPr>
              <w:t>手术</w:t>
            </w:r>
            <w:r>
              <w:rPr>
                <w:rFonts w:hint="default" w:ascii="Times New Roman" w:hAnsi="Times New Roman" w:eastAsia="宋体" w:cs="Times New Roman"/>
                <w:b w:val="0"/>
                <w:bCs/>
                <w:color w:val="auto"/>
                <w:spacing w:val="0"/>
                <w:sz w:val="24"/>
                <w:szCs w:val="24"/>
                <w:highlight w:val="none"/>
              </w:rPr>
              <w:t>废水、手术器械清洗废水</w:t>
            </w:r>
            <w:r>
              <w:rPr>
                <w:rFonts w:hint="eastAsia" w:ascii="Times New Roman" w:hAnsi="Times New Roman" w:eastAsia="宋体" w:cs="Times New Roman"/>
                <w:b w:val="0"/>
                <w:bCs/>
                <w:color w:val="auto"/>
                <w:spacing w:val="0"/>
                <w:sz w:val="24"/>
                <w:szCs w:val="24"/>
                <w:highlight w:val="none"/>
                <w:lang w:val="en-US" w:eastAsia="zh-CN"/>
              </w:rPr>
              <w:t>、宠物笼清洗废水</w:t>
            </w:r>
            <w:r>
              <w:rPr>
                <w:rFonts w:hint="eastAsia" w:ascii="Times New Roman" w:hAnsi="Times New Roman" w:eastAsia="宋体" w:cs="Times New Roman"/>
                <w:b w:val="0"/>
                <w:bCs/>
                <w:color w:val="auto"/>
                <w:spacing w:val="0"/>
                <w:sz w:val="24"/>
                <w:szCs w:val="24"/>
                <w:highlight w:val="none"/>
                <w:lang w:eastAsia="zh-CN"/>
              </w:rPr>
              <w:t>；</w:t>
            </w:r>
            <w:r>
              <w:rPr>
                <w:rFonts w:hint="eastAsia" w:ascii="Times New Roman" w:hAnsi="Times New Roman" w:eastAsia="宋体" w:cs="Times New Roman"/>
                <w:b w:val="0"/>
                <w:bCs/>
                <w:color w:val="auto"/>
                <w:spacing w:val="0"/>
                <w:sz w:val="24"/>
                <w:szCs w:val="24"/>
                <w:highlight w:val="none"/>
                <w:lang w:val="en-US" w:eastAsia="zh-CN"/>
              </w:rPr>
              <w:t>其他废水包括宠物洗浴废水、地面清洁废水、洗衣废水</w:t>
            </w: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生活污水包括职工生活污水、流动顾客</w:t>
            </w:r>
            <w:r>
              <w:rPr>
                <w:rFonts w:hint="eastAsia" w:ascii="Times New Roman" w:hAnsi="Times New Roman" w:eastAsia="宋体" w:cs="Times New Roman"/>
                <w:b w:val="0"/>
                <w:bCs/>
                <w:color w:val="auto"/>
                <w:spacing w:val="0"/>
                <w:sz w:val="24"/>
                <w:szCs w:val="24"/>
                <w:highlight w:val="none"/>
                <w:lang w:val="en-US" w:eastAsia="zh-CN"/>
              </w:rPr>
              <w:t>生活污水。</w:t>
            </w:r>
          </w:p>
          <w:p w14:paraId="147DBE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（1）医疗废水</w:t>
            </w:r>
          </w:p>
          <w:p w14:paraId="647AFD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根据水平衡分析，本项目手术废水、手术器械清洗废水的排放量为</w:t>
            </w:r>
            <w:r>
              <w:rPr>
                <w:rFonts w:hint="eastAsia"/>
                <w:color w:val="auto"/>
                <w:sz w:val="24"/>
                <w:szCs w:val="24"/>
                <w:highlight w:val="none"/>
                <w:lang w:val="en-US" w:eastAsia="zh-CN"/>
              </w:rPr>
              <w:t>0.113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41.063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收集后进入1#消毒设施进行预处理；诊疗废水</w:t>
            </w:r>
            <w:r>
              <w:rPr>
                <w:rFonts w:hint="eastAsia" w:ascii="Times New Roman" w:hAnsi="Times New Roman" w:eastAsia="宋体" w:cs="Times New Roman"/>
                <w:b w:val="0"/>
                <w:bCs/>
                <w:color w:val="auto"/>
                <w:spacing w:val="0"/>
                <w:sz w:val="24"/>
                <w:szCs w:val="24"/>
                <w:highlight w:val="none"/>
                <w:lang w:val="en-US" w:eastAsia="zh-CN"/>
              </w:rPr>
              <w:t>、宠物笼清洗废水</w:t>
            </w:r>
            <w:r>
              <w:rPr>
                <w:rFonts w:hint="eastAsia" w:ascii="Times New Roman" w:hAnsi="Times New Roman" w:eastAsia="宋体"/>
                <w:color w:val="auto"/>
                <w:sz w:val="24"/>
                <w:szCs w:val="24"/>
                <w:highlight w:val="none"/>
                <w:lang w:val="en-US" w:eastAsia="zh-CN"/>
              </w:rPr>
              <w:t>的排放量为</w:t>
            </w:r>
            <w:r>
              <w:rPr>
                <w:rFonts w:hint="eastAsia"/>
                <w:color w:val="auto"/>
                <w:sz w:val="24"/>
                <w:szCs w:val="24"/>
                <w:highlight w:val="none"/>
                <w:lang w:val="en-US" w:eastAsia="zh-CN"/>
              </w:rPr>
              <w:t>0.468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170.82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收集后进入2#消毒设施进行预处理。</w:t>
            </w:r>
          </w:p>
          <w:p w14:paraId="285F40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0"/>
                <w:sz w:val="24"/>
                <w:szCs w:val="24"/>
              </w:rPr>
            </w:pPr>
            <w:r>
              <w:rPr>
                <w:rFonts w:hint="eastAsia" w:ascii="Times New Roman" w:hAnsi="Times New Roman" w:eastAsia="宋体" w:cs="Times New Roman"/>
                <w:color w:val="auto"/>
                <w:sz w:val="24"/>
                <w:highlight w:val="none"/>
                <w:lang w:val="en-US" w:eastAsia="zh-CN"/>
              </w:rPr>
              <w:t>本项目医疗废水水质浓度参考《医院污水处理工程技术规范》（HJ 2029-2013）中经验数据进行分析，即</w:t>
            </w:r>
            <w:r>
              <w:rPr>
                <w:rFonts w:hint="eastAsia" w:ascii="Times New Roman" w:hAnsi="Times New Roman" w:eastAsia="宋体" w:cs="Times New Roman"/>
                <w:color w:val="auto"/>
                <w:sz w:val="24"/>
                <w:szCs w:val="24"/>
                <w:lang w:eastAsia="zh-CN"/>
              </w:rPr>
              <w:t>主要污染指标浓度为：</w:t>
            </w:r>
            <w:r>
              <w:rPr>
                <w:rFonts w:hint="eastAsia" w:ascii="Times New Roman" w:hAnsi="Times New Roman" w:eastAsia="宋体" w:cs="Times New Roman"/>
                <w:color w:val="auto"/>
                <w:sz w:val="24"/>
                <w:highlight w:val="none"/>
                <w:lang w:val="en-US" w:eastAsia="zh-CN"/>
              </w:rPr>
              <w:t>粪大肠菌群：1.6×10</w:t>
            </w:r>
            <w:r>
              <w:rPr>
                <w:rFonts w:hint="eastAsia" w:ascii="Times New Roman" w:hAnsi="Times New Roman" w:eastAsia="宋体" w:cs="Times New Roman"/>
                <w:color w:val="auto"/>
                <w:sz w:val="24"/>
                <w:highlight w:val="none"/>
                <w:vertAlign w:val="superscript"/>
                <w:lang w:val="en-US" w:eastAsia="zh-CN"/>
              </w:rPr>
              <w:t>8</w:t>
            </w:r>
            <w:r>
              <w:rPr>
                <w:rFonts w:hint="eastAsia" w:ascii="Times New Roman" w:hAnsi="Times New Roman" w:eastAsia="宋体" w:cs="Times New Roman"/>
                <w:color w:val="auto"/>
                <w:sz w:val="24"/>
                <w:highlight w:val="none"/>
                <w:lang w:val="en-US" w:eastAsia="zh-CN"/>
              </w:rPr>
              <w:t>个/L。</w:t>
            </w:r>
            <w:r>
              <w:rPr>
                <w:rFonts w:hint="eastAsia" w:ascii="Times New Roman" w:hAnsi="Times New Roman" w:eastAsia="宋体"/>
                <w:color w:val="auto"/>
                <w:sz w:val="24"/>
                <w:szCs w:val="24"/>
                <w:highlight w:val="none"/>
                <w:lang w:val="en-US" w:eastAsia="zh-CN"/>
              </w:rPr>
              <w:t>本项目医疗废水经相应的消毒设施处理后进入生化池，总余氯污染因子在消毒处理后产生，为保证废水消毒效果，对消毒设备废水污染物粪大肠菌群、总余氯排放限值进行控制，参照《医疗机构水污染物排放标准》</w:t>
            </w:r>
            <w:r>
              <w:rPr>
                <w:rFonts w:hint="eastAsia"/>
                <w:color w:val="auto"/>
                <w:sz w:val="24"/>
                <w:szCs w:val="24"/>
                <w:highlight w:val="none"/>
                <w:lang w:val="en-US" w:eastAsia="zh-CN"/>
              </w:rPr>
              <w:t>（GB 18466-2005）</w:t>
            </w:r>
            <w:r>
              <w:rPr>
                <w:rFonts w:hint="eastAsia" w:ascii="Times New Roman" w:hAnsi="Times New Roman" w:eastAsia="宋体"/>
                <w:color w:val="auto"/>
                <w:sz w:val="24"/>
                <w:szCs w:val="24"/>
                <w:highlight w:val="none"/>
                <w:lang w:val="en-US" w:eastAsia="zh-CN"/>
              </w:rPr>
              <w:t>，要求总余氯浓度限值2~8mg/L，粪大肠菌群限值5000个/L。</w:t>
            </w:r>
          </w:p>
          <w:p w14:paraId="17529D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（2）其他废水</w:t>
            </w:r>
          </w:p>
          <w:p w14:paraId="23902260">
            <w:pPr>
              <w:pStyle w:val="15"/>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①</w:t>
            </w:r>
            <w:r>
              <w:rPr>
                <w:rFonts w:hint="eastAsia" w:ascii="Times New Roman" w:hAnsi="Times New Roman" w:eastAsia="宋体" w:cs="Times New Roman"/>
                <w:b w:val="0"/>
                <w:bCs w:val="0"/>
                <w:color w:val="auto"/>
                <w:sz w:val="24"/>
                <w:szCs w:val="24"/>
                <w:highlight w:val="none"/>
                <w:lang w:val="en-US" w:eastAsia="zh-CN"/>
              </w:rPr>
              <w:t>宠物洗浴废水</w:t>
            </w:r>
            <w:r>
              <w:rPr>
                <w:rFonts w:hint="eastAsia" w:cs="Times New Roman"/>
                <w:b w:val="0"/>
                <w:bCs w:val="0"/>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根据水平衡分析，本项目</w:t>
            </w:r>
            <w:r>
              <w:rPr>
                <w:rFonts w:hint="eastAsia" w:ascii="Times New Roman" w:hAnsi="Times New Roman" w:eastAsia="宋体" w:cs="Times New Roman"/>
                <w:color w:val="auto"/>
                <w:kern w:val="2"/>
                <w:sz w:val="24"/>
                <w:szCs w:val="24"/>
                <w:highlight w:val="none"/>
                <w:lang w:val="en-US" w:eastAsia="zh-CN" w:bidi="ar-SA"/>
              </w:rPr>
              <w:t>宠物洗浴废水</w:t>
            </w:r>
            <w:r>
              <w:rPr>
                <w:rFonts w:hint="eastAsia" w:ascii="Times New Roman" w:hAnsi="Times New Roman" w:eastAsia="宋体"/>
                <w:color w:val="auto"/>
                <w:sz w:val="24"/>
                <w:szCs w:val="24"/>
                <w:highlight w:val="none"/>
                <w:lang w:val="en-US" w:eastAsia="zh-CN"/>
              </w:rPr>
              <w:t>排放量为</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164.25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主要污染因子为pH、COD、SS、LAS、总磷，</w:t>
            </w:r>
            <w:r>
              <w:rPr>
                <w:rFonts w:hint="eastAsia" w:ascii="Times New Roman" w:hAnsi="Times New Roman" w:eastAsia="宋体" w:cs="Times New Roman"/>
                <w:color w:val="auto"/>
                <w:sz w:val="24"/>
                <w:szCs w:val="24"/>
                <w:highlight w:val="none"/>
                <w:lang w:eastAsia="zh-CN"/>
              </w:rPr>
              <w:t>主要污染指标浓度为：</w:t>
            </w:r>
            <w:r>
              <w:rPr>
                <w:rFonts w:hint="eastAsia" w:ascii="Times New Roman" w:hAnsi="Times New Roman" w:eastAsia="宋体" w:cs="Times New Roman"/>
                <w:color w:val="auto"/>
                <w:sz w:val="24"/>
                <w:szCs w:val="24"/>
                <w:highlight w:val="none"/>
                <w:lang w:val="en-US" w:eastAsia="zh-CN"/>
              </w:rPr>
              <w:t>pH：6~9、</w:t>
            </w:r>
            <w:r>
              <w:rPr>
                <w:rFonts w:hint="eastAsia" w:ascii="Times New Roman" w:hAnsi="Times New Roman" w:eastAsia="宋体" w:cs="Times New Roman"/>
                <w:color w:val="auto"/>
                <w:sz w:val="24"/>
                <w:szCs w:val="24"/>
                <w:highlight w:val="none"/>
                <w:lang w:eastAsia="zh-CN"/>
              </w:rPr>
              <w:t>COD：</w:t>
            </w:r>
            <w:r>
              <w:rPr>
                <w:rFonts w:hint="eastAsia" w:ascii="Times New Roman" w:hAnsi="Times New Roman" w:eastAsia="宋体"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eastAsia="zh-CN"/>
              </w:rPr>
              <w:t>mg/L、SS：</w:t>
            </w:r>
            <w:r>
              <w:rPr>
                <w:rFonts w:hint="eastAsia" w:ascii="Times New Roman" w:hAnsi="Times New Roman" w:eastAsia="宋体" w:cs="Times New Roman"/>
                <w:color w:val="auto"/>
                <w:sz w:val="24"/>
                <w:szCs w:val="24"/>
                <w:highlight w:val="none"/>
                <w:lang w:val="en-US" w:eastAsia="zh-CN"/>
              </w:rPr>
              <w:t>350</w:t>
            </w:r>
            <w:r>
              <w:rPr>
                <w:rFonts w:hint="eastAsia" w:ascii="Times New Roman" w:hAnsi="Times New Roman" w:eastAsia="宋体" w:cs="Times New Roman"/>
                <w:color w:val="auto"/>
                <w:sz w:val="24"/>
                <w:szCs w:val="24"/>
                <w:highlight w:val="none"/>
                <w:lang w:eastAsia="zh-CN"/>
              </w:rPr>
              <w:t>mg/L、</w:t>
            </w:r>
            <w:r>
              <w:rPr>
                <w:rFonts w:hint="eastAsia" w:ascii="Times New Roman" w:hAnsi="Times New Roman" w:eastAsia="宋体" w:cs="Times New Roman"/>
                <w:color w:val="auto"/>
                <w:sz w:val="24"/>
                <w:szCs w:val="24"/>
                <w:highlight w:val="none"/>
                <w:lang w:val="en-US" w:eastAsia="zh-CN"/>
              </w:rPr>
              <w:t>LAS：30</w:t>
            </w:r>
            <w:r>
              <w:rPr>
                <w:rFonts w:hint="eastAsia" w:ascii="Times New Roman" w:hAnsi="Times New Roman" w:eastAsia="宋体" w:cs="Times New Roman"/>
                <w:color w:val="auto"/>
                <w:sz w:val="24"/>
                <w:szCs w:val="24"/>
                <w:highlight w:val="none"/>
                <w:lang w:eastAsia="zh-CN"/>
              </w:rPr>
              <w:t>mg/L、</w:t>
            </w:r>
            <w:r>
              <w:rPr>
                <w:rFonts w:hint="eastAsia" w:ascii="Times New Roman" w:hAnsi="Times New Roman" w:eastAsia="宋体" w:cs="Times New Roman"/>
                <w:color w:val="auto"/>
                <w:sz w:val="24"/>
                <w:szCs w:val="24"/>
                <w:highlight w:val="none"/>
                <w:lang w:val="en-US" w:eastAsia="zh-CN"/>
              </w:rPr>
              <w:t>总磷：10</w:t>
            </w:r>
            <w:r>
              <w:rPr>
                <w:rFonts w:hint="eastAsia" w:ascii="Times New Roman" w:hAnsi="Times New Roman" w:eastAsia="宋体" w:cs="Times New Roman"/>
                <w:color w:val="auto"/>
                <w:sz w:val="24"/>
                <w:szCs w:val="24"/>
                <w:highlight w:val="none"/>
                <w:lang w:eastAsia="zh-CN"/>
              </w:rPr>
              <w:t>mg/L。</w:t>
            </w:r>
          </w:p>
          <w:p w14:paraId="55BA4EC6">
            <w:pPr>
              <w:pStyle w:val="15"/>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rPr>
              <w:t>②</w:t>
            </w:r>
            <w:r>
              <w:rPr>
                <w:rFonts w:hint="default" w:ascii="Times New Roman" w:hAnsi="Times New Roman" w:eastAsia="宋体" w:cs="Times New Roman"/>
                <w:b w:val="0"/>
                <w:bCs w:val="0"/>
                <w:color w:val="auto"/>
                <w:sz w:val="24"/>
                <w:szCs w:val="24"/>
                <w:highlight w:val="none"/>
                <w:lang w:val="en-US" w:eastAsia="zh-CN"/>
              </w:rPr>
              <w:t>地面清洁</w:t>
            </w:r>
            <w:r>
              <w:rPr>
                <w:rFonts w:hint="eastAsia" w:ascii="Times New Roman" w:hAnsi="Times New Roman" w:eastAsia="宋体" w:cs="Times New Roman"/>
                <w:b w:val="0"/>
                <w:bCs w:val="0"/>
                <w:color w:val="auto"/>
                <w:sz w:val="24"/>
                <w:szCs w:val="24"/>
                <w:highlight w:val="none"/>
                <w:lang w:val="en-US" w:eastAsia="zh-CN"/>
              </w:rPr>
              <w:t>废水</w:t>
            </w:r>
            <w:r>
              <w:rPr>
                <w:rFonts w:hint="eastAsia" w:cs="Times New Roman"/>
                <w:b w:val="0"/>
                <w:bCs w:val="0"/>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根据水平衡分析，本项目地面清洁废水排放量为</w:t>
            </w:r>
            <w:r>
              <w:rPr>
                <w:rFonts w:hint="eastAsia" w:ascii="Times New Roman" w:hAnsi="Times New Roman" w:eastAsia="宋体" w:cs="Times New Roman"/>
                <w:color w:val="auto"/>
                <w:sz w:val="24"/>
                <w:szCs w:val="24"/>
                <w:highlight w:val="none"/>
                <w:lang w:val="en-US" w:eastAsia="zh-CN"/>
              </w:rPr>
              <w:t>0.1</w:t>
            </w:r>
            <w:r>
              <w:rPr>
                <w:rFonts w:hint="eastAsia" w:cs="Times New Roman"/>
                <w:color w:val="auto"/>
                <w:sz w:val="24"/>
                <w:szCs w:val="24"/>
                <w:highlight w:val="none"/>
                <w:lang w:val="en-US" w:eastAsia="zh-CN"/>
              </w:rPr>
              <w:t>62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59.13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kern w:val="2"/>
                <w:sz w:val="24"/>
                <w:szCs w:val="24"/>
                <w:highlight w:val="none"/>
                <w:lang w:val="en-US" w:eastAsia="zh-CN" w:bidi="ar-SA"/>
              </w:rPr>
              <w:t>主要污染物为</w:t>
            </w:r>
            <w:r>
              <w:rPr>
                <w:rFonts w:hint="eastAsia" w:ascii="Times New Roman" w:hAnsi="Times New Roman" w:eastAsia="宋体" w:cs="Times New Roman"/>
                <w:color w:val="auto"/>
                <w:sz w:val="24"/>
                <w:szCs w:val="24"/>
                <w:highlight w:val="none"/>
                <w:lang w:val="en-US" w:eastAsia="zh-CN"/>
              </w:rPr>
              <w:t>pH、</w:t>
            </w:r>
            <w:r>
              <w:rPr>
                <w:rFonts w:ascii="Times New Roman" w:hAnsi="Times New Roman" w:eastAsia="宋体" w:cs="Times New Roman"/>
                <w:color w:val="auto"/>
                <w:sz w:val="24"/>
                <w:szCs w:val="24"/>
                <w:highlight w:val="none"/>
              </w:rPr>
              <w:t>COD</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rPr>
              <w:t>SS</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eastAsia="zh-CN"/>
              </w:rPr>
              <w:t>，主要污染指标浓度为：</w:t>
            </w:r>
            <w:r>
              <w:rPr>
                <w:rFonts w:hint="eastAsia" w:ascii="Times New Roman" w:hAnsi="Times New Roman" w:eastAsia="宋体" w:cs="Times New Roman"/>
                <w:color w:val="auto"/>
                <w:sz w:val="24"/>
                <w:szCs w:val="24"/>
                <w:highlight w:val="none"/>
                <w:lang w:val="en-US" w:eastAsia="zh-CN"/>
              </w:rPr>
              <w:t>pH：6~9、</w:t>
            </w:r>
            <w:r>
              <w:rPr>
                <w:rFonts w:hint="eastAsia" w:ascii="Times New Roman" w:hAnsi="Times New Roman" w:eastAsia="宋体" w:cs="Times New Roman"/>
                <w:color w:val="auto"/>
                <w:sz w:val="24"/>
                <w:szCs w:val="24"/>
                <w:highlight w:val="none"/>
                <w:lang w:eastAsia="zh-CN"/>
              </w:rPr>
              <w:t>COD：</w:t>
            </w:r>
            <w:r>
              <w:rPr>
                <w:rFonts w:hint="eastAsia" w:ascii="Times New Roman" w:hAnsi="Times New Roman" w:eastAsia="宋体" w:cs="Times New Roman"/>
                <w:color w:val="auto"/>
                <w:sz w:val="24"/>
                <w:szCs w:val="24"/>
                <w:highlight w:val="none"/>
                <w:lang w:val="en-US" w:eastAsia="zh-CN"/>
              </w:rPr>
              <w:t>400</w:t>
            </w:r>
            <w:r>
              <w:rPr>
                <w:rFonts w:hint="eastAsia" w:ascii="Times New Roman" w:hAnsi="Times New Roman" w:eastAsia="宋体" w:cs="Times New Roman"/>
                <w:color w:val="auto"/>
                <w:sz w:val="24"/>
                <w:szCs w:val="24"/>
                <w:highlight w:val="none"/>
                <w:lang w:eastAsia="zh-CN"/>
              </w:rPr>
              <w:t>mg/L、SS：</w:t>
            </w:r>
            <w:r>
              <w:rPr>
                <w:rFonts w:hint="eastAsia" w:ascii="Times New Roman" w:hAnsi="Times New Roman" w:eastAsia="宋体" w:cs="Times New Roman"/>
                <w:color w:val="auto"/>
                <w:sz w:val="24"/>
                <w:szCs w:val="24"/>
                <w:highlight w:val="none"/>
                <w:lang w:val="en-US" w:eastAsia="zh-CN"/>
              </w:rPr>
              <w:t>350</w:t>
            </w:r>
            <w:r>
              <w:rPr>
                <w:rFonts w:hint="eastAsia" w:ascii="Times New Roman" w:hAnsi="Times New Roman" w:eastAsia="宋体" w:cs="Times New Roman"/>
                <w:color w:val="auto"/>
                <w:sz w:val="24"/>
                <w:szCs w:val="24"/>
                <w:highlight w:val="none"/>
                <w:lang w:eastAsia="zh-CN"/>
              </w:rPr>
              <w:t>mg/L、</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：400</w:t>
            </w:r>
            <w:r>
              <w:rPr>
                <w:rFonts w:hint="eastAsia" w:ascii="Times New Roman" w:hAnsi="Times New Roman" w:eastAsia="宋体" w:cs="Times New Roman"/>
                <w:color w:val="auto"/>
                <w:sz w:val="24"/>
                <w:szCs w:val="24"/>
                <w:highlight w:val="none"/>
                <w:lang w:eastAsia="zh-CN"/>
              </w:rPr>
              <w:t>mg/L。</w:t>
            </w:r>
          </w:p>
          <w:p w14:paraId="14AADB31">
            <w:pPr>
              <w:pStyle w:val="55"/>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w:t>
            </w:r>
            <w:r>
              <w:rPr>
                <w:rFonts w:hint="eastAsia" w:ascii="Times New Roman" w:hAnsi="Times New Roman" w:eastAsia="宋体" w:cs="Times New Roman"/>
                <w:b w:val="0"/>
                <w:bCs w:val="0"/>
                <w:color w:val="auto"/>
                <w:sz w:val="24"/>
                <w:szCs w:val="24"/>
                <w:highlight w:val="none"/>
                <w:lang w:val="en-US" w:eastAsia="zh-CN"/>
              </w:rPr>
              <w:t>洗衣废水</w:t>
            </w:r>
            <w:r>
              <w:rPr>
                <w:rFonts w:hint="eastAsia" w:cs="Times New Roman"/>
                <w:b w:val="0"/>
                <w:bCs w:val="0"/>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根据水平衡分析，本项目</w:t>
            </w:r>
            <w:r>
              <w:rPr>
                <w:rFonts w:hint="eastAsia" w:ascii="Times New Roman" w:hAnsi="Times New Roman" w:eastAsia="宋体" w:cs="Times New Roman"/>
                <w:b w:val="0"/>
                <w:bCs w:val="0"/>
                <w:color w:val="auto"/>
                <w:sz w:val="24"/>
                <w:szCs w:val="24"/>
                <w:highlight w:val="none"/>
                <w:lang w:val="en-US" w:eastAsia="zh-CN"/>
              </w:rPr>
              <w:t>洗衣废水</w:t>
            </w:r>
            <w:r>
              <w:rPr>
                <w:rFonts w:hint="eastAsia" w:ascii="Times New Roman" w:hAnsi="Times New Roman" w:eastAsia="宋体"/>
                <w:color w:val="auto"/>
                <w:sz w:val="24"/>
                <w:szCs w:val="24"/>
                <w:highlight w:val="none"/>
                <w:lang w:val="en-US" w:eastAsia="zh-CN"/>
              </w:rPr>
              <w:t>排放量为</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162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59.13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主要污染因子为pH、COD、SS、LAS、总磷，</w:t>
            </w:r>
            <w:r>
              <w:rPr>
                <w:rFonts w:hint="eastAsia" w:ascii="Times New Roman" w:hAnsi="Times New Roman" w:eastAsia="宋体" w:cs="Times New Roman"/>
                <w:color w:val="auto"/>
                <w:sz w:val="24"/>
                <w:szCs w:val="24"/>
                <w:highlight w:val="none"/>
                <w:lang w:eastAsia="zh-CN"/>
              </w:rPr>
              <w:t>主要污染指标浓度为：</w:t>
            </w:r>
            <w:r>
              <w:rPr>
                <w:rFonts w:hint="eastAsia" w:ascii="Times New Roman" w:hAnsi="Times New Roman" w:eastAsia="宋体" w:cs="Times New Roman"/>
                <w:color w:val="auto"/>
                <w:sz w:val="24"/>
                <w:szCs w:val="24"/>
                <w:highlight w:val="none"/>
                <w:lang w:val="en-US" w:eastAsia="zh-CN"/>
              </w:rPr>
              <w:t>pH：6~9、</w:t>
            </w:r>
            <w:r>
              <w:rPr>
                <w:rFonts w:hint="eastAsia" w:ascii="Times New Roman" w:hAnsi="Times New Roman" w:eastAsia="宋体" w:cs="Times New Roman"/>
                <w:color w:val="auto"/>
                <w:sz w:val="24"/>
                <w:szCs w:val="24"/>
                <w:highlight w:val="none"/>
                <w:lang w:eastAsia="zh-CN"/>
              </w:rPr>
              <w:t>COD：</w:t>
            </w:r>
            <w:r>
              <w:rPr>
                <w:rFonts w:hint="eastAsia" w:ascii="Times New Roman" w:hAnsi="Times New Roman" w:eastAsia="宋体" w:cs="Times New Roman"/>
                <w:color w:val="auto"/>
                <w:sz w:val="24"/>
                <w:szCs w:val="24"/>
                <w:highlight w:val="none"/>
                <w:lang w:val="en-US" w:eastAsia="zh-CN"/>
              </w:rPr>
              <w:t>500</w:t>
            </w:r>
            <w:r>
              <w:rPr>
                <w:rFonts w:hint="eastAsia" w:ascii="Times New Roman" w:hAnsi="Times New Roman" w:eastAsia="宋体" w:cs="Times New Roman"/>
                <w:color w:val="auto"/>
                <w:sz w:val="24"/>
                <w:szCs w:val="24"/>
                <w:highlight w:val="none"/>
                <w:lang w:eastAsia="zh-CN"/>
              </w:rPr>
              <w:t>mg/L、SS：</w:t>
            </w:r>
            <w:r>
              <w:rPr>
                <w:rFonts w:hint="eastAsia" w:ascii="Times New Roman" w:hAnsi="Times New Roman" w:eastAsia="宋体"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eastAsia="zh-CN"/>
              </w:rPr>
              <w:t>mg/L、</w:t>
            </w:r>
            <w:r>
              <w:rPr>
                <w:rFonts w:hint="eastAsia" w:ascii="Times New Roman" w:hAnsi="Times New Roman" w:eastAsia="宋体" w:cs="Times New Roman"/>
                <w:color w:val="auto"/>
                <w:sz w:val="24"/>
                <w:szCs w:val="24"/>
                <w:highlight w:val="none"/>
                <w:lang w:val="en-US" w:eastAsia="zh-CN"/>
              </w:rPr>
              <w:t>LAS：40</w:t>
            </w:r>
            <w:r>
              <w:rPr>
                <w:rFonts w:hint="eastAsia" w:ascii="Times New Roman" w:hAnsi="Times New Roman" w:eastAsia="宋体" w:cs="Times New Roman"/>
                <w:color w:val="auto"/>
                <w:sz w:val="24"/>
                <w:szCs w:val="24"/>
                <w:highlight w:val="none"/>
                <w:lang w:eastAsia="zh-CN"/>
              </w:rPr>
              <w:t>mg/L、</w:t>
            </w:r>
            <w:r>
              <w:rPr>
                <w:rFonts w:hint="eastAsia" w:ascii="Times New Roman" w:hAnsi="Times New Roman" w:eastAsia="宋体" w:cs="Times New Roman"/>
                <w:color w:val="auto"/>
                <w:sz w:val="24"/>
                <w:szCs w:val="24"/>
                <w:highlight w:val="none"/>
                <w:lang w:val="en-US" w:eastAsia="zh-CN"/>
              </w:rPr>
              <w:t>总磷：20</w:t>
            </w:r>
            <w:r>
              <w:rPr>
                <w:rFonts w:hint="eastAsia" w:ascii="Times New Roman" w:hAnsi="Times New Roman" w:eastAsia="宋体" w:cs="Times New Roman"/>
                <w:color w:val="auto"/>
                <w:sz w:val="24"/>
                <w:szCs w:val="24"/>
                <w:highlight w:val="none"/>
                <w:lang w:eastAsia="zh-CN"/>
              </w:rPr>
              <w:t>mg/L。</w:t>
            </w:r>
          </w:p>
          <w:p w14:paraId="5D4D01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生活污水</w:t>
            </w:r>
          </w:p>
          <w:p w14:paraId="57067F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①</w:t>
            </w:r>
            <w:r>
              <w:rPr>
                <w:rFonts w:hint="eastAsia" w:ascii="Times New Roman" w:hAnsi="Times New Roman" w:eastAsia="宋体" w:cs="Times New Roman"/>
                <w:b w:val="0"/>
                <w:bCs w:val="0"/>
                <w:color w:val="auto"/>
                <w:sz w:val="24"/>
                <w:szCs w:val="24"/>
                <w:highlight w:val="none"/>
                <w:lang w:val="en-US" w:eastAsia="zh-CN"/>
              </w:rPr>
              <w:t>职工生活污水：</w:t>
            </w:r>
            <w:r>
              <w:rPr>
                <w:rFonts w:hint="eastAsia" w:ascii="Times New Roman" w:hAnsi="Times New Roman" w:eastAsia="宋体"/>
                <w:color w:val="auto"/>
                <w:sz w:val="24"/>
                <w:szCs w:val="24"/>
                <w:highlight w:val="none"/>
                <w:lang w:val="en-US" w:eastAsia="zh-CN"/>
              </w:rPr>
              <w:t>根据水平衡分析，本项目</w:t>
            </w:r>
            <w:r>
              <w:rPr>
                <w:rFonts w:hint="eastAsia" w:ascii="Times New Roman" w:hAnsi="Times New Roman" w:eastAsia="宋体" w:cs="Times New Roman"/>
                <w:b w:val="0"/>
                <w:bCs w:val="0"/>
                <w:color w:val="auto"/>
                <w:sz w:val="24"/>
                <w:szCs w:val="24"/>
                <w:highlight w:val="none"/>
                <w:lang w:val="en-US" w:eastAsia="zh-CN"/>
              </w:rPr>
              <w:t>职工生活污水</w:t>
            </w:r>
            <w:r>
              <w:rPr>
                <w:rFonts w:hint="eastAsia" w:ascii="Times New Roman" w:hAnsi="Times New Roman" w:eastAsia="宋体"/>
                <w:color w:val="auto"/>
                <w:sz w:val="24"/>
                <w:szCs w:val="24"/>
                <w:highlight w:val="none"/>
                <w:lang w:val="en-US" w:eastAsia="zh-CN"/>
              </w:rPr>
              <w:t>排放量为</w:t>
            </w:r>
            <w:r>
              <w:rPr>
                <w:rFonts w:hint="eastAsia" w:cs="Times New Roman"/>
                <w:color w:val="auto"/>
                <w:sz w:val="24"/>
                <w:szCs w:val="24"/>
                <w:highlight w:val="none"/>
                <w:lang w:val="en-US" w:eastAsia="zh-CN"/>
              </w:rPr>
              <w:t>0.18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65.7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主要污染因子为pH、</w:t>
            </w:r>
            <w:r>
              <w:rPr>
                <w:rFonts w:ascii="Times New Roman" w:hAnsi="Times New Roman" w:eastAsia="宋体" w:cs="Times New Roman"/>
                <w:color w:val="auto"/>
                <w:kern w:val="2"/>
                <w:sz w:val="24"/>
                <w:szCs w:val="24"/>
                <w:highlight w:val="none"/>
                <w:lang w:val="en-US" w:eastAsia="zh-CN" w:bidi="ar-SA"/>
              </w:rPr>
              <w:t>COD、SS</w:t>
            </w:r>
            <w:r>
              <w:rPr>
                <w:rFonts w:ascii="Times New Roman" w:hAnsi="Times New Roman" w:eastAsia="宋体" w:cs="Times New Roman"/>
                <w:bCs/>
                <w:color w:val="auto"/>
                <w:kern w:val="2"/>
                <w:sz w:val="24"/>
                <w:szCs w:val="24"/>
                <w:highlight w:val="none"/>
                <w:lang w:val="en-US" w:eastAsia="zh-CN" w:bidi="en-US"/>
              </w:rPr>
              <w:t>、</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氨氮</w:t>
            </w:r>
            <w:r>
              <w:rPr>
                <w:rFonts w:hint="eastAsia" w:cs="Times New Roman"/>
                <w:color w:val="auto"/>
                <w:kern w:val="2"/>
                <w:sz w:val="24"/>
                <w:szCs w:val="24"/>
                <w:highlight w:val="none"/>
                <w:lang w:val="en-US" w:eastAsia="zh-CN" w:bidi="ar-SA"/>
              </w:rPr>
              <w:t>、总磷</w:t>
            </w:r>
            <w:r>
              <w:rPr>
                <w:rFonts w:hint="eastAsia" w:ascii="Times New Roman" w:hAnsi="Times New Roman" w:eastAsia="宋体" w:cs="Times New Roman"/>
                <w:color w:val="auto"/>
                <w:kern w:val="2"/>
                <w:sz w:val="24"/>
                <w:szCs w:val="24"/>
                <w:highlight w:val="none"/>
                <w:lang w:val="en-US" w:eastAsia="zh-CN" w:bidi="ar-SA"/>
              </w:rPr>
              <w:t>，主要污染指标浓度为：pH：6~9、COD：550mg/L、SS：400mg/L、</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350mg/L、氨氮</w:t>
            </w:r>
            <w:r>
              <w:rPr>
                <w:rFonts w:hint="eastAsia" w:ascii="Times New Roman" w:hAnsi="Times New Roman" w:eastAsia="宋体" w:cs="Times New Roman"/>
                <w:bCs/>
                <w:color w:val="auto"/>
                <w:kern w:val="2"/>
                <w:sz w:val="24"/>
                <w:szCs w:val="24"/>
                <w:highlight w:val="none"/>
                <w:lang w:val="en-US" w:eastAsia="zh-CN" w:bidi="en-US"/>
              </w:rPr>
              <w:t>：4</w:t>
            </w:r>
            <w:r>
              <w:rPr>
                <w:rFonts w:hint="eastAsia" w:cs="Times New Roman"/>
                <w:bCs/>
                <w:color w:val="auto"/>
                <w:kern w:val="2"/>
                <w:sz w:val="24"/>
                <w:szCs w:val="24"/>
                <w:highlight w:val="none"/>
                <w:lang w:val="en-US" w:eastAsia="zh-CN" w:bidi="en-US"/>
              </w:rPr>
              <w:t>5</w:t>
            </w:r>
            <w:r>
              <w:rPr>
                <w:rFonts w:hint="eastAsia" w:ascii="Times New Roman" w:hAnsi="Times New Roman" w:eastAsia="宋体" w:cs="Times New Roman"/>
                <w:color w:val="auto"/>
                <w:kern w:val="2"/>
                <w:sz w:val="24"/>
                <w:szCs w:val="24"/>
                <w:highlight w:val="none"/>
                <w:lang w:val="en-US" w:eastAsia="zh-CN" w:bidi="ar-SA"/>
              </w:rPr>
              <w:t>mg/L</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总磷：10</w:t>
            </w:r>
            <w:r>
              <w:rPr>
                <w:rFonts w:hint="eastAsia" w:ascii="Times New Roman" w:hAnsi="Times New Roman" w:eastAsia="宋体" w:cs="Times New Roman"/>
                <w:color w:val="auto"/>
                <w:sz w:val="24"/>
                <w:szCs w:val="24"/>
                <w:highlight w:val="none"/>
                <w:lang w:eastAsia="zh-CN"/>
              </w:rPr>
              <w:t>mg/L。</w:t>
            </w:r>
          </w:p>
          <w:p w14:paraId="018C21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rPr>
              <w:t>②</w:t>
            </w:r>
            <w:r>
              <w:rPr>
                <w:rFonts w:hint="eastAsia" w:ascii="Times New Roman" w:hAnsi="Times New Roman" w:eastAsia="宋体" w:cs="Times New Roman"/>
                <w:b w:val="0"/>
                <w:bCs w:val="0"/>
                <w:color w:val="auto"/>
                <w:sz w:val="24"/>
                <w:szCs w:val="24"/>
                <w:highlight w:val="none"/>
                <w:lang w:val="en-US" w:eastAsia="zh-CN"/>
              </w:rPr>
              <w:t>流动顾客生活污水</w:t>
            </w:r>
            <w:r>
              <w:rPr>
                <w:rFonts w:hint="eastAsia" w:cs="Times New Roman"/>
                <w:b w:val="0"/>
                <w:bCs w:val="0"/>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根据水平衡分析，本项目</w:t>
            </w:r>
            <w:r>
              <w:rPr>
                <w:rFonts w:hint="eastAsia" w:ascii="Times New Roman" w:hAnsi="Times New Roman" w:eastAsia="宋体" w:cs="Times New Roman"/>
                <w:b w:val="0"/>
                <w:bCs w:val="0"/>
                <w:color w:val="auto"/>
                <w:sz w:val="24"/>
                <w:szCs w:val="24"/>
                <w:highlight w:val="none"/>
                <w:lang w:val="en-US" w:eastAsia="zh-CN"/>
              </w:rPr>
              <w:t>流动顾客生活污水</w:t>
            </w:r>
            <w:r>
              <w:rPr>
                <w:rFonts w:hint="eastAsia" w:ascii="Times New Roman" w:hAnsi="Times New Roman" w:eastAsia="宋体"/>
                <w:color w:val="auto"/>
                <w:sz w:val="24"/>
                <w:szCs w:val="24"/>
                <w:highlight w:val="none"/>
                <w:lang w:val="en-US" w:eastAsia="zh-CN"/>
              </w:rPr>
              <w:t>排放量为</w:t>
            </w:r>
            <w:r>
              <w:rPr>
                <w:rFonts w:hint="eastAsia"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131.4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主要污染因子为pH、</w:t>
            </w:r>
            <w:r>
              <w:rPr>
                <w:rFonts w:ascii="Times New Roman" w:hAnsi="Times New Roman" w:eastAsia="宋体" w:cs="Times New Roman"/>
                <w:color w:val="auto"/>
                <w:kern w:val="2"/>
                <w:sz w:val="24"/>
                <w:szCs w:val="24"/>
                <w:highlight w:val="none"/>
                <w:lang w:val="en-US" w:eastAsia="zh-CN" w:bidi="ar-SA"/>
              </w:rPr>
              <w:t>COD、SS</w:t>
            </w:r>
            <w:r>
              <w:rPr>
                <w:rFonts w:ascii="Times New Roman" w:hAnsi="Times New Roman" w:eastAsia="宋体" w:cs="Times New Roman"/>
                <w:bCs/>
                <w:color w:val="auto"/>
                <w:kern w:val="2"/>
                <w:sz w:val="24"/>
                <w:szCs w:val="24"/>
                <w:highlight w:val="none"/>
                <w:lang w:val="en-US" w:eastAsia="zh-CN" w:bidi="en-US"/>
              </w:rPr>
              <w:t>、</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氨氮</w:t>
            </w:r>
            <w:r>
              <w:rPr>
                <w:rFonts w:hint="eastAsia" w:cs="Times New Roman"/>
                <w:color w:val="auto"/>
                <w:kern w:val="2"/>
                <w:sz w:val="24"/>
                <w:szCs w:val="24"/>
                <w:highlight w:val="none"/>
                <w:lang w:val="en-US" w:eastAsia="zh-CN" w:bidi="ar-SA"/>
              </w:rPr>
              <w:t>、总磷</w:t>
            </w:r>
            <w:r>
              <w:rPr>
                <w:rFonts w:hint="eastAsia" w:ascii="Times New Roman" w:hAnsi="Times New Roman" w:eastAsia="宋体" w:cs="Times New Roman"/>
                <w:color w:val="auto"/>
                <w:kern w:val="2"/>
                <w:sz w:val="24"/>
                <w:szCs w:val="24"/>
                <w:highlight w:val="none"/>
                <w:lang w:val="en-US" w:eastAsia="zh-CN" w:bidi="ar-SA"/>
              </w:rPr>
              <w:t>，主要污染指标浓度为：pH：6~9、COD：550mg/L、SS：400mg/L、</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：350mg/L、氨氮</w:t>
            </w:r>
            <w:r>
              <w:rPr>
                <w:rFonts w:hint="eastAsia" w:ascii="Times New Roman" w:hAnsi="Times New Roman" w:eastAsia="宋体" w:cs="Times New Roman"/>
                <w:bCs/>
                <w:color w:val="auto"/>
                <w:kern w:val="2"/>
                <w:sz w:val="24"/>
                <w:szCs w:val="24"/>
                <w:highlight w:val="none"/>
                <w:lang w:val="en-US" w:eastAsia="zh-CN" w:bidi="en-US"/>
              </w:rPr>
              <w:t>：4</w:t>
            </w:r>
            <w:r>
              <w:rPr>
                <w:rFonts w:hint="eastAsia" w:cs="Times New Roman"/>
                <w:bCs/>
                <w:color w:val="auto"/>
                <w:kern w:val="2"/>
                <w:sz w:val="24"/>
                <w:szCs w:val="24"/>
                <w:highlight w:val="none"/>
                <w:lang w:val="en-US" w:eastAsia="zh-CN" w:bidi="en-US"/>
              </w:rPr>
              <w:t>5</w:t>
            </w:r>
            <w:r>
              <w:rPr>
                <w:rFonts w:hint="eastAsia" w:ascii="Times New Roman" w:hAnsi="Times New Roman" w:eastAsia="宋体" w:cs="Times New Roman"/>
                <w:color w:val="auto"/>
                <w:kern w:val="2"/>
                <w:sz w:val="24"/>
                <w:szCs w:val="24"/>
                <w:highlight w:val="none"/>
                <w:lang w:val="en-US" w:eastAsia="zh-CN" w:bidi="ar-SA"/>
              </w:rPr>
              <w:t>mg/L</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总磷：10</w:t>
            </w:r>
            <w:r>
              <w:rPr>
                <w:rFonts w:hint="eastAsia" w:ascii="Times New Roman" w:hAnsi="Times New Roman" w:eastAsia="宋体" w:cs="Times New Roman"/>
                <w:color w:val="auto"/>
                <w:sz w:val="24"/>
                <w:szCs w:val="24"/>
                <w:highlight w:val="none"/>
                <w:lang w:eastAsia="zh-CN"/>
              </w:rPr>
              <w:t>mg/L。</w:t>
            </w:r>
          </w:p>
          <w:p w14:paraId="2CF838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eastAsia" w:cs="Times New Roman"/>
                <w:b w:val="0"/>
                <w:bCs/>
                <w:color w:val="auto"/>
                <w:spacing w:val="0"/>
                <w:sz w:val="24"/>
                <w:szCs w:val="24"/>
                <w:highlight w:val="none"/>
                <w:lang w:val="en-US" w:eastAsia="zh-CN"/>
              </w:rPr>
              <w:t>项目</w:t>
            </w:r>
            <w:r>
              <w:rPr>
                <w:rFonts w:hint="eastAsia" w:cs="Times New Roman"/>
                <w:snapToGrid w:val="0"/>
                <w:color w:val="auto"/>
                <w:kern w:val="0"/>
                <w:sz w:val="24"/>
                <w:highlight w:val="none"/>
                <w:lang w:val="en-US" w:eastAsia="zh-CN"/>
              </w:rPr>
              <w:t>手术废水、手术器械清洗废水经水槽收集后进入1#消毒设施进行消毒，诊疗废水</w:t>
            </w:r>
            <w:r>
              <w:rPr>
                <w:rFonts w:hint="eastAsia" w:cs="Times New Roman"/>
                <w:color w:val="auto"/>
                <w:sz w:val="24"/>
                <w:szCs w:val="24"/>
                <w:highlight w:val="none"/>
                <w:lang w:val="en-US" w:eastAsia="zh-CN"/>
              </w:rPr>
              <w:t>、宠物笼清洗废水</w:t>
            </w:r>
            <w:r>
              <w:rPr>
                <w:rFonts w:hint="eastAsia" w:cs="Times New Roman"/>
                <w:snapToGrid w:val="0"/>
                <w:color w:val="auto"/>
                <w:kern w:val="0"/>
                <w:sz w:val="24"/>
                <w:highlight w:val="none"/>
                <w:lang w:val="en-US" w:eastAsia="zh-CN"/>
              </w:rPr>
              <w:t>经水槽收集后进入2#消毒设施进行消毒。项目</w:t>
            </w:r>
            <w:r>
              <w:rPr>
                <w:rFonts w:hint="default" w:ascii="Times New Roman" w:hAnsi="Times New Roman" w:cs="Times New Roman"/>
                <w:b w:val="0"/>
                <w:bCs/>
                <w:color w:val="auto"/>
                <w:spacing w:val="0"/>
                <w:sz w:val="24"/>
                <w:szCs w:val="24"/>
                <w:highlight w:val="none"/>
              </w:rPr>
              <w:t>医疗废水经</w:t>
            </w:r>
            <w:r>
              <w:rPr>
                <w:rFonts w:hint="eastAsia" w:cs="Times New Roman"/>
                <w:b w:val="0"/>
                <w:bCs/>
                <w:color w:val="auto"/>
                <w:spacing w:val="0"/>
                <w:sz w:val="24"/>
                <w:szCs w:val="24"/>
                <w:highlight w:val="none"/>
                <w:lang w:val="en-US" w:eastAsia="zh-CN"/>
              </w:rPr>
              <w:t>相应的消毒</w:t>
            </w:r>
            <w:r>
              <w:rPr>
                <w:rFonts w:hint="default" w:ascii="Times New Roman" w:hAnsi="Times New Roman" w:cs="Times New Roman"/>
                <w:b w:val="0"/>
                <w:bCs/>
                <w:color w:val="auto"/>
                <w:spacing w:val="0"/>
                <w:sz w:val="24"/>
                <w:szCs w:val="24"/>
                <w:highlight w:val="none"/>
              </w:rPr>
              <w:t>设施预处理后</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出水参照执行《医疗机构水污染物排放标准》</w:t>
            </w:r>
            <w:r>
              <w:rPr>
                <w:rFonts w:hint="eastAsia" w:cs="Times New Roman"/>
                <w:b w:val="0"/>
                <w:bCs/>
                <w:color w:val="auto"/>
                <w:spacing w:val="0"/>
                <w:sz w:val="24"/>
                <w:szCs w:val="24"/>
                <w:highlight w:val="none"/>
                <w:lang w:eastAsia="zh-CN"/>
              </w:rPr>
              <w:t>（GB18466-2005）</w:t>
            </w:r>
            <w:r>
              <w:rPr>
                <w:rFonts w:hint="default" w:ascii="Times New Roman" w:hAnsi="Times New Roman" w:cs="Times New Roman"/>
                <w:b w:val="0"/>
                <w:bCs/>
                <w:color w:val="auto"/>
                <w:spacing w:val="0"/>
                <w:sz w:val="24"/>
                <w:szCs w:val="24"/>
                <w:highlight w:val="none"/>
              </w:rPr>
              <w:t>预处理标准</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eastAsia="zh-CN"/>
              </w:rPr>
              <w:t>，</w:t>
            </w:r>
            <w:r>
              <w:rPr>
                <w:rFonts w:hint="eastAsia" w:cs="Times New Roman"/>
                <w:b w:val="0"/>
                <w:bCs/>
                <w:color w:val="auto"/>
                <w:sz w:val="24"/>
                <w:szCs w:val="24"/>
                <w:highlight w:val="none"/>
                <w:vertAlign w:val="baseline"/>
                <w:lang w:val="en-US" w:eastAsia="zh-CN"/>
              </w:rPr>
              <w:t>宠物</w:t>
            </w:r>
            <w:r>
              <w:rPr>
                <w:rFonts w:hint="default" w:ascii="Times New Roman" w:hAnsi="Times New Roman" w:cs="Times New Roman"/>
                <w:b w:val="0"/>
                <w:bCs/>
                <w:color w:val="auto"/>
                <w:sz w:val="24"/>
                <w:szCs w:val="24"/>
                <w:highlight w:val="none"/>
                <w:vertAlign w:val="baseline"/>
                <w:lang w:val="en-US" w:eastAsia="zh-CN"/>
              </w:rPr>
              <w:t>洗浴废水经滤网过滤后</w:t>
            </w:r>
            <w:r>
              <w:rPr>
                <w:rFonts w:hint="default" w:ascii="Times New Roman" w:hAnsi="Times New Roman" w:cs="Times New Roman"/>
                <w:b w:val="0"/>
                <w:bCs/>
                <w:color w:val="auto"/>
                <w:spacing w:val="0"/>
                <w:sz w:val="24"/>
                <w:szCs w:val="24"/>
                <w:highlight w:val="none"/>
              </w:rPr>
              <w:t>与</w:t>
            </w:r>
            <w:r>
              <w:rPr>
                <w:rFonts w:hint="eastAsia" w:ascii="Times New Roman" w:hAnsi="Times New Roman" w:cs="Times New Roman"/>
                <w:b w:val="0"/>
                <w:bCs/>
                <w:color w:val="auto"/>
                <w:spacing w:val="0"/>
                <w:sz w:val="24"/>
                <w:szCs w:val="24"/>
                <w:highlight w:val="none"/>
                <w:lang w:val="en-US" w:eastAsia="zh-CN"/>
              </w:rPr>
              <w:t>其他废水</w:t>
            </w:r>
            <w:r>
              <w:rPr>
                <w:rFonts w:hint="default" w:ascii="Times New Roman" w:hAnsi="Times New Roman" w:cs="Times New Roman"/>
                <w:b w:val="0"/>
                <w:bCs/>
                <w:color w:val="auto"/>
                <w:spacing w:val="0"/>
                <w:sz w:val="24"/>
                <w:szCs w:val="24"/>
                <w:highlight w:val="none"/>
              </w:rPr>
              <w:t>、生活污水一起进入</w:t>
            </w:r>
            <w:r>
              <w:rPr>
                <w:rFonts w:hint="eastAsia" w:cs="Times New Roman"/>
                <w:b w:val="0"/>
                <w:bCs/>
                <w:color w:val="auto"/>
                <w:spacing w:val="0"/>
                <w:sz w:val="24"/>
                <w:szCs w:val="24"/>
                <w:highlight w:val="none"/>
                <w:lang w:val="en-US" w:eastAsia="zh-CN"/>
              </w:rPr>
              <w:t>金科阳光小镇6期</w:t>
            </w:r>
            <w:r>
              <w:rPr>
                <w:rFonts w:hint="default" w:ascii="Times New Roman" w:hAnsi="Times New Roman" w:cs="Times New Roman"/>
                <w:b w:val="0"/>
                <w:bCs/>
                <w:color w:val="auto"/>
                <w:spacing w:val="0"/>
                <w:sz w:val="24"/>
                <w:szCs w:val="24"/>
                <w:highlight w:val="none"/>
              </w:rPr>
              <w:t>生化池，处理达《污水综合排放标准》</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GB8978-1996</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三级标准，汇入市政污水管网进入</w:t>
            </w:r>
            <w:r>
              <w:rPr>
                <w:rFonts w:hint="eastAsia" w:cs="Times New Roman"/>
                <w:b w:val="0"/>
                <w:bCs/>
                <w:color w:val="auto"/>
                <w:spacing w:val="0"/>
                <w:sz w:val="24"/>
                <w:szCs w:val="24"/>
                <w:highlight w:val="none"/>
                <w:lang w:val="en-US" w:eastAsia="zh-CN"/>
              </w:rPr>
              <w:t>中梁山污水处理厂</w:t>
            </w:r>
            <w:r>
              <w:rPr>
                <w:rFonts w:hint="default" w:ascii="Times New Roman" w:hAnsi="Times New Roman" w:cs="Times New Roman"/>
                <w:b w:val="0"/>
                <w:bCs/>
                <w:color w:val="auto"/>
                <w:spacing w:val="0"/>
                <w:sz w:val="24"/>
                <w:szCs w:val="24"/>
                <w:highlight w:val="none"/>
              </w:rPr>
              <w:t>进一步处理达《城镇污水处理厂污染物排放标准》</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GB18918-2002</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一级A标准后排入</w:t>
            </w:r>
            <w:r>
              <w:rPr>
                <w:rFonts w:hint="eastAsia" w:cs="Times New Roman"/>
                <w:b w:val="0"/>
                <w:bCs/>
                <w:color w:val="auto"/>
                <w:spacing w:val="0"/>
                <w:sz w:val="24"/>
                <w:szCs w:val="24"/>
                <w:highlight w:val="none"/>
                <w:lang w:val="en-US" w:eastAsia="zh-CN"/>
              </w:rPr>
              <w:t>长江</w:t>
            </w:r>
            <w:r>
              <w:rPr>
                <w:rFonts w:hint="default" w:ascii="Times New Roman" w:hAnsi="Times New Roman" w:cs="Times New Roman"/>
                <w:b w:val="0"/>
                <w:bCs/>
                <w:color w:val="auto"/>
                <w:spacing w:val="0"/>
                <w:sz w:val="24"/>
                <w:szCs w:val="24"/>
                <w:highlight w:val="none"/>
              </w:rPr>
              <w:t>。项目污废水产生情况详见表4.2-1。</w:t>
            </w:r>
          </w:p>
          <w:p w14:paraId="2F7606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pacing w:val="0"/>
                <w:sz w:val="24"/>
                <w:szCs w:val="24"/>
                <w:highlight w:val="none"/>
              </w:rPr>
            </w:pPr>
          </w:p>
        </w:tc>
      </w:tr>
    </w:tbl>
    <w:p w14:paraId="1FA706F0">
      <w:pPr>
        <w:rPr>
          <w:color w:val="auto"/>
        </w:rPr>
      </w:pPr>
    </w:p>
    <w:p w14:paraId="72A1F286">
      <w:pPr>
        <w:rPr>
          <w:color w:val="auto"/>
        </w:rPr>
      </w:pPr>
    </w:p>
    <w:p w14:paraId="5661BE77">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132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2775"/>
      </w:tblGrid>
      <w:tr w14:paraId="0CBFD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3" w:hRule="atLeast"/>
        </w:trPr>
        <w:tc>
          <w:tcPr>
            <w:tcW w:w="453" w:type="dxa"/>
            <w:tcBorders>
              <w:top w:val="single" w:color="auto" w:sz="8" w:space="0"/>
              <w:left w:val="single" w:color="auto" w:sz="8" w:space="0"/>
              <w:bottom w:val="single" w:color="auto" w:sz="8" w:space="0"/>
            </w:tcBorders>
            <w:vAlign w:val="center"/>
          </w:tcPr>
          <w:p w14:paraId="6D513F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4"/>
                <w:szCs w:val="24"/>
                <w:highlight w:val="none"/>
                <w:vertAlign w:val="baseline"/>
                <w:lang w:val="en-US" w:eastAsia="zh-CN"/>
              </w:rPr>
              <w:t>运营期环境影响和保护措施</w:t>
            </w:r>
          </w:p>
        </w:tc>
        <w:tc>
          <w:tcPr>
            <w:tcW w:w="12775" w:type="dxa"/>
            <w:tcBorders>
              <w:top w:val="single" w:color="auto" w:sz="8" w:space="0"/>
              <w:bottom w:val="single" w:color="auto" w:sz="8" w:space="0"/>
              <w:right w:val="single" w:color="auto" w:sz="8" w:space="0"/>
            </w:tcBorders>
            <w:vAlign w:val="center"/>
          </w:tcPr>
          <w:p w14:paraId="55D137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rPr>
              <w:t>表4.2-1项目水污染物产生和排放情况</w:t>
            </w:r>
          </w:p>
          <w:tbl>
            <w:tblPr>
              <w:tblStyle w:val="22"/>
              <w:tblW w:w="125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937"/>
              <w:gridCol w:w="918"/>
              <w:gridCol w:w="1650"/>
              <w:gridCol w:w="1536"/>
              <w:gridCol w:w="799"/>
              <w:gridCol w:w="1130"/>
              <w:gridCol w:w="1592"/>
              <w:gridCol w:w="1042"/>
              <w:gridCol w:w="1853"/>
            </w:tblGrid>
            <w:tr w14:paraId="506D9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restart"/>
                  <w:tcBorders>
                    <w:tl2br w:val="nil"/>
                    <w:tr2bl w:val="nil"/>
                  </w:tcBorders>
                  <w:vAlign w:val="center"/>
                </w:tcPr>
                <w:p w14:paraId="781A1A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排放源</w:t>
                  </w:r>
                </w:p>
              </w:tc>
              <w:tc>
                <w:tcPr>
                  <w:tcW w:w="937" w:type="dxa"/>
                  <w:vMerge w:val="restart"/>
                  <w:tcBorders>
                    <w:tl2br w:val="nil"/>
                    <w:tr2bl w:val="nil"/>
                  </w:tcBorders>
                  <w:vAlign w:val="center"/>
                </w:tcPr>
                <w:p w14:paraId="25EC3A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产生量（m</w:t>
                  </w:r>
                  <w:r>
                    <w:rPr>
                      <w:rFonts w:hint="default" w:ascii="Times New Roman" w:hAnsi="Times New Roman" w:eastAsia="宋体" w:cs="Times New Roman"/>
                      <w:b w:val="0"/>
                      <w:bCs/>
                      <w:color w:val="auto"/>
                      <w:spacing w:val="0"/>
                      <w:sz w:val="21"/>
                      <w:szCs w:val="21"/>
                      <w:highlight w:val="none"/>
                      <w:vertAlign w:val="superscript"/>
                      <w:lang w:val="en-US" w:eastAsia="zh-CN"/>
                    </w:rPr>
                    <w:t>3</w:t>
                  </w:r>
                  <w:r>
                    <w:rPr>
                      <w:rFonts w:hint="default" w:ascii="Times New Roman" w:hAnsi="Times New Roman" w:eastAsia="宋体" w:cs="Times New Roman"/>
                      <w:b w:val="0"/>
                      <w:bCs/>
                      <w:color w:val="auto"/>
                      <w:spacing w:val="0"/>
                      <w:sz w:val="21"/>
                      <w:szCs w:val="21"/>
                      <w:highlight w:val="none"/>
                      <w:vertAlign w:val="baseline"/>
                      <w:lang w:val="en-US" w:eastAsia="zh-CN"/>
                    </w:rPr>
                    <w:t>/a）</w:t>
                  </w:r>
                </w:p>
              </w:tc>
              <w:tc>
                <w:tcPr>
                  <w:tcW w:w="918" w:type="dxa"/>
                  <w:vMerge w:val="restart"/>
                  <w:tcBorders>
                    <w:tl2br w:val="nil"/>
                    <w:tr2bl w:val="nil"/>
                  </w:tcBorders>
                  <w:vAlign w:val="center"/>
                </w:tcPr>
                <w:p w14:paraId="40C58B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污染物</w:t>
                  </w:r>
                </w:p>
              </w:tc>
              <w:tc>
                <w:tcPr>
                  <w:tcW w:w="3186" w:type="dxa"/>
                  <w:gridSpan w:val="2"/>
                  <w:tcBorders>
                    <w:tl2br w:val="nil"/>
                    <w:tr2bl w:val="nil"/>
                  </w:tcBorders>
                  <w:vAlign w:val="center"/>
                </w:tcPr>
                <w:p w14:paraId="2A836E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产生情况</w:t>
                  </w:r>
                </w:p>
              </w:tc>
              <w:tc>
                <w:tcPr>
                  <w:tcW w:w="799" w:type="dxa"/>
                  <w:vMerge w:val="restart"/>
                  <w:tcBorders>
                    <w:tl2br w:val="nil"/>
                    <w:tr2bl w:val="nil"/>
                  </w:tcBorders>
                  <w:vAlign w:val="center"/>
                </w:tcPr>
                <w:p w14:paraId="4C82AA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处理措施</w:t>
                  </w:r>
                </w:p>
              </w:tc>
              <w:tc>
                <w:tcPr>
                  <w:tcW w:w="2722" w:type="dxa"/>
                  <w:gridSpan w:val="2"/>
                  <w:tcBorders>
                    <w:tl2br w:val="nil"/>
                    <w:tr2bl w:val="nil"/>
                  </w:tcBorders>
                  <w:vAlign w:val="center"/>
                </w:tcPr>
                <w:p w14:paraId="13B0D88E">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spacing w:val="0"/>
                      <w:sz w:val="21"/>
                      <w:szCs w:val="21"/>
                      <w:highlight w:val="none"/>
                      <w:vertAlign w:val="baseline"/>
                    </w:rPr>
                  </w:pPr>
                  <w:r>
                    <w:rPr>
                      <w:rFonts w:hint="eastAsia" w:ascii="Times New Roman" w:hAnsi="Times New Roman" w:eastAsia="宋体" w:cs="Times New Roman"/>
                      <w:snapToGrid w:val="0"/>
                      <w:color w:val="auto"/>
                      <w:kern w:val="2"/>
                      <w:sz w:val="21"/>
                      <w:szCs w:val="21"/>
                      <w:highlight w:val="none"/>
                      <w:lang w:val="en-US" w:eastAsia="zh-CN" w:bidi="ar-SA"/>
                    </w:rPr>
                    <w:t>排入污水处理厂</w:t>
                  </w:r>
                </w:p>
              </w:tc>
              <w:tc>
                <w:tcPr>
                  <w:tcW w:w="2895" w:type="dxa"/>
                  <w:gridSpan w:val="2"/>
                  <w:tcBorders>
                    <w:tl2br w:val="nil"/>
                    <w:tr2bl w:val="nil"/>
                  </w:tcBorders>
                  <w:vAlign w:val="center"/>
                </w:tcPr>
                <w:p w14:paraId="5EE428F6">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spacing w:val="0"/>
                      <w:sz w:val="21"/>
                      <w:szCs w:val="21"/>
                      <w:highlight w:val="none"/>
                      <w:vertAlign w:val="baseline"/>
                    </w:rPr>
                  </w:pPr>
                  <w:r>
                    <w:rPr>
                      <w:rFonts w:hint="eastAsia" w:ascii="Times New Roman" w:hAnsi="Times New Roman" w:eastAsia="宋体" w:cs="Times New Roman"/>
                      <w:snapToGrid w:val="0"/>
                      <w:color w:val="auto"/>
                      <w:kern w:val="2"/>
                      <w:sz w:val="21"/>
                      <w:szCs w:val="21"/>
                      <w:highlight w:val="none"/>
                      <w:lang w:val="en-US" w:eastAsia="zh-CN" w:bidi="ar-SA"/>
                    </w:rPr>
                    <w:t>排入外环境</w:t>
                  </w:r>
                </w:p>
              </w:tc>
            </w:tr>
            <w:tr w14:paraId="1377B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0E6FFE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66A1BB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vMerge w:val="continue"/>
                  <w:tcBorders>
                    <w:tl2br w:val="nil"/>
                    <w:tr2bl w:val="nil"/>
                  </w:tcBorders>
                  <w:vAlign w:val="center"/>
                </w:tcPr>
                <w:p w14:paraId="3304F6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1650" w:type="dxa"/>
                  <w:tcBorders>
                    <w:tl2br w:val="nil"/>
                    <w:tr2bl w:val="nil"/>
                  </w:tcBorders>
                  <w:vAlign w:val="center"/>
                </w:tcPr>
                <w:p w14:paraId="3FF1A0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浓度（mg/L）</w:t>
                  </w:r>
                </w:p>
              </w:tc>
              <w:tc>
                <w:tcPr>
                  <w:tcW w:w="1536" w:type="dxa"/>
                  <w:tcBorders>
                    <w:tl2br w:val="nil"/>
                    <w:tr2bl w:val="nil"/>
                  </w:tcBorders>
                  <w:vAlign w:val="center"/>
                </w:tcPr>
                <w:p w14:paraId="2F8F01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产生量（t/a）</w:t>
                  </w:r>
                </w:p>
              </w:tc>
              <w:tc>
                <w:tcPr>
                  <w:tcW w:w="799" w:type="dxa"/>
                  <w:vMerge w:val="continue"/>
                  <w:tcBorders>
                    <w:tl2br w:val="nil"/>
                    <w:tr2bl w:val="nil"/>
                  </w:tcBorders>
                  <w:shd w:val="clear" w:color="auto" w:fill="auto"/>
                  <w:vAlign w:val="center"/>
                </w:tcPr>
                <w:p w14:paraId="528DEB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shd w:val="clear" w:color="auto" w:fill="auto"/>
                  <w:vAlign w:val="center"/>
                </w:tcPr>
                <w:p w14:paraId="4063D1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浓度（mg/L）</w:t>
                  </w:r>
                </w:p>
              </w:tc>
              <w:tc>
                <w:tcPr>
                  <w:tcW w:w="1592" w:type="dxa"/>
                  <w:tcBorders>
                    <w:tl2br w:val="nil"/>
                    <w:tr2bl w:val="nil"/>
                  </w:tcBorders>
                  <w:shd w:val="clear" w:color="auto" w:fill="auto"/>
                  <w:vAlign w:val="center"/>
                </w:tcPr>
                <w:p w14:paraId="1E903C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排放量（t/a）</w:t>
                  </w:r>
                </w:p>
              </w:tc>
              <w:tc>
                <w:tcPr>
                  <w:tcW w:w="1042" w:type="dxa"/>
                  <w:tcBorders>
                    <w:tl2br w:val="nil"/>
                    <w:tr2bl w:val="nil"/>
                  </w:tcBorders>
                  <w:shd w:val="clear" w:color="auto" w:fill="auto"/>
                  <w:vAlign w:val="center"/>
                </w:tcPr>
                <w:p w14:paraId="3FCFB7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浓度（mg/L）</w:t>
                  </w:r>
                </w:p>
              </w:tc>
              <w:tc>
                <w:tcPr>
                  <w:tcW w:w="1853" w:type="dxa"/>
                  <w:tcBorders>
                    <w:tl2br w:val="nil"/>
                    <w:tr2bl w:val="nil"/>
                  </w:tcBorders>
                  <w:shd w:val="clear" w:color="auto" w:fill="auto"/>
                  <w:vAlign w:val="center"/>
                </w:tcPr>
                <w:p w14:paraId="48BA58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排放量（t/a）</w:t>
                  </w:r>
                </w:p>
              </w:tc>
            </w:tr>
            <w:tr w14:paraId="35996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073" w:type="dxa"/>
                  <w:vMerge w:val="restart"/>
                  <w:tcBorders>
                    <w:tl2br w:val="nil"/>
                    <w:tr2bl w:val="nil"/>
                  </w:tcBorders>
                  <w:shd w:val="clear" w:color="auto" w:fill="auto"/>
                  <w:vAlign w:val="center"/>
                </w:tcPr>
                <w:p w14:paraId="44358F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手术废水、手术器械清洗废水</w:t>
                  </w:r>
                </w:p>
              </w:tc>
              <w:tc>
                <w:tcPr>
                  <w:tcW w:w="937" w:type="dxa"/>
                  <w:vMerge w:val="restart"/>
                  <w:tcBorders>
                    <w:tl2br w:val="nil"/>
                    <w:tr2bl w:val="nil"/>
                  </w:tcBorders>
                  <w:shd w:val="clear" w:color="auto" w:fill="auto"/>
                  <w:vAlign w:val="center"/>
                </w:tcPr>
                <w:p w14:paraId="658E36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cs="Times New Roman"/>
                      <w:b w:val="0"/>
                      <w:bCs/>
                      <w:color w:val="auto"/>
                      <w:spacing w:val="0"/>
                      <w:kern w:val="2"/>
                      <w:sz w:val="21"/>
                      <w:szCs w:val="21"/>
                      <w:highlight w:val="none"/>
                      <w:vertAlign w:val="baseline"/>
                      <w:lang w:val="en-US" w:eastAsia="zh-CN" w:bidi="ar-SA"/>
                    </w:rPr>
                    <w:t>41.063</w:t>
                  </w:r>
                </w:p>
              </w:tc>
              <w:tc>
                <w:tcPr>
                  <w:tcW w:w="918" w:type="dxa"/>
                  <w:tcBorders>
                    <w:tl2br w:val="nil"/>
                    <w:tr2bl w:val="nil"/>
                  </w:tcBorders>
                  <w:shd w:val="clear" w:color="auto" w:fill="auto"/>
                  <w:vAlign w:val="center"/>
                </w:tcPr>
                <w:p w14:paraId="4DF826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粪大肠菌群</w:t>
                  </w:r>
                </w:p>
              </w:tc>
              <w:tc>
                <w:tcPr>
                  <w:tcW w:w="1650" w:type="dxa"/>
                  <w:tcBorders>
                    <w:tl2br w:val="nil"/>
                    <w:tr2bl w:val="nil"/>
                  </w:tcBorders>
                  <w:shd w:val="clear" w:color="auto" w:fill="auto"/>
                  <w:vAlign w:val="center"/>
                </w:tcPr>
                <w:p w14:paraId="52D74C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1.6×10</w:t>
                  </w:r>
                  <w:r>
                    <w:rPr>
                      <w:rFonts w:hint="default" w:ascii="Times New Roman" w:hAnsi="Times New Roman" w:eastAsia="宋体" w:cs="Times New Roman"/>
                      <w:b w:val="0"/>
                      <w:bCs/>
                      <w:color w:val="auto"/>
                      <w:spacing w:val="0"/>
                      <w:sz w:val="21"/>
                      <w:szCs w:val="21"/>
                      <w:highlight w:val="none"/>
                      <w:vertAlign w:val="superscript"/>
                      <w:lang w:val="en-US" w:eastAsia="zh-CN"/>
                    </w:rPr>
                    <w:t>8</w:t>
                  </w:r>
                  <w:r>
                    <w:rPr>
                      <w:rFonts w:hint="default" w:ascii="Times New Roman" w:hAnsi="Times New Roman" w:eastAsia="宋体" w:cs="Times New Roman"/>
                      <w:b w:val="0"/>
                      <w:bCs/>
                      <w:color w:val="auto"/>
                      <w:spacing w:val="0"/>
                      <w:sz w:val="21"/>
                      <w:szCs w:val="21"/>
                      <w:highlight w:val="none"/>
                      <w:vertAlign w:val="baseline"/>
                      <w:lang w:val="en-US" w:eastAsia="zh-CN"/>
                    </w:rPr>
                    <w:t>个/L</w:t>
                  </w:r>
                </w:p>
              </w:tc>
              <w:tc>
                <w:tcPr>
                  <w:tcW w:w="1536" w:type="dxa"/>
                  <w:tcBorders>
                    <w:tl2br w:val="nil"/>
                    <w:tr2bl w:val="nil"/>
                  </w:tcBorders>
                  <w:vAlign w:val="center"/>
                </w:tcPr>
                <w:p w14:paraId="1E6A06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6.57</w:t>
                  </w:r>
                  <w:r>
                    <w:rPr>
                      <w:rFonts w:hint="default" w:ascii="Times New Roman" w:hAnsi="Times New Roman" w:eastAsia="宋体" w:cs="Times New Roman"/>
                      <w:b w:val="0"/>
                      <w:bCs/>
                      <w:color w:val="auto"/>
                      <w:spacing w:val="0"/>
                      <w:sz w:val="21"/>
                      <w:szCs w:val="21"/>
                      <w:highlight w:val="none"/>
                      <w:vertAlign w:val="baseline"/>
                      <w:lang w:val="en-US" w:eastAsia="zh-CN"/>
                    </w:rPr>
                    <w:t>×10</w:t>
                  </w:r>
                  <w:r>
                    <w:rPr>
                      <w:rFonts w:hint="eastAsia" w:ascii="Times New Roman" w:hAnsi="Times New Roman" w:eastAsia="宋体" w:cs="Times New Roman"/>
                      <w:b w:val="0"/>
                      <w:bCs/>
                      <w:color w:val="auto"/>
                      <w:spacing w:val="0"/>
                      <w:sz w:val="21"/>
                      <w:szCs w:val="21"/>
                      <w:highlight w:val="none"/>
                      <w:vertAlign w:val="superscript"/>
                      <w:lang w:val="en-US" w:eastAsia="zh-CN"/>
                    </w:rPr>
                    <w:t>1</w:t>
                  </w:r>
                  <w:r>
                    <w:rPr>
                      <w:rFonts w:hint="eastAsia" w:cs="Times New Roman"/>
                      <w:b w:val="0"/>
                      <w:bCs/>
                      <w:color w:val="auto"/>
                      <w:spacing w:val="0"/>
                      <w:sz w:val="21"/>
                      <w:szCs w:val="21"/>
                      <w:highlight w:val="none"/>
                      <w:vertAlign w:val="superscript"/>
                      <w:lang w:val="en-US" w:eastAsia="zh-CN"/>
                    </w:rPr>
                    <w:t>2</w:t>
                  </w:r>
                  <w:r>
                    <w:rPr>
                      <w:rFonts w:hint="default" w:ascii="Times New Roman" w:hAnsi="Times New Roman" w:eastAsia="宋体" w:cs="Times New Roman"/>
                      <w:b w:val="0"/>
                      <w:bCs/>
                      <w:color w:val="auto"/>
                      <w:spacing w:val="0"/>
                      <w:sz w:val="21"/>
                      <w:szCs w:val="21"/>
                      <w:highlight w:val="none"/>
                      <w:vertAlign w:val="baseline"/>
                      <w:lang w:val="en-US" w:eastAsia="zh-CN"/>
                    </w:rPr>
                    <w:t>个</w:t>
                  </w:r>
                </w:p>
              </w:tc>
              <w:tc>
                <w:tcPr>
                  <w:tcW w:w="799" w:type="dxa"/>
                  <w:vMerge w:val="restart"/>
                  <w:tcBorders>
                    <w:tl2br w:val="nil"/>
                    <w:tr2bl w:val="nil"/>
                  </w:tcBorders>
                  <w:shd w:val="clear" w:color="auto" w:fill="auto"/>
                  <w:vAlign w:val="center"/>
                </w:tcPr>
                <w:p w14:paraId="261BC6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进入1#消毒设施</w:t>
                  </w:r>
                  <w:r>
                    <w:rPr>
                      <w:rFonts w:hint="eastAsia" w:cs="Times New Roman"/>
                      <w:b w:val="0"/>
                      <w:bCs/>
                      <w:color w:val="auto"/>
                      <w:spacing w:val="0"/>
                      <w:sz w:val="21"/>
                      <w:szCs w:val="21"/>
                      <w:highlight w:val="none"/>
                      <w:vertAlign w:val="baseline"/>
                      <w:lang w:val="en-US" w:eastAsia="zh-CN"/>
                    </w:rPr>
                    <w:t>预处理后进入生化池</w:t>
                  </w:r>
                </w:p>
              </w:tc>
              <w:tc>
                <w:tcPr>
                  <w:tcW w:w="1130" w:type="dxa"/>
                  <w:tcBorders>
                    <w:tl2br w:val="nil"/>
                    <w:tr2bl w:val="nil"/>
                  </w:tcBorders>
                  <w:shd w:val="clear" w:color="auto" w:fill="auto"/>
                  <w:vAlign w:val="center"/>
                </w:tcPr>
                <w:p w14:paraId="578E23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5000个/L</w:t>
                  </w:r>
                </w:p>
              </w:tc>
              <w:tc>
                <w:tcPr>
                  <w:tcW w:w="1592" w:type="dxa"/>
                  <w:tcBorders>
                    <w:tl2br w:val="nil"/>
                    <w:tr2bl w:val="nil"/>
                  </w:tcBorders>
                  <w:shd w:val="clear" w:color="auto" w:fill="auto"/>
                  <w:vAlign w:val="center"/>
                </w:tcPr>
                <w:p w14:paraId="5D31DE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vertAlign w:val="baseline"/>
                      <w:lang w:val="en-US" w:eastAsia="zh-CN"/>
                    </w:rPr>
                    <w:t>2.053</w:t>
                  </w:r>
                  <w:r>
                    <w:rPr>
                      <w:rFonts w:hint="eastAsia" w:ascii="Times New Roman" w:hAnsi="Times New Roman" w:eastAsia="宋体" w:cs="Times New Roman"/>
                      <w:b w:val="0"/>
                      <w:bCs/>
                      <w:color w:val="auto"/>
                      <w:spacing w:val="0"/>
                      <w:sz w:val="21"/>
                      <w:szCs w:val="21"/>
                      <w:vertAlign w:val="baseline"/>
                      <w:lang w:val="en-US" w:eastAsia="zh-CN"/>
                    </w:rPr>
                    <w:t>×10</w:t>
                  </w:r>
                  <w:r>
                    <w:rPr>
                      <w:rFonts w:hint="eastAsia" w:ascii="Times New Roman" w:hAnsi="Times New Roman" w:eastAsia="宋体" w:cs="Times New Roman"/>
                      <w:b w:val="0"/>
                      <w:bCs/>
                      <w:color w:val="auto"/>
                      <w:spacing w:val="0"/>
                      <w:sz w:val="21"/>
                      <w:szCs w:val="21"/>
                      <w:vertAlign w:val="superscript"/>
                      <w:lang w:val="en-US" w:eastAsia="zh-CN"/>
                    </w:rPr>
                    <w:t>8</w:t>
                  </w:r>
                  <w:r>
                    <w:rPr>
                      <w:rFonts w:hint="eastAsia" w:ascii="Times New Roman" w:hAnsi="Times New Roman" w:eastAsia="宋体" w:cs="Times New Roman"/>
                      <w:b w:val="0"/>
                      <w:bCs/>
                      <w:color w:val="auto"/>
                      <w:spacing w:val="0"/>
                      <w:sz w:val="21"/>
                      <w:szCs w:val="21"/>
                      <w:vertAlign w:val="baseline"/>
                      <w:lang w:val="en-US" w:eastAsia="zh-CN"/>
                    </w:rPr>
                    <w:t>个/L</w:t>
                  </w:r>
                </w:p>
              </w:tc>
              <w:tc>
                <w:tcPr>
                  <w:tcW w:w="1042" w:type="dxa"/>
                  <w:tcBorders>
                    <w:tl2br w:val="nil"/>
                    <w:tr2bl w:val="nil"/>
                  </w:tcBorders>
                  <w:shd w:val="clear" w:color="auto" w:fill="auto"/>
                  <w:vAlign w:val="center"/>
                </w:tcPr>
                <w:p w14:paraId="341E6B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shd w:val="clear" w:color="auto" w:fill="auto"/>
                  <w:vAlign w:val="center"/>
                </w:tcPr>
                <w:p w14:paraId="1203BC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3FF00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43898A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682113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38754B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总余氯</w:t>
                  </w:r>
                </w:p>
              </w:tc>
              <w:tc>
                <w:tcPr>
                  <w:tcW w:w="1650" w:type="dxa"/>
                  <w:tcBorders>
                    <w:tl2br w:val="nil"/>
                    <w:tr2bl w:val="nil"/>
                  </w:tcBorders>
                  <w:shd w:val="clear" w:color="auto" w:fill="auto"/>
                  <w:vAlign w:val="center"/>
                </w:tcPr>
                <w:p w14:paraId="112274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1536" w:type="dxa"/>
                  <w:tcBorders>
                    <w:tl2br w:val="nil"/>
                    <w:tr2bl w:val="nil"/>
                  </w:tcBorders>
                  <w:vAlign w:val="center"/>
                </w:tcPr>
                <w:p w14:paraId="4B33C2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continue"/>
                  <w:tcBorders>
                    <w:tl2br w:val="nil"/>
                    <w:tr2bl w:val="nil"/>
                  </w:tcBorders>
                  <w:shd w:val="clear" w:color="auto" w:fill="auto"/>
                  <w:vAlign w:val="center"/>
                </w:tcPr>
                <w:p w14:paraId="577D6F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shd w:val="clear" w:color="auto" w:fill="auto"/>
                  <w:vAlign w:val="center"/>
                </w:tcPr>
                <w:p w14:paraId="412124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2~8</w:t>
                  </w:r>
                </w:p>
              </w:tc>
              <w:tc>
                <w:tcPr>
                  <w:tcW w:w="1592" w:type="dxa"/>
                  <w:tcBorders>
                    <w:tl2br w:val="nil"/>
                    <w:tr2bl w:val="nil"/>
                  </w:tcBorders>
                  <w:shd w:val="clear" w:color="auto" w:fill="auto"/>
                  <w:vAlign w:val="center"/>
                </w:tcPr>
                <w:p w14:paraId="11D844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0.000</w:t>
                  </w:r>
                  <w:r>
                    <w:rPr>
                      <w:rFonts w:hint="eastAsia" w:cs="Times New Roman"/>
                      <w:b w:val="0"/>
                      <w:bCs/>
                      <w:color w:val="auto"/>
                      <w:spacing w:val="0"/>
                      <w:sz w:val="21"/>
                      <w:szCs w:val="21"/>
                      <w:vertAlign w:val="baseline"/>
                      <w:lang w:val="en-US" w:eastAsia="zh-CN"/>
                    </w:rPr>
                    <w:t>1</w:t>
                  </w:r>
                  <w:r>
                    <w:rPr>
                      <w:rFonts w:hint="eastAsia" w:ascii="Times New Roman" w:hAnsi="Times New Roman" w:eastAsia="宋体" w:cs="Times New Roman"/>
                      <w:b w:val="0"/>
                      <w:bCs/>
                      <w:color w:val="auto"/>
                      <w:spacing w:val="0"/>
                      <w:sz w:val="21"/>
                      <w:szCs w:val="21"/>
                      <w:vertAlign w:val="baseline"/>
                      <w:lang w:val="en-US" w:eastAsia="zh-CN"/>
                    </w:rPr>
                    <w:t>~0.000</w:t>
                  </w:r>
                  <w:r>
                    <w:rPr>
                      <w:rFonts w:hint="eastAsia" w:cs="Times New Roman"/>
                      <w:b w:val="0"/>
                      <w:bCs/>
                      <w:color w:val="auto"/>
                      <w:spacing w:val="0"/>
                      <w:sz w:val="21"/>
                      <w:szCs w:val="21"/>
                      <w:vertAlign w:val="baseline"/>
                      <w:lang w:val="en-US" w:eastAsia="zh-CN"/>
                    </w:rPr>
                    <w:t>3</w:t>
                  </w:r>
                </w:p>
              </w:tc>
              <w:tc>
                <w:tcPr>
                  <w:tcW w:w="1042" w:type="dxa"/>
                  <w:tcBorders>
                    <w:tl2br w:val="nil"/>
                    <w:tr2bl w:val="nil"/>
                  </w:tcBorders>
                  <w:shd w:val="clear" w:color="auto" w:fill="auto"/>
                  <w:vAlign w:val="center"/>
                </w:tcPr>
                <w:p w14:paraId="08707E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shd w:val="clear" w:color="auto" w:fill="auto"/>
                  <w:vAlign w:val="center"/>
                </w:tcPr>
                <w:p w14:paraId="4E3352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r>
            <w:tr w14:paraId="7F024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073" w:type="dxa"/>
                  <w:vMerge w:val="restart"/>
                  <w:tcBorders>
                    <w:tl2br w:val="nil"/>
                    <w:tr2bl w:val="nil"/>
                  </w:tcBorders>
                  <w:vAlign w:val="center"/>
                </w:tcPr>
                <w:p w14:paraId="38154D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诊疗废水</w:t>
                  </w:r>
                  <w:r>
                    <w:rPr>
                      <w:rFonts w:hint="eastAsia" w:cs="Times New Roman"/>
                      <w:b w:val="0"/>
                      <w:bCs/>
                      <w:color w:val="auto"/>
                      <w:spacing w:val="0"/>
                      <w:sz w:val="21"/>
                      <w:szCs w:val="21"/>
                      <w:highlight w:val="none"/>
                      <w:vertAlign w:val="baseline"/>
                      <w:lang w:val="en-US" w:eastAsia="zh-CN"/>
                    </w:rPr>
                    <w:t>、宠物笼清洗废水</w:t>
                  </w:r>
                </w:p>
              </w:tc>
              <w:tc>
                <w:tcPr>
                  <w:tcW w:w="937" w:type="dxa"/>
                  <w:vMerge w:val="restart"/>
                  <w:tcBorders>
                    <w:tl2br w:val="nil"/>
                    <w:tr2bl w:val="nil"/>
                  </w:tcBorders>
                  <w:vAlign w:val="center"/>
                </w:tcPr>
                <w:p w14:paraId="63179D8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170.82</w:t>
                  </w:r>
                </w:p>
              </w:tc>
              <w:tc>
                <w:tcPr>
                  <w:tcW w:w="918" w:type="dxa"/>
                  <w:tcBorders>
                    <w:tl2br w:val="nil"/>
                    <w:tr2bl w:val="nil"/>
                  </w:tcBorders>
                  <w:shd w:val="clear" w:color="auto" w:fill="auto"/>
                  <w:vAlign w:val="center"/>
                </w:tcPr>
                <w:p w14:paraId="59AB19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粪大肠菌群</w:t>
                  </w:r>
                </w:p>
              </w:tc>
              <w:tc>
                <w:tcPr>
                  <w:tcW w:w="1650" w:type="dxa"/>
                  <w:tcBorders>
                    <w:tl2br w:val="nil"/>
                    <w:tr2bl w:val="nil"/>
                  </w:tcBorders>
                  <w:shd w:val="clear" w:color="auto" w:fill="auto"/>
                  <w:vAlign w:val="center"/>
                </w:tcPr>
                <w:p w14:paraId="7934BD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1.6×10</w:t>
                  </w:r>
                  <w:r>
                    <w:rPr>
                      <w:rFonts w:hint="default" w:ascii="Times New Roman" w:hAnsi="Times New Roman" w:eastAsia="宋体" w:cs="Times New Roman"/>
                      <w:b w:val="0"/>
                      <w:bCs/>
                      <w:color w:val="auto"/>
                      <w:spacing w:val="0"/>
                      <w:sz w:val="21"/>
                      <w:szCs w:val="21"/>
                      <w:highlight w:val="none"/>
                      <w:vertAlign w:val="superscript"/>
                      <w:lang w:val="en-US" w:eastAsia="zh-CN"/>
                    </w:rPr>
                    <w:t>8</w:t>
                  </w:r>
                  <w:r>
                    <w:rPr>
                      <w:rFonts w:hint="default" w:ascii="Times New Roman" w:hAnsi="Times New Roman" w:eastAsia="宋体" w:cs="Times New Roman"/>
                      <w:b w:val="0"/>
                      <w:bCs/>
                      <w:color w:val="auto"/>
                      <w:spacing w:val="0"/>
                      <w:sz w:val="21"/>
                      <w:szCs w:val="21"/>
                      <w:highlight w:val="none"/>
                      <w:vertAlign w:val="baseline"/>
                      <w:lang w:val="en-US" w:eastAsia="zh-CN"/>
                    </w:rPr>
                    <w:t>个/L</w:t>
                  </w:r>
                </w:p>
              </w:tc>
              <w:tc>
                <w:tcPr>
                  <w:tcW w:w="1536" w:type="dxa"/>
                  <w:tcBorders>
                    <w:tl2br w:val="nil"/>
                    <w:tr2bl w:val="nil"/>
                  </w:tcBorders>
                  <w:vAlign w:val="center"/>
                </w:tcPr>
                <w:p w14:paraId="443553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2.733</w:t>
                  </w:r>
                  <w:r>
                    <w:rPr>
                      <w:rFonts w:hint="default" w:ascii="Times New Roman" w:hAnsi="Times New Roman" w:eastAsia="宋体" w:cs="Times New Roman"/>
                      <w:b w:val="0"/>
                      <w:bCs/>
                      <w:color w:val="auto"/>
                      <w:spacing w:val="0"/>
                      <w:sz w:val="21"/>
                      <w:szCs w:val="21"/>
                      <w:highlight w:val="none"/>
                      <w:vertAlign w:val="baseline"/>
                      <w:lang w:val="en-US" w:eastAsia="zh-CN"/>
                    </w:rPr>
                    <w:t>×10</w:t>
                  </w:r>
                  <w:r>
                    <w:rPr>
                      <w:rFonts w:hint="eastAsia" w:ascii="Times New Roman" w:hAnsi="Times New Roman" w:eastAsia="宋体" w:cs="Times New Roman"/>
                      <w:b w:val="0"/>
                      <w:bCs/>
                      <w:color w:val="auto"/>
                      <w:spacing w:val="0"/>
                      <w:sz w:val="21"/>
                      <w:szCs w:val="21"/>
                      <w:highlight w:val="none"/>
                      <w:vertAlign w:val="superscript"/>
                      <w:lang w:val="en-US" w:eastAsia="zh-CN"/>
                    </w:rPr>
                    <w:t>13</w:t>
                  </w:r>
                  <w:r>
                    <w:rPr>
                      <w:rFonts w:hint="default" w:ascii="Times New Roman" w:hAnsi="Times New Roman" w:eastAsia="宋体" w:cs="Times New Roman"/>
                      <w:b w:val="0"/>
                      <w:bCs/>
                      <w:color w:val="auto"/>
                      <w:spacing w:val="0"/>
                      <w:sz w:val="21"/>
                      <w:szCs w:val="21"/>
                      <w:highlight w:val="none"/>
                      <w:vertAlign w:val="baseline"/>
                      <w:lang w:val="en-US" w:eastAsia="zh-CN"/>
                    </w:rPr>
                    <w:t>个</w:t>
                  </w:r>
                </w:p>
              </w:tc>
              <w:tc>
                <w:tcPr>
                  <w:tcW w:w="799" w:type="dxa"/>
                  <w:vMerge w:val="restart"/>
                  <w:tcBorders>
                    <w:tl2br w:val="nil"/>
                    <w:tr2bl w:val="nil"/>
                  </w:tcBorders>
                  <w:shd w:val="clear" w:color="auto" w:fill="auto"/>
                  <w:vAlign w:val="center"/>
                </w:tcPr>
                <w:p w14:paraId="4497B7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进入2#消毒设施</w:t>
                  </w:r>
                  <w:r>
                    <w:rPr>
                      <w:rFonts w:hint="eastAsia" w:cs="Times New Roman"/>
                      <w:b w:val="0"/>
                      <w:bCs/>
                      <w:color w:val="auto"/>
                      <w:spacing w:val="0"/>
                      <w:sz w:val="21"/>
                      <w:szCs w:val="21"/>
                      <w:highlight w:val="none"/>
                      <w:vertAlign w:val="baseline"/>
                      <w:lang w:val="en-US" w:eastAsia="zh-CN"/>
                    </w:rPr>
                    <w:t>预处理后进入生化池</w:t>
                  </w:r>
                </w:p>
              </w:tc>
              <w:tc>
                <w:tcPr>
                  <w:tcW w:w="1130" w:type="dxa"/>
                  <w:tcBorders>
                    <w:tl2br w:val="nil"/>
                    <w:tr2bl w:val="nil"/>
                  </w:tcBorders>
                  <w:shd w:val="clear" w:color="auto" w:fill="auto"/>
                  <w:vAlign w:val="center"/>
                </w:tcPr>
                <w:p w14:paraId="6B4C49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5000个/L</w:t>
                  </w:r>
                </w:p>
              </w:tc>
              <w:tc>
                <w:tcPr>
                  <w:tcW w:w="1592" w:type="dxa"/>
                  <w:tcBorders>
                    <w:tl2br w:val="nil"/>
                    <w:tr2bl w:val="nil"/>
                  </w:tcBorders>
                  <w:shd w:val="clear" w:color="auto" w:fill="auto"/>
                  <w:vAlign w:val="center"/>
                </w:tcPr>
                <w:p w14:paraId="6BADBD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vertAlign w:val="baseline"/>
                      <w:lang w:val="en-US" w:eastAsia="zh-CN"/>
                    </w:rPr>
                  </w:pPr>
                  <w:r>
                    <w:rPr>
                      <w:rFonts w:hint="eastAsia" w:cs="Times New Roman"/>
                      <w:b w:val="0"/>
                      <w:bCs/>
                      <w:color w:val="auto"/>
                      <w:spacing w:val="0"/>
                      <w:sz w:val="21"/>
                      <w:szCs w:val="21"/>
                      <w:vertAlign w:val="baseline"/>
                      <w:lang w:val="en-US" w:eastAsia="zh-CN"/>
                    </w:rPr>
                    <w:t>8.541</w:t>
                  </w:r>
                  <w:r>
                    <w:rPr>
                      <w:rFonts w:hint="eastAsia" w:ascii="Times New Roman" w:hAnsi="Times New Roman" w:eastAsia="宋体" w:cs="Times New Roman"/>
                      <w:b w:val="0"/>
                      <w:bCs/>
                      <w:color w:val="auto"/>
                      <w:spacing w:val="0"/>
                      <w:sz w:val="21"/>
                      <w:szCs w:val="21"/>
                      <w:vertAlign w:val="baseline"/>
                      <w:lang w:val="en-US" w:eastAsia="zh-CN"/>
                    </w:rPr>
                    <w:t>×10</w:t>
                  </w:r>
                  <w:r>
                    <w:rPr>
                      <w:rFonts w:hint="eastAsia" w:ascii="Times New Roman" w:hAnsi="Times New Roman" w:eastAsia="宋体" w:cs="Times New Roman"/>
                      <w:b w:val="0"/>
                      <w:bCs/>
                      <w:color w:val="auto"/>
                      <w:spacing w:val="0"/>
                      <w:sz w:val="21"/>
                      <w:szCs w:val="21"/>
                      <w:vertAlign w:val="superscript"/>
                      <w:lang w:val="en-US" w:eastAsia="zh-CN"/>
                    </w:rPr>
                    <w:t>8</w:t>
                  </w:r>
                  <w:r>
                    <w:rPr>
                      <w:rFonts w:hint="eastAsia" w:ascii="Times New Roman" w:hAnsi="Times New Roman" w:eastAsia="宋体" w:cs="Times New Roman"/>
                      <w:b w:val="0"/>
                      <w:bCs/>
                      <w:color w:val="auto"/>
                      <w:spacing w:val="0"/>
                      <w:sz w:val="21"/>
                      <w:szCs w:val="21"/>
                      <w:vertAlign w:val="baseline"/>
                      <w:lang w:val="en-US" w:eastAsia="zh-CN"/>
                    </w:rPr>
                    <w:t>个/L</w:t>
                  </w:r>
                </w:p>
              </w:tc>
              <w:tc>
                <w:tcPr>
                  <w:tcW w:w="1042" w:type="dxa"/>
                  <w:tcBorders>
                    <w:tl2br w:val="nil"/>
                    <w:tr2bl w:val="nil"/>
                  </w:tcBorders>
                  <w:shd w:val="clear" w:color="auto" w:fill="auto"/>
                  <w:vAlign w:val="center"/>
                </w:tcPr>
                <w:p w14:paraId="3F542B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shd w:val="clear" w:color="auto" w:fill="auto"/>
                  <w:vAlign w:val="center"/>
                </w:tcPr>
                <w:p w14:paraId="4CD3FF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r>
            <w:tr w14:paraId="65D52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156A36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4808B7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2B1598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总余氯</w:t>
                  </w:r>
                </w:p>
              </w:tc>
              <w:tc>
                <w:tcPr>
                  <w:tcW w:w="1650" w:type="dxa"/>
                  <w:tcBorders>
                    <w:tl2br w:val="nil"/>
                    <w:tr2bl w:val="nil"/>
                  </w:tcBorders>
                  <w:shd w:val="clear" w:color="auto" w:fill="auto"/>
                  <w:vAlign w:val="center"/>
                </w:tcPr>
                <w:p w14:paraId="3BD1C1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1536" w:type="dxa"/>
                  <w:tcBorders>
                    <w:tl2br w:val="nil"/>
                    <w:tr2bl w:val="nil"/>
                  </w:tcBorders>
                  <w:vAlign w:val="center"/>
                </w:tcPr>
                <w:p w14:paraId="6806F1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continue"/>
                  <w:tcBorders>
                    <w:tl2br w:val="nil"/>
                    <w:tr2bl w:val="nil"/>
                  </w:tcBorders>
                  <w:shd w:val="clear" w:color="auto" w:fill="auto"/>
                  <w:vAlign w:val="center"/>
                </w:tcPr>
                <w:p w14:paraId="78EF4C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shd w:val="clear" w:color="auto" w:fill="auto"/>
                  <w:vAlign w:val="center"/>
                </w:tcPr>
                <w:p w14:paraId="51FA12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2~8</w:t>
                  </w:r>
                </w:p>
              </w:tc>
              <w:tc>
                <w:tcPr>
                  <w:tcW w:w="1592" w:type="dxa"/>
                  <w:tcBorders>
                    <w:tl2br w:val="nil"/>
                    <w:tr2bl w:val="nil"/>
                  </w:tcBorders>
                  <w:shd w:val="clear" w:color="auto" w:fill="auto"/>
                  <w:vAlign w:val="center"/>
                </w:tcPr>
                <w:p w14:paraId="437479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0.000</w:t>
                  </w:r>
                  <w:r>
                    <w:rPr>
                      <w:rFonts w:hint="eastAsia" w:cs="Times New Roman"/>
                      <w:b w:val="0"/>
                      <w:bCs/>
                      <w:color w:val="auto"/>
                      <w:spacing w:val="0"/>
                      <w:sz w:val="21"/>
                      <w:szCs w:val="21"/>
                      <w:vertAlign w:val="baseline"/>
                      <w:lang w:val="en-US" w:eastAsia="zh-CN"/>
                    </w:rPr>
                    <w:t>3</w:t>
                  </w:r>
                  <w:r>
                    <w:rPr>
                      <w:rFonts w:hint="eastAsia" w:ascii="Times New Roman" w:hAnsi="Times New Roman" w:eastAsia="宋体" w:cs="Times New Roman"/>
                      <w:b w:val="0"/>
                      <w:bCs/>
                      <w:color w:val="auto"/>
                      <w:spacing w:val="0"/>
                      <w:sz w:val="21"/>
                      <w:szCs w:val="21"/>
                      <w:vertAlign w:val="baseline"/>
                      <w:lang w:val="en-US" w:eastAsia="zh-CN"/>
                    </w:rPr>
                    <w:t>~0.00</w:t>
                  </w:r>
                  <w:r>
                    <w:rPr>
                      <w:rFonts w:hint="eastAsia" w:cs="Times New Roman"/>
                      <w:b w:val="0"/>
                      <w:bCs/>
                      <w:color w:val="auto"/>
                      <w:spacing w:val="0"/>
                      <w:sz w:val="21"/>
                      <w:szCs w:val="21"/>
                      <w:vertAlign w:val="baseline"/>
                      <w:lang w:val="en-US" w:eastAsia="zh-CN"/>
                    </w:rPr>
                    <w:t>14</w:t>
                  </w:r>
                </w:p>
              </w:tc>
              <w:tc>
                <w:tcPr>
                  <w:tcW w:w="1042" w:type="dxa"/>
                  <w:tcBorders>
                    <w:tl2br w:val="nil"/>
                    <w:tr2bl w:val="nil"/>
                  </w:tcBorders>
                  <w:shd w:val="clear" w:color="auto" w:fill="auto"/>
                  <w:vAlign w:val="center"/>
                </w:tcPr>
                <w:p w14:paraId="4029F5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shd w:val="clear" w:color="auto" w:fill="auto"/>
                  <w:vAlign w:val="center"/>
                </w:tcPr>
                <w:p w14:paraId="3B70C5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r>
            <w:tr w14:paraId="1CB44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restart"/>
                  <w:tcBorders>
                    <w:tl2br w:val="nil"/>
                    <w:tr2bl w:val="nil"/>
                  </w:tcBorders>
                  <w:vAlign w:val="center"/>
                </w:tcPr>
                <w:p w14:paraId="47F8E3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宠物洗浴废水</w:t>
                  </w:r>
                </w:p>
              </w:tc>
              <w:tc>
                <w:tcPr>
                  <w:tcW w:w="937" w:type="dxa"/>
                  <w:vMerge w:val="restart"/>
                  <w:tcBorders>
                    <w:tl2br w:val="nil"/>
                    <w:tr2bl w:val="nil"/>
                  </w:tcBorders>
                  <w:vAlign w:val="center"/>
                </w:tcPr>
                <w:p w14:paraId="35ACC1C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164.25</w:t>
                  </w:r>
                </w:p>
              </w:tc>
              <w:tc>
                <w:tcPr>
                  <w:tcW w:w="918" w:type="dxa"/>
                  <w:tcBorders>
                    <w:tl2br w:val="nil"/>
                    <w:tr2bl w:val="nil"/>
                  </w:tcBorders>
                  <w:vAlign w:val="center"/>
                </w:tcPr>
                <w:p w14:paraId="48BE3D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pH</w:t>
                  </w:r>
                </w:p>
              </w:tc>
              <w:tc>
                <w:tcPr>
                  <w:tcW w:w="1650" w:type="dxa"/>
                  <w:tcBorders>
                    <w:tl2br w:val="nil"/>
                    <w:tr2bl w:val="nil"/>
                  </w:tcBorders>
                  <w:vAlign w:val="center"/>
                </w:tcPr>
                <w:p w14:paraId="6E46B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6~9</w:t>
                  </w:r>
                  <w:r>
                    <w:rPr>
                      <w:rFonts w:hint="default" w:ascii="Times New Roman" w:hAnsi="Times New Roman" w:eastAsia="宋体" w:cs="Times New Roman"/>
                      <w:b w:val="0"/>
                      <w:bCs/>
                      <w:color w:val="auto"/>
                      <w:spacing w:val="0"/>
                      <w:sz w:val="21"/>
                      <w:szCs w:val="21"/>
                      <w:highlight w:val="none"/>
                      <w:vertAlign w:val="baseline"/>
                      <w:lang w:val="en-US" w:eastAsia="zh-CN"/>
                    </w:rPr>
                    <w:t>（无量纲）</w:t>
                  </w:r>
                </w:p>
              </w:tc>
              <w:tc>
                <w:tcPr>
                  <w:tcW w:w="1536" w:type="dxa"/>
                  <w:tcBorders>
                    <w:tl2br w:val="nil"/>
                    <w:tr2bl w:val="nil"/>
                  </w:tcBorders>
                  <w:vAlign w:val="center"/>
                </w:tcPr>
                <w:p w14:paraId="261C4F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restart"/>
                  <w:tcBorders>
                    <w:tl2br w:val="nil"/>
                    <w:tr2bl w:val="nil"/>
                  </w:tcBorders>
                  <w:vAlign w:val="center"/>
                </w:tcPr>
                <w:p w14:paraId="6C9E57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snapToGrid w:val="0"/>
                      <w:color w:val="auto"/>
                      <w:kern w:val="2"/>
                      <w:sz w:val="21"/>
                      <w:szCs w:val="21"/>
                      <w:highlight w:val="none"/>
                      <w:lang w:val="en-US" w:eastAsia="zh-CN" w:bidi="ar-SA"/>
                    </w:rPr>
                    <w:t>过滤后进入生化池</w:t>
                  </w:r>
                </w:p>
              </w:tc>
              <w:tc>
                <w:tcPr>
                  <w:tcW w:w="1130" w:type="dxa"/>
                  <w:tcBorders>
                    <w:tl2br w:val="nil"/>
                    <w:tr2bl w:val="nil"/>
                  </w:tcBorders>
                  <w:vAlign w:val="center"/>
                </w:tcPr>
                <w:p w14:paraId="6BABBC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773279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709067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462C31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2B57F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03B3D1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rPr>
                  </w:pPr>
                </w:p>
              </w:tc>
              <w:tc>
                <w:tcPr>
                  <w:tcW w:w="937" w:type="dxa"/>
                  <w:vMerge w:val="continue"/>
                  <w:tcBorders>
                    <w:tl2br w:val="nil"/>
                    <w:tr2bl w:val="nil"/>
                  </w:tcBorders>
                  <w:vAlign w:val="center"/>
                </w:tcPr>
                <w:p w14:paraId="55F46E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rPr>
                  </w:pPr>
                </w:p>
              </w:tc>
              <w:tc>
                <w:tcPr>
                  <w:tcW w:w="918" w:type="dxa"/>
                  <w:tcBorders>
                    <w:tl2br w:val="nil"/>
                    <w:tr2bl w:val="nil"/>
                  </w:tcBorders>
                  <w:vAlign w:val="center"/>
                </w:tcPr>
                <w:p w14:paraId="3056EC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COD</w:t>
                  </w:r>
                </w:p>
              </w:tc>
              <w:tc>
                <w:tcPr>
                  <w:tcW w:w="1650" w:type="dxa"/>
                  <w:tcBorders>
                    <w:tl2br w:val="nil"/>
                    <w:tr2bl w:val="nil"/>
                  </w:tcBorders>
                  <w:vAlign w:val="center"/>
                </w:tcPr>
                <w:p w14:paraId="5A8EF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300</w:t>
                  </w:r>
                </w:p>
              </w:tc>
              <w:tc>
                <w:tcPr>
                  <w:tcW w:w="1536" w:type="dxa"/>
                  <w:tcBorders>
                    <w:tl2br w:val="nil"/>
                    <w:tr2bl w:val="nil"/>
                  </w:tcBorders>
                  <w:vAlign w:val="center"/>
                </w:tcPr>
                <w:p w14:paraId="69BA6CA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0.049 </w:t>
                  </w:r>
                </w:p>
              </w:tc>
              <w:tc>
                <w:tcPr>
                  <w:tcW w:w="799" w:type="dxa"/>
                  <w:vMerge w:val="continue"/>
                  <w:tcBorders>
                    <w:tl2br w:val="nil"/>
                    <w:tr2bl w:val="nil"/>
                  </w:tcBorders>
                  <w:vAlign w:val="center"/>
                </w:tcPr>
                <w:p w14:paraId="0B46C9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216B28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1B2AEC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0ADB6A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3E334B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3BA50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304642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37" w:type="dxa"/>
                  <w:vMerge w:val="continue"/>
                  <w:tcBorders>
                    <w:tl2br w:val="nil"/>
                    <w:tr2bl w:val="nil"/>
                  </w:tcBorders>
                  <w:vAlign w:val="center"/>
                </w:tcPr>
                <w:p w14:paraId="3BD846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18" w:type="dxa"/>
                  <w:tcBorders>
                    <w:tl2br w:val="nil"/>
                    <w:tr2bl w:val="nil"/>
                  </w:tcBorders>
                  <w:vAlign w:val="center"/>
                </w:tcPr>
                <w:p w14:paraId="30E02C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SS</w:t>
                  </w:r>
                </w:p>
              </w:tc>
              <w:tc>
                <w:tcPr>
                  <w:tcW w:w="1650" w:type="dxa"/>
                  <w:tcBorders>
                    <w:tl2br w:val="nil"/>
                    <w:tr2bl w:val="nil"/>
                  </w:tcBorders>
                  <w:vAlign w:val="center"/>
                </w:tcPr>
                <w:p w14:paraId="0EF277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350</w:t>
                  </w:r>
                </w:p>
              </w:tc>
              <w:tc>
                <w:tcPr>
                  <w:tcW w:w="1536" w:type="dxa"/>
                  <w:tcBorders>
                    <w:tl2br w:val="nil"/>
                    <w:tr2bl w:val="nil"/>
                  </w:tcBorders>
                  <w:vAlign w:val="center"/>
                </w:tcPr>
                <w:p w14:paraId="1506EAA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0.057 </w:t>
                  </w:r>
                </w:p>
              </w:tc>
              <w:tc>
                <w:tcPr>
                  <w:tcW w:w="799" w:type="dxa"/>
                  <w:vMerge w:val="continue"/>
                  <w:tcBorders>
                    <w:tl2br w:val="nil"/>
                    <w:tr2bl w:val="nil"/>
                  </w:tcBorders>
                  <w:vAlign w:val="center"/>
                </w:tcPr>
                <w:p w14:paraId="3D9728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765D0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13ABC5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0872D8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48A221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B653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35C989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37" w:type="dxa"/>
                  <w:vMerge w:val="continue"/>
                  <w:tcBorders>
                    <w:tl2br w:val="nil"/>
                    <w:tr2bl w:val="nil"/>
                  </w:tcBorders>
                  <w:vAlign w:val="center"/>
                </w:tcPr>
                <w:p w14:paraId="344EF7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18" w:type="dxa"/>
                  <w:tcBorders>
                    <w:tl2br w:val="nil"/>
                    <w:tr2bl w:val="nil"/>
                  </w:tcBorders>
                  <w:shd w:val="clear" w:color="auto" w:fill="auto"/>
                  <w:vAlign w:val="center"/>
                </w:tcPr>
                <w:p w14:paraId="0307EB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LAS</w:t>
                  </w:r>
                </w:p>
              </w:tc>
              <w:tc>
                <w:tcPr>
                  <w:tcW w:w="1650" w:type="dxa"/>
                  <w:tcBorders>
                    <w:tl2br w:val="nil"/>
                    <w:tr2bl w:val="nil"/>
                  </w:tcBorders>
                  <w:shd w:val="clear" w:color="auto" w:fill="auto"/>
                  <w:vAlign w:val="center"/>
                </w:tcPr>
                <w:p w14:paraId="56C043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30</w:t>
                  </w:r>
                </w:p>
              </w:tc>
              <w:tc>
                <w:tcPr>
                  <w:tcW w:w="1536" w:type="dxa"/>
                  <w:tcBorders>
                    <w:tl2br w:val="nil"/>
                    <w:tr2bl w:val="nil"/>
                  </w:tcBorders>
                  <w:vAlign w:val="center"/>
                </w:tcPr>
                <w:p w14:paraId="3166A90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799" w:type="dxa"/>
                  <w:vMerge w:val="continue"/>
                  <w:tcBorders>
                    <w:tl2br w:val="nil"/>
                    <w:tr2bl w:val="nil"/>
                  </w:tcBorders>
                  <w:vAlign w:val="center"/>
                </w:tcPr>
                <w:p w14:paraId="17C0E3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54A73B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7FD8C8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741250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546545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94A9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4D7E5B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37" w:type="dxa"/>
                  <w:vMerge w:val="continue"/>
                  <w:tcBorders>
                    <w:tl2br w:val="nil"/>
                    <w:tr2bl w:val="nil"/>
                  </w:tcBorders>
                  <w:vAlign w:val="center"/>
                </w:tcPr>
                <w:p w14:paraId="17323E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18" w:type="dxa"/>
                  <w:tcBorders>
                    <w:tl2br w:val="nil"/>
                    <w:tr2bl w:val="nil"/>
                  </w:tcBorders>
                  <w:vAlign w:val="center"/>
                </w:tcPr>
                <w:p w14:paraId="691EC7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TP</w:t>
                  </w:r>
                </w:p>
              </w:tc>
              <w:tc>
                <w:tcPr>
                  <w:tcW w:w="1650" w:type="dxa"/>
                  <w:tcBorders>
                    <w:tl2br w:val="nil"/>
                    <w:tr2bl w:val="nil"/>
                  </w:tcBorders>
                  <w:vAlign w:val="center"/>
                </w:tcPr>
                <w:p w14:paraId="044998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10</w:t>
                  </w:r>
                </w:p>
              </w:tc>
              <w:tc>
                <w:tcPr>
                  <w:tcW w:w="1536" w:type="dxa"/>
                  <w:tcBorders>
                    <w:tl2br w:val="nil"/>
                    <w:tr2bl w:val="nil"/>
                  </w:tcBorders>
                  <w:vAlign w:val="center"/>
                </w:tcPr>
                <w:p w14:paraId="6B3DB3A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799" w:type="dxa"/>
                  <w:vMerge w:val="continue"/>
                  <w:tcBorders>
                    <w:tl2br w:val="nil"/>
                    <w:tr2bl w:val="nil"/>
                  </w:tcBorders>
                  <w:vAlign w:val="center"/>
                </w:tcPr>
                <w:p w14:paraId="7560EF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12EEC1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3D3446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097117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668422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21AE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restart"/>
                  <w:tcBorders>
                    <w:tl2br w:val="nil"/>
                    <w:tr2bl w:val="nil"/>
                  </w:tcBorders>
                  <w:vAlign w:val="center"/>
                </w:tcPr>
                <w:p w14:paraId="34BF59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地面清洁</w:t>
                  </w:r>
                  <w:r>
                    <w:rPr>
                      <w:rFonts w:hint="eastAsia" w:ascii="Times New Roman" w:hAnsi="Times New Roman" w:eastAsia="宋体" w:cs="Times New Roman"/>
                      <w:b w:val="0"/>
                      <w:bCs w:val="0"/>
                      <w:color w:val="auto"/>
                      <w:sz w:val="21"/>
                      <w:szCs w:val="21"/>
                      <w:highlight w:val="none"/>
                      <w:lang w:val="en-US" w:eastAsia="zh-CN"/>
                    </w:rPr>
                    <w:t>废水</w:t>
                  </w:r>
                </w:p>
              </w:tc>
              <w:tc>
                <w:tcPr>
                  <w:tcW w:w="937" w:type="dxa"/>
                  <w:vMerge w:val="restart"/>
                  <w:tcBorders>
                    <w:tl2br w:val="nil"/>
                    <w:tr2bl w:val="nil"/>
                  </w:tcBorders>
                  <w:vAlign w:val="center"/>
                </w:tcPr>
                <w:p w14:paraId="10C8FDC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59.13</w:t>
                  </w:r>
                </w:p>
              </w:tc>
              <w:tc>
                <w:tcPr>
                  <w:tcW w:w="918" w:type="dxa"/>
                  <w:tcBorders>
                    <w:tl2br w:val="nil"/>
                    <w:tr2bl w:val="nil"/>
                  </w:tcBorders>
                  <w:shd w:val="clear" w:color="auto" w:fill="auto"/>
                  <w:vAlign w:val="center"/>
                </w:tcPr>
                <w:p w14:paraId="4F89B9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pH</w:t>
                  </w:r>
                </w:p>
              </w:tc>
              <w:tc>
                <w:tcPr>
                  <w:tcW w:w="1650" w:type="dxa"/>
                  <w:tcBorders>
                    <w:tl2br w:val="nil"/>
                    <w:tr2bl w:val="nil"/>
                  </w:tcBorders>
                  <w:shd w:val="clear" w:color="auto" w:fill="auto"/>
                  <w:vAlign w:val="center"/>
                </w:tcPr>
                <w:p w14:paraId="20D36B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6~9</w:t>
                  </w:r>
                  <w:r>
                    <w:rPr>
                      <w:rFonts w:hint="default" w:ascii="Times New Roman" w:hAnsi="Times New Roman" w:eastAsia="宋体" w:cs="Times New Roman"/>
                      <w:b w:val="0"/>
                      <w:bCs/>
                      <w:color w:val="auto"/>
                      <w:spacing w:val="0"/>
                      <w:sz w:val="21"/>
                      <w:szCs w:val="21"/>
                      <w:highlight w:val="none"/>
                      <w:vertAlign w:val="baseline"/>
                      <w:lang w:val="en-US" w:eastAsia="zh-CN"/>
                    </w:rPr>
                    <w:t>（无量纲）</w:t>
                  </w:r>
                </w:p>
              </w:tc>
              <w:tc>
                <w:tcPr>
                  <w:tcW w:w="1536" w:type="dxa"/>
                  <w:tcBorders>
                    <w:tl2br w:val="nil"/>
                    <w:tr2bl w:val="nil"/>
                  </w:tcBorders>
                  <w:vAlign w:val="center"/>
                </w:tcPr>
                <w:p w14:paraId="319787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restart"/>
                  <w:tcBorders>
                    <w:tl2br w:val="nil"/>
                    <w:tr2bl w:val="nil"/>
                  </w:tcBorders>
                  <w:vAlign w:val="center"/>
                </w:tcPr>
                <w:p w14:paraId="74A858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snapToGrid w:val="0"/>
                      <w:color w:val="auto"/>
                      <w:kern w:val="2"/>
                      <w:sz w:val="21"/>
                      <w:szCs w:val="21"/>
                      <w:highlight w:val="none"/>
                      <w:lang w:val="en-US" w:eastAsia="zh-CN" w:bidi="ar-SA"/>
                    </w:rPr>
                    <w:t>进入生化池</w:t>
                  </w:r>
                </w:p>
              </w:tc>
              <w:tc>
                <w:tcPr>
                  <w:tcW w:w="1130" w:type="dxa"/>
                  <w:tcBorders>
                    <w:tl2br w:val="nil"/>
                    <w:tr2bl w:val="nil"/>
                  </w:tcBorders>
                  <w:vAlign w:val="center"/>
                </w:tcPr>
                <w:p w14:paraId="61643E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6AC45B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17409E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622D2E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31BCF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588CAA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37" w:type="dxa"/>
                  <w:vMerge w:val="continue"/>
                  <w:tcBorders>
                    <w:tl2br w:val="nil"/>
                    <w:tr2bl w:val="nil"/>
                  </w:tcBorders>
                  <w:vAlign w:val="center"/>
                </w:tcPr>
                <w:p w14:paraId="693F01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18" w:type="dxa"/>
                  <w:tcBorders>
                    <w:tl2br w:val="nil"/>
                    <w:tr2bl w:val="nil"/>
                  </w:tcBorders>
                  <w:shd w:val="clear" w:color="auto" w:fill="auto"/>
                  <w:vAlign w:val="center"/>
                </w:tcPr>
                <w:p w14:paraId="2DFE42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COD</w:t>
                  </w:r>
                </w:p>
              </w:tc>
              <w:tc>
                <w:tcPr>
                  <w:tcW w:w="1650" w:type="dxa"/>
                  <w:tcBorders>
                    <w:tl2br w:val="nil"/>
                    <w:tr2bl w:val="nil"/>
                  </w:tcBorders>
                  <w:shd w:val="clear" w:color="auto" w:fill="auto"/>
                  <w:vAlign w:val="center"/>
                </w:tcPr>
                <w:p w14:paraId="098B5D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400</w:t>
                  </w:r>
                </w:p>
              </w:tc>
              <w:tc>
                <w:tcPr>
                  <w:tcW w:w="1536" w:type="dxa"/>
                  <w:tcBorders>
                    <w:tl2br w:val="nil"/>
                    <w:tr2bl w:val="nil"/>
                  </w:tcBorders>
                  <w:vAlign w:val="center"/>
                </w:tcPr>
                <w:p w14:paraId="21AA2B8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0.024 </w:t>
                  </w:r>
                </w:p>
              </w:tc>
              <w:tc>
                <w:tcPr>
                  <w:tcW w:w="799" w:type="dxa"/>
                  <w:vMerge w:val="continue"/>
                  <w:tcBorders>
                    <w:tl2br w:val="nil"/>
                    <w:tr2bl w:val="nil"/>
                  </w:tcBorders>
                  <w:vAlign w:val="center"/>
                </w:tcPr>
                <w:p w14:paraId="212E7E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2BAA20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735EFC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56CBCA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0D8C12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68224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6CA182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37" w:type="dxa"/>
                  <w:vMerge w:val="continue"/>
                  <w:tcBorders>
                    <w:tl2br w:val="nil"/>
                    <w:tr2bl w:val="nil"/>
                  </w:tcBorders>
                  <w:vAlign w:val="center"/>
                </w:tcPr>
                <w:p w14:paraId="273043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18" w:type="dxa"/>
                  <w:tcBorders>
                    <w:tl2br w:val="nil"/>
                    <w:tr2bl w:val="nil"/>
                  </w:tcBorders>
                  <w:shd w:val="clear" w:color="auto" w:fill="auto"/>
                  <w:vAlign w:val="center"/>
                </w:tcPr>
                <w:p w14:paraId="2F3D03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BOD</w:t>
                  </w:r>
                  <w:r>
                    <w:rPr>
                      <w:rFonts w:hint="default" w:ascii="Times New Roman" w:hAnsi="Times New Roman" w:eastAsia="宋体" w:cs="Times New Roman"/>
                      <w:b w:val="0"/>
                      <w:bCs/>
                      <w:color w:val="auto"/>
                      <w:spacing w:val="0"/>
                      <w:sz w:val="21"/>
                      <w:szCs w:val="21"/>
                      <w:highlight w:val="none"/>
                      <w:vertAlign w:val="subscript"/>
                      <w:lang w:val="en-US" w:eastAsia="zh-CN"/>
                    </w:rPr>
                    <w:t>5</w:t>
                  </w:r>
                </w:p>
              </w:tc>
              <w:tc>
                <w:tcPr>
                  <w:tcW w:w="1650" w:type="dxa"/>
                  <w:tcBorders>
                    <w:tl2br w:val="nil"/>
                    <w:tr2bl w:val="nil"/>
                  </w:tcBorders>
                  <w:shd w:val="clear" w:color="auto" w:fill="auto"/>
                  <w:vAlign w:val="center"/>
                </w:tcPr>
                <w:p w14:paraId="786D2D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400</w:t>
                  </w:r>
                </w:p>
              </w:tc>
              <w:tc>
                <w:tcPr>
                  <w:tcW w:w="1536" w:type="dxa"/>
                  <w:tcBorders>
                    <w:tl2br w:val="nil"/>
                    <w:tr2bl w:val="nil"/>
                  </w:tcBorders>
                  <w:vAlign w:val="center"/>
                </w:tcPr>
                <w:p w14:paraId="3384D0A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0.024 </w:t>
                  </w:r>
                </w:p>
              </w:tc>
              <w:tc>
                <w:tcPr>
                  <w:tcW w:w="799" w:type="dxa"/>
                  <w:vMerge w:val="continue"/>
                  <w:tcBorders>
                    <w:tl2br w:val="nil"/>
                    <w:tr2bl w:val="nil"/>
                  </w:tcBorders>
                  <w:vAlign w:val="center"/>
                </w:tcPr>
                <w:p w14:paraId="7F65847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323FDB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6E0D81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337756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564753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5995C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775FB3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37" w:type="dxa"/>
                  <w:vMerge w:val="continue"/>
                  <w:tcBorders>
                    <w:tl2br w:val="nil"/>
                    <w:tr2bl w:val="nil"/>
                  </w:tcBorders>
                  <w:vAlign w:val="center"/>
                </w:tcPr>
                <w:p w14:paraId="09934B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918" w:type="dxa"/>
                  <w:tcBorders>
                    <w:tl2br w:val="nil"/>
                    <w:tr2bl w:val="nil"/>
                  </w:tcBorders>
                  <w:shd w:val="clear" w:color="auto" w:fill="auto"/>
                  <w:vAlign w:val="center"/>
                </w:tcPr>
                <w:p w14:paraId="046327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SS</w:t>
                  </w:r>
                </w:p>
              </w:tc>
              <w:tc>
                <w:tcPr>
                  <w:tcW w:w="1650" w:type="dxa"/>
                  <w:tcBorders>
                    <w:tl2br w:val="nil"/>
                    <w:tr2bl w:val="nil"/>
                  </w:tcBorders>
                  <w:shd w:val="clear" w:color="auto" w:fill="auto"/>
                  <w:vAlign w:val="center"/>
                </w:tcPr>
                <w:p w14:paraId="1FE040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350</w:t>
                  </w:r>
                </w:p>
              </w:tc>
              <w:tc>
                <w:tcPr>
                  <w:tcW w:w="1536" w:type="dxa"/>
                  <w:tcBorders>
                    <w:tl2br w:val="nil"/>
                    <w:tr2bl w:val="nil"/>
                  </w:tcBorders>
                  <w:vAlign w:val="center"/>
                </w:tcPr>
                <w:p w14:paraId="62A50DB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799" w:type="dxa"/>
                  <w:vMerge w:val="continue"/>
                  <w:tcBorders>
                    <w:tl2br w:val="nil"/>
                    <w:tr2bl w:val="nil"/>
                  </w:tcBorders>
                  <w:vAlign w:val="center"/>
                </w:tcPr>
                <w:p w14:paraId="3516D2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674582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5FA350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163BE8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5C2987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1C462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restart"/>
                  <w:tcBorders>
                    <w:tl2br w:val="nil"/>
                    <w:tr2bl w:val="nil"/>
                  </w:tcBorders>
                  <w:vAlign w:val="center"/>
                </w:tcPr>
                <w:p w14:paraId="1ED9E7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洗衣废水</w:t>
                  </w:r>
                </w:p>
              </w:tc>
              <w:tc>
                <w:tcPr>
                  <w:tcW w:w="937" w:type="dxa"/>
                  <w:vMerge w:val="restart"/>
                  <w:tcBorders>
                    <w:tl2br w:val="nil"/>
                    <w:tr2bl w:val="nil"/>
                  </w:tcBorders>
                  <w:vAlign w:val="center"/>
                </w:tcPr>
                <w:p w14:paraId="0BAA034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59.13</w:t>
                  </w:r>
                </w:p>
              </w:tc>
              <w:tc>
                <w:tcPr>
                  <w:tcW w:w="918" w:type="dxa"/>
                  <w:tcBorders>
                    <w:tl2br w:val="nil"/>
                    <w:tr2bl w:val="nil"/>
                  </w:tcBorders>
                  <w:shd w:val="clear" w:color="auto" w:fill="auto"/>
                  <w:vAlign w:val="center"/>
                </w:tcPr>
                <w:p w14:paraId="4EC720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pH</w:t>
                  </w:r>
                </w:p>
              </w:tc>
              <w:tc>
                <w:tcPr>
                  <w:tcW w:w="1650" w:type="dxa"/>
                  <w:tcBorders>
                    <w:tl2br w:val="nil"/>
                    <w:tr2bl w:val="nil"/>
                  </w:tcBorders>
                  <w:vAlign w:val="center"/>
                </w:tcPr>
                <w:p w14:paraId="12E260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6~9（无量纲）</w:t>
                  </w:r>
                </w:p>
              </w:tc>
              <w:tc>
                <w:tcPr>
                  <w:tcW w:w="1536" w:type="dxa"/>
                  <w:tcBorders>
                    <w:tl2br w:val="nil"/>
                    <w:tr2bl w:val="nil"/>
                  </w:tcBorders>
                  <w:vAlign w:val="center"/>
                </w:tcPr>
                <w:p w14:paraId="1C8C4C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continue"/>
                  <w:tcBorders>
                    <w:tl2br w:val="nil"/>
                    <w:tr2bl w:val="nil"/>
                  </w:tcBorders>
                  <w:vAlign w:val="center"/>
                </w:tcPr>
                <w:p w14:paraId="09B96C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CAEB5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7FC8CF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69F80F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0FF82C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1F8CC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27D64D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353BB2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4A7226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COD</w:t>
                  </w:r>
                </w:p>
              </w:tc>
              <w:tc>
                <w:tcPr>
                  <w:tcW w:w="1650" w:type="dxa"/>
                  <w:tcBorders>
                    <w:tl2br w:val="nil"/>
                    <w:tr2bl w:val="nil"/>
                  </w:tcBorders>
                  <w:vAlign w:val="center"/>
                </w:tcPr>
                <w:p w14:paraId="2A4006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500</w:t>
                  </w:r>
                </w:p>
              </w:tc>
              <w:tc>
                <w:tcPr>
                  <w:tcW w:w="1536" w:type="dxa"/>
                  <w:tcBorders>
                    <w:tl2br w:val="nil"/>
                    <w:tr2bl w:val="nil"/>
                  </w:tcBorders>
                  <w:vAlign w:val="center"/>
                </w:tcPr>
                <w:p w14:paraId="19B2652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0.030 </w:t>
                  </w:r>
                </w:p>
              </w:tc>
              <w:tc>
                <w:tcPr>
                  <w:tcW w:w="799" w:type="dxa"/>
                  <w:vMerge w:val="continue"/>
                  <w:tcBorders>
                    <w:tl2br w:val="nil"/>
                    <w:tr2bl w:val="nil"/>
                  </w:tcBorders>
                  <w:vAlign w:val="center"/>
                </w:tcPr>
                <w:p w14:paraId="12043E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1B311A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3872AD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480238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29481E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351F6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1EEF3A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64AC8F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vAlign w:val="center"/>
                </w:tcPr>
                <w:p w14:paraId="5D396B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SS</w:t>
                  </w:r>
                </w:p>
              </w:tc>
              <w:tc>
                <w:tcPr>
                  <w:tcW w:w="1650" w:type="dxa"/>
                  <w:tcBorders>
                    <w:tl2br w:val="nil"/>
                    <w:tr2bl w:val="nil"/>
                  </w:tcBorders>
                  <w:vAlign w:val="center"/>
                </w:tcPr>
                <w:p w14:paraId="3BB42B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300</w:t>
                  </w:r>
                </w:p>
              </w:tc>
              <w:tc>
                <w:tcPr>
                  <w:tcW w:w="1536" w:type="dxa"/>
                  <w:tcBorders>
                    <w:tl2br w:val="nil"/>
                    <w:tr2bl w:val="nil"/>
                  </w:tcBorders>
                  <w:vAlign w:val="center"/>
                </w:tcPr>
                <w:p w14:paraId="16A8439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0.018 </w:t>
                  </w:r>
                </w:p>
              </w:tc>
              <w:tc>
                <w:tcPr>
                  <w:tcW w:w="799" w:type="dxa"/>
                  <w:vMerge w:val="continue"/>
                  <w:tcBorders>
                    <w:tl2br w:val="nil"/>
                    <w:tr2bl w:val="nil"/>
                  </w:tcBorders>
                  <w:vAlign w:val="center"/>
                </w:tcPr>
                <w:p w14:paraId="628A75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18C32B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5285E9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584E32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58A2CB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5224B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794570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415E68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01C25F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LAS</w:t>
                  </w:r>
                </w:p>
              </w:tc>
              <w:tc>
                <w:tcPr>
                  <w:tcW w:w="1650" w:type="dxa"/>
                  <w:tcBorders>
                    <w:tl2br w:val="nil"/>
                    <w:tr2bl w:val="nil"/>
                  </w:tcBorders>
                  <w:shd w:val="clear" w:color="auto" w:fill="auto"/>
                  <w:vAlign w:val="center"/>
                </w:tcPr>
                <w:p w14:paraId="443C10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40</w:t>
                  </w:r>
                </w:p>
              </w:tc>
              <w:tc>
                <w:tcPr>
                  <w:tcW w:w="1536" w:type="dxa"/>
                  <w:tcBorders>
                    <w:tl2br w:val="nil"/>
                    <w:tr2bl w:val="nil"/>
                  </w:tcBorders>
                  <w:vAlign w:val="center"/>
                </w:tcPr>
                <w:p w14:paraId="39B362F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799" w:type="dxa"/>
                  <w:vMerge w:val="continue"/>
                  <w:tcBorders>
                    <w:tl2br w:val="nil"/>
                    <w:tr2bl w:val="nil"/>
                  </w:tcBorders>
                  <w:vAlign w:val="center"/>
                </w:tcPr>
                <w:p w14:paraId="5C9F71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7836D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2B879A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453FAE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4A72777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4938F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126C65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56CE98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vAlign w:val="center"/>
                </w:tcPr>
                <w:p w14:paraId="592208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TP</w:t>
                  </w:r>
                </w:p>
              </w:tc>
              <w:tc>
                <w:tcPr>
                  <w:tcW w:w="1650" w:type="dxa"/>
                  <w:tcBorders>
                    <w:tl2br w:val="nil"/>
                    <w:tr2bl w:val="nil"/>
                  </w:tcBorders>
                  <w:vAlign w:val="center"/>
                </w:tcPr>
                <w:p w14:paraId="10185F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20</w:t>
                  </w:r>
                </w:p>
              </w:tc>
              <w:tc>
                <w:tcPr>
                  <w:tcW w:w="1536" w:type="dxa"/>
                  <w:tcBorders>
                    <w:tl2br w:val="nil"/>
                    <w:tr2bl w:val="nil"/>
                  </w:tcBorders>
                  <w:vAlign w:val="center"/>
                </w:tcPr>
                <w:p w14:paraId="7898A6B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99" w:type="dxa"/>
                  <w:vMerge w:val="continue"/>
                  <w:tcBorders>
                    <w:tl2br w:val="nil"/>
                    <w:tr2bl w:val="nil"/>
                  </w:tcBorders>
                  <w:vAlign w:val="center"/>
                </w:tcPr>
                <w:p w14:paraId="3B72E1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5ABEC4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6E2CC7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326EF7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33D388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8D6E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restart"/>
                  <w:tcBorders>
                    <w:tl2br w:val="nil"/>
                    <w:tr2bl w:val="nil"/>
                  </w:tcBorders>
                  <w:vAlign w:val="center"/>
                </w:tcPr>
                <w:p w14:paraId="0954AE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eastAsia" w:ascii="Times New Roman" w:hAnsi="Times New Roman" w:eastAsia="宋体" w:cs="Times New Roman"/>
                      <w:b w:val="0"/>
                      <w:bCs w:val="0"/>
                      <w:color w:val="auto"/>
                      <w:sz w:val="21"/>
                      <w:szCs w:val="21"/>
                      <w:highlight w:val="none"/>
                      <w:lang w:val="en-US" w:eastAsia="zh-CN"/>
                    </w:rPr>
                    <w:t>职工生活污水</w:t>
                  </w:r>
                </w:p>
              </w:tc>
              <w:tc>
                <w:tcPr>
                  <w:tcW w:w="937" w:type="dxa"/>
                  <w:vMerge w:val="restart"/>
                  <w:tcBorders>
                    <w:tl2br w:val="nil"/>
                    <w:tr2bl w:val="nil"/>
                  </w:tcBorders>
                  <w:vAlign w:val="center"/>
                </w:tcPr>
                <w:p w14:paraId="1E32BC5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65.7</w:t>
                  </w:r>
                </w:p>
              </w:tc>
              <w:tc>
                <w:tcPr>
                  <w:tcW w:w="918" w:type="dxa"/>
                  <w:tcBorders>
                    <w:tl2br w:val="nil"/>
                    <w:tr2bl w:val="nil"/>
                  </w:tcBorders>
                  <w:shd w:val="clear" w:color="auto" w:fill="auto"/>
                  <w:vAlign w:val="center"/>
                </w:tcPr>
                <w:p w14:paraId="13A00B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pH</w:t>
                  </w:r>
                </w:p>
              </w:tc>
              <w:tc>
                <w:tcPr>
                  <w:tcW w:w="1650" w:type="dxa"/>
                  <w:tcBorders>
                    <w:tl2br w:val="nil"/>
                    <w:tr2bl w:val="nil"/>
                  </w:tcBorders>
                  <w:shd w:val="clear" w:color="auto" w:fill="auto"/>
                  <w:vAlign w:val="center"/>
                </w:tcPr>
                <w:p w14:paraId="55C717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6~9（无量纲）</w:t>
                  </w:r>
                </w:p>
              </w:tc>
              <w:tc>
                <w:tcPr>
                  <w:tcW w:w="1536" w:type="dxa"/>
                  <w:tcBorders>
                    <w:tl2br w:val="nil"/>
                    <w:tr2bl w:val="nil"/>
                  </w:tcBorders>
                  <w:vAlign w:val="center"/>
                </w:tcPr>
                <w:p w14:paraId="68C3B4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continue"/>
                  <w:tcBorders>
                    <w:tl2br w:val="nil"/>
                    <w:tr2bl w:val="nil"/>
                  </w:tcBorders>
                  <w:vAlign w:val="center"/>
                </w:tcPr>
                <w:p w14:paraId="266C2D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7C75D0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3D4F68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22F80A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34F4ED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55A61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7E0F9A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094EF5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74D756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COD</w:t>
                  </w:r>
                </w:p>
              </w:tc>
              <w:tc>
                <w:tcPr>
                  <w:tcW w:w="1650" w:type="dxa"/>
                  <w:tcBorders>
                    <w:tl2br w:val="nil"/>
                    <w:tr2bl w:val="nil"/>
                  </w:tcBorders>
                  <w:shd w:val="clear" w:color="auto" w:fill="auto"/>
                  <w:vAlign w:val="center"/>
                </w:tcPr>
                <w:p w14:paraId="315953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550</w:t>
                  </w:r>
                </w:p>
              </w:tc>
              <w:tc>
                <w:tcPr>
                  <w:tcW w:w="1536" w:type="dxa"/>
                  <w:tcBorders>
                    <w:tl2br w:val="nil"/>
                    <w:tr2bl w:val="nil"/>
                  </w:tcBorders>
                  <w:vAlign w:val="center"/>
                </w:tcPr>
                <w:p w14:paraId="2AC6E51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0.036 </w:t>
                  </w:r>
                </w:p>
              </w:tc>
              <w:tc>
                <w:tcPr>
                  <w:tcW w:w="799" w:type="dxa"/>
                  <w:vMerge w:val="continue"/>
                  <w:tcBorders>
                    <w:tl2br w:val="nil"/>
                    <w:tr2bl w:val="nil"/>
                  </w:tcBorders>
                  <w:vAlign w:val="center"/>
                </w:tcPr>
                <w:p w14:paraId="0A4DAC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199F94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0C15B9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1BC94C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67BCFD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E507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67E6ED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5FACF4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6B5A80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BOD</w:t>
                  </w:r>
                  <w:r>
                    <w:rPr>
                      <w:rFonts w:hint="default" w:ascii="Times New Roman" w:hAnsi="Times New Roman" w:eastAsia="宋体" w:cs="Times New Roman"/>
                      <w:b w:val="0"/>
                      <w:bCs/>
                      <w:color w:val="auto"/>
                      <w:spacing w:val="0"/>
                      <w:sz w:val="21"/>
                      <w:szCs w:val="21"/>
                      <w:highlight w:val="none"/>
                      <w:vertAlign w:val="subscript"/>
                      <w:lang w:val="en-US" w:eastAsia="zh-CN"/>
                    </w:rPr>
                    <w:t>5</w:t>
                  </w:r>
                </w:p>
              </w:tc>
              <w:tc>
                <w:tcPr>
                  <w:tcW w:w="1650" w:type="dxa"/>
                  <w:tcBorders>
                    <w:tl2br w:val="nil"/>
                    <w:tr2bl w:val="nil"/>
                  </w:tcBorders>
                  <w:shd w:val="clear" w:color="auto" w:fill="auto"/>
                  <w:vAlign w:val="center"/>
                </w:tcPr>
                <w:p w14:paraId="07FD17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350</w:t>
                  </w:r>
                </w:p>
              </w:tc>
              <w:tc>
                <w:tcPr>
                  <w:tcW w:w="1536" w:type="dxa"/>
                  <w:tcBorders>
                    <w:tl2br w:val="nil"/>
                    <w:tr2bl w:val="nil"/>
                  </w:tcBorders>
                  <w:vAlign w:val="center"/>
                </w:tcPr>
                <w:p w14:paraId="0320B92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799" w:type="dxa"/>
                  <w:vMerge w:val="continue"/>
                  <w:tcBorders>
                    <w:tl2br w:val="nil"/>
                    <w:tr2bl w:val="nil"/>
                  </w:tcBorders>
                  <w:vAlign w:val="center"/>
                </w:tcPr>
                <w:p w14:paraId="754487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10F50B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2C6306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46932A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44EEBA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203CE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63DF9D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6E979A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500526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氨氮</w:t>
                  </w:r>
                </w:p>
              </w:tc>
              <w:tc>
                <w:tcPr>
                  <w:tcW w:w="1650" w:type="dxa"/>
                  <w:tcBorders>
                    <w:tl2br w:val="nil"/>
                    <w:tr2bl w:val="nil"/>
                  </w:tcBorders>
                  <w:shd w:val="clear" w:color="auto" w:fill="auto"/>
                  <w:vAlign w:val="center"/>
                </w:tcPr>
                <w:p w14:paraId="4C70BD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45</w:t>
                  </w:r>
                </w:p>
              </w:tc>
              <w:tc>
                <w:tcPr>
                  <w:tcW w:w="1536" w:type="dxa"/>
                  <w:tcBorders>
                    <w:tl2br w:val="nil"/>
                    <w:tr2bl w:val="nil"/>
                  </w:tcBorders>
                  <w:vAlign w:val="center"/>
                </w:tcPr>
                <w:p w14:paraId="0344665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799" w:type="dxa"/>
                  <w:vMerge w:val="continue"/>
                  <w:tcBorders>
                    <w:tl2br w:val="nil"/>
                    <w:tr2bl w:val="nil"/>
                  </w:tcBorders>
                  <w:vAlign w:val="center"/>
                </w:tcPr>
                <w:p w14:paraId="2D2238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58A2D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54A1FB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3E2DCC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2D8438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13164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2D8B4F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684D9E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1ADDA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SS</w:t>
                  </w:r>
                </w:p>
              </w:tc>
              <w:tc>
                <w:tcPr>
                  <w:tcW w:w="1650" w:type="dxa"/>
                  <w:tcBorders>
                    <w:tl2br w:val="nil"/>
                    <w:tr2bl w:val="nil"/>
                  </w:tcBorders>
                  <w:shd w:val="clear" w:color="auto" w:fill="auto"/>
                  <w:vAlign w:val="center"/>
                </w:tcPr>
                <w:p w14:paraId="6C8DF8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400</w:t>
                  </w:r>
                </w:p>
              </w:tc>
              <w:tc>
                <w:tcPr>
                  <w:tcW w:w="1536" w:type="dxa"/>
                  <w:tcBorders>
                    <w:tl2br w:val="nil"/>
                    <w:tr2bl w:val="nil"/>
                  </w:tcBorders>
                  <w:vAlign w:val="center"/>
                </w:tcPr>
                <w:p w14:paraId="67BD821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0.026 </w:t>
                  </w:r>
                </w:p>
              </w:tc>
              <w:tc>
                <w:tcPr>
                  <w:tcW w:w="799" w:type="dxa"/>
                  <w:vMerge w:val="continue"/>
                  <w:tcBorders>
                    <w:tl2br w:val="nil"/>
                    <w:tr2bl w:val="nil"/>
                  </w:tcBorders>
                  <w:vAlign w:val="center"/>
                </w:tcPr>
                <w:p w14:paraId="140BEC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87BC7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3459DD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159D0E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618EDA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66F84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32FAB7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1FF4DF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0E1BCC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TP</w:t>
                  </w:r>
                </w:p>
              </w:tc>
              <w:tc>
                <w:tcPr>
                  <w:tcW w:w="1650" w:type="dxa"/>
                  <w:tcBorders>
                    <w:tl2br w:val="nil"/>
                    <w:tr2bl w:val="nil"/>
                  </w:tcBorders>
                  <w:shd w:val="clear" w:color="auto" w:fill="auto"/>
                  <w:vAlign w:val="center"/>
                </w:tcPr>
                <w:p w14:paraId="32A2AA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10</w:t>
                  </w:r>
                </w:p>
              </w:tc>
              <w:tc>
                <w:tcPr>
                  <w:tcW w:w="1536" w:type="dxa"/>
                  <w:tcBorders>
                    <w:tl2br w:val="nil"/>
                    <w:tr2bl w:val="nil"/>
                  </w:tcBorders>
                  <w:vAlign w:val="center"/>
                </w:tcPr>
                <w:p w14:paraId="617F7A6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99" w:type="dxa"/>
                  <w:vMerge w:val="continue"/>
                  <w:tcBorders>
                    <w:tl2br w:val="nil"/>
                    <w:tr2bl w:val="nil"/>
                  </w:tcBorders>
                  <w:vAlign w:val="center"/>
                </w:tcPr>
                <w:p w14:paraId="3EF28A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BA7DA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720838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2E70F2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6B884B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22758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restart"/>
                  <w:tcBorders>
                    <w:tl2br w:val="nil"/>
                    <w:tr2bl w:val="nil"/>
                  </w:tcBorders>
                  <w:vAlign w:val="center"/>
                </w:tcPr>
                <w:p w14:paraId="131063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r>
                    <w:rPr>
                      <w:rFonts w:hint="eastAsia" w:ascii="Times New Roman" w:hAnsi="Times New Roman" w:eastAsia="宋体" w:cs="Times New Roman"/>
                      <w:b w:val="0"/>
                      <w:bCs w:val="0"/>
                      <w:color w:val="auto"/>
                      <w:sz w:val="21"/>
                      <w:szCs w:val="21"/>
                      <w:highlight w:val="none"/>
                      <w:lang w:val="en-US" w:eastAsia="zh-CN"/>
                    </w:rPr>
                    <w:t>流动顾客生活污水</w:t>
                  </w:r>
                </w:p>
              </w:tc>
              <w:tc>
                <w:tcPr>
                  <w:tcW w:w="937" w:type="dxa"/>
                  <w:vMerge w:val="restart"/>
                  <w:tcBorders>
                    <w:tl2br w:val="nil"/>
                    <w:tr2bl w:val="nil"/>
                  </w:tcBorders>
                  <w:vAlign w:val="center"/>
                </w:tcPr>
                <w:p w14:paraId="7DD3FDE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131.4</w:t>
                  </w:r>
                </w:p>
              </w:tc>
              <w:tc>
                <w:tcPr>
                  <w:tcW w:w="918" w:type="dxa"/>
                  <w:tcBorders>
                    <w:tl2br w:val="nil"/>
                    <w:tr2bl w:val="nil"/>
                  </w:tcBorders>
                  <w:shd w:val="clear" w:color="auto" w:fill="auto"/>
                  <w:vAlign w:val="center"/>
                </w:tcPr>
                <w:p w14:paraId="4F288E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pH</w:t>
                  </w:r>
                </w:p>
              </w:tc>
              <w:tc>
                <w:tcPr>
                  <w:tcW w:w="1650" w:type="dxa"/>
                  <w:tcBorders>
                    <w:tl2br w:val="nil"/>
                    <w:tr2bl w:val="nil"/>
                  </w:tcBorders>
                  <w:shd w:val="clear" w:color="auto" w:fill="auto"/>
                  <w:vAlign w:val="center"/>
                </w:tcPr>
                <w:p w14:paraId="0299AA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6~9（无量纲）</w:t>
                  </w:r>
                </w:p>
              </w:tc>
              <w:tc>
                <w:tcPr>
                  <w:tcW w:w="1536" w:type="dxa"/>
                  <w:tcBorders>
                    <w:tl2br w:val="nil"/>
                    <w:tr2bl w:val="nil"/>
                  </w:tcBorders>
                  <w:vAlign w:val="center"/>
                </w:tcPr>
                <w:p w14:paraId="564F51D2">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continue"/>
                  <w:tcBorders>
                    <w:tl2br w:val="nil"/>
                    <w:tr2bl w:val="nil"/>
                  </w:tcBorders>
                  <w:vAlign w:val="center"/>
                </w:tcPr>
                <w:p w14:paraId="0461C4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6616FB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60733B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1E5AE0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4FCE55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1B61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701147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3FB9B9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2AC5FE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COD</w:t>
                  </w:r>
                </w:p>
              </w:tc>
              <w:tc>
                <w:tcPr>
                  <w:tcW w:w="1650" w:type="dxa"/>
                  <w:tcBorders>
                    <w:tl2br w:val="nil"/>
                    <w:tr2bl w:val="nil"/>
                  </w:tcBorders>
                  <w:shd w:val="clear" w:color="auto" w:fill="auto"/>
                  <w:vAlign w:val="center"/>
                </w:tcPr>
                <w:p w14:paraId="624E3A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550</w:t>
                  </w:r>
                </w:p>
              </w:tc>
              <w:tc>
                <w:tcPr>
                  <w:tcW w:w="1536" w:type="dxa"/>
                  <w:tcBorders>
                    <w:tl2br w:val="nil"/>
                    <w:tr2bl w:val="nil"/>
                  </w:tcBorders>
                  <w:vAlign w:val="center"/>
                </w:tcPr>
                <w:p w14:paraId="61B5603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0.072 </w:t>
                  </w:r>
                </w:p>
              </w:tc>
              <w:tc>
                <w:tcPr>
                  <w:tcW w:w="799" w:type="dxa"/>
                  <w:vMerge w:val="continue"/>
                  <w:tcBorders>
                    <w:tl2br w:val="nil"/>
                    <w:tr2bl w:val="nil"/>
                  </w:tcBorders>
                  <w:vAlign w:val="center"/>
                </w:tcPr>
                <w:p w14:paraId="67E13F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413AF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691376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35011B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471BC7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B58D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6A24A4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510F87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71115B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BOD</w:t>
                  </w:r>
                  <w:r>
                    <w:rPr>
                      <w:rFonts w:hint="default" w:ascii="Times New Roman" w:hAnsi="Times New Roman" w:eastAsia="宋体" w:cs="Times New Roman"/>
                      <w:b w:val="0"/>
                      <w:bCs/>
                      <w:color w:val="auto"/>
                      <w:spacing w:val="0"/>
                      <w:sz w:val="21"/>
                      <w:szCs w:val="21"/>
                      <w:highlight w:val="none"/>
                      <w:vertAlign w:val="subscript"/>
                      <w:lang w:val="en-US" w:eastAsia="zh-CN"/>
                    </w:rPr>
                    <w:t>5</w:t>
                  </w:r>
                </w:p>
              </w:tc>
              <w:tc>
                <w:tcPr>
                  <w:tcW w:w="1650" w:type="dxa"/>
                  <w:tcBorders>
                    <w:tl2br w:val="nil"/>
                    <w:tr2bl w:val="nil"/>
                  </w:tcBorders>
                  <w:shd w:val="clear" w:color="auto" w:fill="auto"/>
                  <w:vAlign w:val="center"/>
                </w:tcPr>
                <w:p w14:paraId="774BAE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350</w:t>
                  </w:r>
                </w:p>
              </w:tc>
              <w:tc>
                <w:tcPr>
                  <w:tcW w:w="1536" w:type="dxa"/>
                  <w:tcBorders>
                    <w:tl2br w:val="nil"/>
                    <w:tr2bl w:val="nil"/>
                  </w:tcBorders>
                  <w:vAlign w:val="center"/>
                </w:tcPr>
                <w:p w14:paraId="3C56E5C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0.046 </w:t>
                  </w:r>
                </w:p>
              </w:tc>
              <w:tc>
                <w:tcPr>
                  <w:tcW w:w="799" w:type="dxa"/>
                  <w:vMerge w:val="continue"/>
                  <w:tcBorders>
                    <w:tl2br w:val="nil"/>
                    <w:tr2bl w:val="nil"/>
                  </w:tcBorders>
                  <w:vAlign w:val="center"/>
                </w:tcPr>
                <w:p w14:paraId="43C332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33B56C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69AC22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495FA9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706412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44F97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7859C5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5A5551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6423E9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氨氮</w:t>
                  </w:r>
                </w:p>
              </w:tc>
              <w:tc>
                <w:tcPr>
                  <w:tcW w:w="1650" w:type="dxa"/>
                  <w:tcBorders>
                    <w:tl2br w:val="nil"/>
                    <w:tr2bl w:val="nil"/>
                  </w:tcBorders>
                  <w:shd w:val="clear" w:color="auto" w:fill="auto"/>
                  <w:vAlign w:val="center"/>
                </w:tcPr>
                <w:p w14:paraId="57283B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45</w:t>
                  </w:r>
                </w:p>
              </w:tc>
              <w:tc>
                <w:tcPr>
                  <w:tcW w:w="1536" w:type="dxa"/>
                  <w:tcBorders>
                    <w:tl2br w:val="nil"/>
                    <w:tr2bl w:val="nil"/>
                  </w:tcBorders>
                  <w:vAlign w:val="center"/>
                </w:tcPr>
                <w:p w14:paraId="0885903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799" w:type="dxa"/>
                  <w:vMerge w:val="continue"/>
                  <w:tcBorders>
                    <w:tl2br w:val="nil"/>
                    <w:tr2bl w:val="nil"/>
                  </w:tcBorders>
                  <w:vAlign w:val="center"/>
                </w:tcPr>
                <w:p w14:paraId="72CDFA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02051B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1BD623C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443E31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6FC5F2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7A0F9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3E2992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5F6C17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424692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SS</w:t>
                  </w:r>
                </w:p>
              </w:tc>
              <w:tc>
                <w:tcPr>
                  <w:tcW w:w="1650" w:type="dxa"/>
                  <w:tcBorders>
                    <w:tl2br w:val="nil"/>
                    <w:tr2bl w:val="nil"/>
                  </w:tcBorders>
                  <w:shd w:val="clear" w:color="auto" w:fill="auto"/>
                  <w:vAlign w:val="center"/>
                </w:tcPr>
                <w:p w14:paraId="7CCF67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400</w:t>
                  </w:r>
                </w:p>
              </w:tc>
              <w:tc>
                <w:tcPr>
                  <w:tcW w:w="1536" w:type="dxa"/>
                  <w:tcBorders>
                    <w:tl2br w:val="nil"/>
                    <w:tr2bl w:val="nil"/>
                  </w:tcBorders>
                  <w:vAlign w:val="center"/>
                </w:tcPr>
                <w:p w14:paraId="61CC9D1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0.053 </w:t>
                  </w:r>
                </w:p>
              </w:tc>
              <w:tc>
                <w:tcPr>
                  <w:tcW w:w="799" w:type="dxa"/>
                  <w:vMerge w:val="continue"/>
                  <w:tcBorders>
                    <w:tl2br w:val="nil"/>
                    <w:tr2bl w:val="nil"/>
                  </w:tcBorders>
                  <w:vAlign w:val="center"/>
                </w:tcPr>
                <w:p w14:paraId="794BE9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4E5849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7ABC59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7395F4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032BD1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6AC5D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7EAB55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2516AE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366880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TP</w:t>
                  </w:r>
                </w:p>
              </w:tc>
              <w:tc>
                <w:tcPr>
                  <w:tcW w:w="1650" w:type="dxa"/>
                  <w:tcBorders>
                    <w:tl2br w:val="nil"/>
                    <w:tr2bl w:val="nil"/>
                  </w:tcBorders>
                  <w:shd w:val="clear" w:color="auto" w:fill="auto"/>
                  <w:vAlign w:val="center"/>
                </w:tcPr>
                <w:p w14:paraId="116FFC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10</w:t>
                  </w:r>
                </w:p>
              </w:tc>
              <w:tc>
                <w:tcPr>
                  <w:tcW w:w="1536" w:type="dxa"/>
                  <w:tcBorders>
                    <w:tl2br w:val="nil"/>
                    <w:tr2bl w:val="nil"/>
                  </w:tcBorders>
                  <w:vAlign w:val="center"/>
                </w:tcPr>
                <w:p w14:paraId="3E01031C">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99" w:type="dxa"/>
                  <w:vMerge w:val="continue"/>
                  <w:tcBorders>
                    <w:tl2br w:val="nil"/>
                    <w:tr2bl w:val="nil"/>
                  </w:tcBorders>
                  <w:vAlign w:val="center"/>
                </w:tcPr>
                <w:p w14:paraId="14FD69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14136D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592" w:type="dxa"/>
                  <w:tcBorders>
                    <w:tl2br w:val="nil"/>
                    <w:tr2bl w:val="nil"/>
                  </w:tcBorders>
                  <w:vAlign w:val="center"/>
                </w:tcPr>
                <w:p w14:paraId="00923C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vAlign w:val="center"/>
                </w:tcPr>
                <w:p w14:paraId="7B917C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853" w:type="dxa"/>
                  <w:tcBorders>
                    <w:tl2br w:val="nil"/>
                    <w:tr2bl w:val="nil"/>
                  </w:tcBorders>
                  <w:vAlign w:val="center"/>
                </w:tcPr>
                <w:p w14:paraId="5B5703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50669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restart"/>
                  <w:tcBorders>
                    <w:tl2br w:val="nil"/>
                    <w:tr2bl w:val="nil"/>
                  </w:tcBorders>
                  <w:vAlign w:val="center"/>
                </w:tcPr>
                <w:p w14:paraId="5C5462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综合废水</w:t>
                  </w:r>
                </w:p>
              </w:tc>
              <w:tc>
                <w:tcPr>
                  <w:tcW w:w="937" w:type="dxa"/>
                  <w:vMerge w:val="restart"/>
                  <w:tcBorders>
                    <w:tl2br w:val="nil"/>
                    <w:tr2bl w:val="nil"/>
                  </w:tcBorders>
                  <w:vAlign w:val="center"/>
                </w:tcPr>
                <w:p w14:paraId="53BCFCB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691.493</w:t>
                  </w:r>
                </w:p>
              </w:tc>
              <w:tc>
                <w:tcPr>
                  <w:tcW w:w="918" w:type="dxa"/>
                  <w:tcBorders>
                    <w:tl2br w:val="nil"/>
                    <w:tr2bl w:val="nil"/>
                  </w:tcBorders>
                  <w:shd w:val="clear" w:color="auto" w:fill="auto"/>
                  <w:vAlign w:val="center"/>
                </w:tcPr>
                <w:p w14:paraId="1A59745F">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650" w:type="dxa"/>
                  <w:tcBorders>
                    <w:tl2br w:val="nil"/>
                    <w:tr2bl w:val="nil"/>
                  </w:tcBorders>
                  <w:vAlign w:val="center"/>
                </w:tcPr>
                <w:p w14:paraId="260752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6~9（无量纲）</w:t>
                  </w:r>
                </w:p>
              </w:tc>
              <w:tc>
                <w:tcPr>
                  <w:tcW w:w="1536" w:type="dxa"/>
                  <w:tcBorders>
                    <w:tl2br w:val="nil"/>
                    <w:tr2bl w:val="nil"/>
                  </w:tcBorders>
                  <w:vAlign w:val="center"/>
                </w:tcPr>
                <w:p w14:paraId="31EB39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799" w:type="dxa"/>
                  <w:vMerge w:val="restart"/>
                  <w:tcBorders>
                    <w:tl2br w:val="nil"/>
                    <w:tr2bl w:val="nil"/>
                  </w:tcBorders>
                  <w:shd w:val="clear" w:color="auto" w:fill="auto"/>
                  <w:vAlign w:val="center"/>
                </w:tcPr>
                <w:p w14:paraId="7F9D9A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w:t>
                  </w:r>
                </w:p>
              </w:tc>
              <w:tc>
                <w:tcPr>
                  <w:tcW w:w="1130" w:type="dxa"/>
                  <w:tcBorders>
                    <w:tl2br w:val="nil"/>
                    <w:tr2bl w:val="nil"/>
                  </w:tcBorders>
                  <w:shd w:val="clear" w:color="auto" w:fill="auto"/>
                  <w:vAlign w:val="center"/>
                </w:tcPr>
                <w:p w14:paraId="2BAAA1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6~9</w:t>
                  </w:r>
                </w:p>
              </w:tc>
              <w:tc>
                <w:tcPr>
                  <w:tcW w:w="1592" w:type="dxa"/>
                  <w:tcBorders>
                    <w:tl2br w:val="nil"/>
                    <w:tr2bl w:val="nil"/>
                  </w:tcBorders>
                  <w:shd w:val="clear" w:color="auto" w:fill="auto"/>
                  <w:vAlign w:val="center"/>
                </w:tcPr>
                <w:p w14:paraId="648BDF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c>
                <w:tcPr>
                  <w:tcW w:w="1042" w:type="dxa"/>
                  <w:tcBorders>
                    <w:tl2br w:val="nil"/>
                    <w:tr2bl w:val="nil"/>
                  </w:tcBorders>
                  <w:shd w:val="clear" w:color="auto" w:fill="auto"/>
                  <w:vAlign w:val="center"/>
                </w:tcPr>
                <w:p w14:paraId="647D7C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6~9</w:t>
                  </w:r>
                </w:p>
              </w:tc>
              <w:tc>
                <w:tcPr>
                  <w:tcW w:w="1853" w:type="dxa"/>
                  <w:tcBorders>
                    <w:tl2br w:val="nil"/>
                    <w:tr2bl w:val="nil"/>
                  </w:tcBorders>
                  <w:shd w:val="clear" w:color="auto" w:fill="auto"/>
                  <w:vAlign w:val="center"/>
                </w:tcPr>
                <w:p w14:paraId="2B1ADD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10A9D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3C4C95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4B375E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611666AE">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650" w:type="dxa"/>
                  <w:tcBorders>
                    <w:tl2br w:val="nil"/>
                    <w:tr2bl w:val="nil"/>
                  </w:tcBorders>
                  <w:vAlign w:val="center"/>
                </w:tcPr>
                <w:p w14:paraId="4CA4D23C">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536" w:type="dxa"/>
                  <w:tcBorders>
                    <w:tl2br w:val="nil"/>
                    <w:tr2bl w:val="nil"/>
                  </w:tcBorders>
                  <w:vAlign w:val="center"/>
                </w:tcPr>
                <w:p w14:paraId="3F1856B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0.211 </w:t>
                  </w:r>
                </w:p>
              </w:tc>
              <w:tc>
                <w:tcPr>
                  <w:tcW w:w="799" w:type="dxa"/>
                  <w:vMerge w:val="continue"/>
                  <w:tcBorders>
                    <w:tl2br w:val="nil"/>
                    <w:tr2bl w:val="nil"/>
                  </w:tcBorders>
                  <w:vAlign w:val="center"/>
                </w:tcPr>
                <w:p w14:paraId="7B6BC8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0826EA9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92" w:type="dxa"/>
                  <w:tcBorders>
                    <w:tl2br w:val="nil"/>
                    <w:tr2bl w:val="nil"/>
                  </w:tcBorders>
                  <w:vAlign w:val="center"/>
                </w:tcPr>
                <w:p w14:paraId="0AE5A73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0.207 </w:t>
                  </w:r>
                </w:p>
              </w:tc>
              <w:tc>
                <w:tcPr>
                  <w:tcW w:w="1042" w:type="dxa"/>
                  <w:tcBorders>
                    <w:tl2br w:val="nil"/>
                    <w:tr2bl w:val="nil"/>
                  </w:tcBorders>
                  <w:vAlign w:val="center"/>
                </w:tcPr>
                <w:p w14:paraId="2C287D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50</w:t>
                  </w:r>
                </w:p>
              </w:tc>
              <w:tc>
                <w:tcPr>
                  <w:tcW w:w="1853" w:type="dxa"/>
                  <w:tcBorders>
                    <w:tl2br w:val="nil"/>
                    <w:tr2bl w:val="nil"/>
                  </w:tcBorders>
                  <w:vAlign w:val="center"/>
                </w:tcPr>
                <w:p w14:paraId="79F0646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0.035 </w:t>
                  </w:r>
                </w:p>
              </w:tc>
            </w:tr>
            <w:tr w14:paraId="1F562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0858FF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77E394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11BD830E">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BOD</w:t>
                  </w:r>
                  <w:r>
                    <w:rPr>
                      <w:rStyle w:val="59"/>
                      <w:rFonts w:ascii="Times New Roman" w:hAnsi="Times New Roman" w:eastAsia="宋体"/>
                      <w:color w:val="auto"/>
                      <w:sz w:val="21"/>
                      <w:szCs w:val="21"/>
                      <w:lang w:val="en-US" w:eastAsia="zh-CN" w:bidi="ar"/>
                    </w:rPr>
                    <w:t>5</w:t>
                  </w:r>
                </w:p>
              </w:tc>
              <w:tc>
                <w:tcPr>
                  <w:tcW w:w="1650" w:type="dxa"/>
                  <w:tcBorders>
                    <w:tl2br w:val="nil"/>
                    <w:tr2bl w:val="nil"/>
                  </w:tcBorders>
                  <w:vAlign w:val="center"/>
                </w:tcPr>
                <w:p w14:paraId="2CAAF62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34</w:t>
                  </w:r>
                </w:p>
              </w:tc>
              <w:tc>
                <w:tcPr>
                  <w:tcW w:w="1536" w:type="dxa"/>
                  <w:tcBorders>
                    <w:tl2br w:val="nil"/>
                    <w:tr2bl w:val="nil"/>
                  </w:tcBorders>
                  <w:vAlign w:val="center"/>
                </w:tcPr>
                <w:p w14:paraId="492BDAA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0.093 </w:t>
                  </w:r>
                </w:p>
              </w:tc>
              <w:tc>
                <w:tcPr>
                  <w:tcW w:w="799" w:type="dxa"/>
                  <w:vMerge w:val="continue"/>
                  <w:tcBorders>
                    <w:tl2br w:val="nil"/>
                    <w:tr2bl w:val="nil"/>
                  </w:tcBorders>
                  <w:vAlign w:val="center"/>
                </w:tcPr>
                <w:p w14:paraId="11E0CC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395768C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92" w:type="dxa"/>
                  <w:tcBorders>
                    <w:tl2br w:val="nil"/>
                    <w:tr2bl w:val="nil"/>
                  </w:tcBorders>
                  <w:vAlign w:val="center"/>
                </w:tcPr>
                <w:p w14:paraId="774E6FE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0.069 </w:t>
                  </w:r>
                </w:p>
              </w:tc>
              <w:tc>
                <w:tcPr>
                  <w:tcW w:w="1042" w:type="dxa"/>
                  <w:tcBorders>
                    <w:tl2br w:val="nil"/>
                    <w:tr2bl w:val="nil"/>
                  </w:tcBorders>
                  <w:vAlign w:val="center"/>
                </w:tcPr>
                <w:p w14:paraId="015346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10</w:t>
                  </w:r>
                </w:p>
              </w:tc>
              <w:tc>
                <w:tcPr>
                  <w:tcW w:w="1853" w:type="dxa"/>
                  <w:tcBorders>
                    <w:tl2br w:val="nil"/>
                    <w:tr2bl w:val="nil"/>
                  </w:tcBorders>
                  <w:vAlign w:val="center"/>
                </w:tcPr>
                <w:p w14:paraId="1C6F09D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r>
            <w:tr w14:paraId="6FE0D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50CCDB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26AFCD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76D3F5DD">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ascii="Times New Roman" w:hAnsi="Times New Roman" w:eastAsia="宋体" w:cs="宋体"/>
                      <w:i w:val="0"/>
                      <w:iCs w:val="0"/>
                      <w:color w:val="auto"/>
                      <w:kern w:val="0"/>
                      <w:sz w:val="21"/>
                      <w:szCs w:val="21"/>
                      <w:u w:val="none"/>
                      <w:lang w:val="en-US" w:eastAsia="zh-CN" w:bidi="ar"/>
                    </w:rPr>
                    <w:t>氨氮</w:t>
                  </w:r>
                </w:p>
              </w:tc>
              <w:tc>
                <w:tcPr>
                  <w:tcW w:w="1650" w:type="dxa"/>
                  <w:tcBorders>
                    <w:tl2br w:val="nil"/>
                    <w:tr2bl w:val="nil"/>
                  </w:tcBorders>
                  <w:vAlign w:val="center"/>
                </w:tcPr>
                <w:p w14:paraId="3E07B49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13</w:t>
                  </w:r>
                </w:p>
              </w:tc>
              <w:tc>
                <w:tcPr>
                  <w:tcW w:w="1536" w:type="dxa"/>
                  <w:tcBorders>
                    <w:tl2br w:val="nil"/>
                    <w:tr2bl w:val="nil"/>
                  </w:tcBorders>
                  <w:vAlign w:val="center"/>
                </w:tcPr>
                <w:p w14:paraId="66A9BAF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0.009 </w:t>
                  </w:r>
                </w:p>
              </w:tc>
              <w:tc>
                <w:tcPr>
                  <w:tcW w:w="799" w:type="dxa"/>
                  <w:vMerge w:val="continue"/>
                  <w:tcBorders>
                    <w:tl2br w:val="nil"/>
                    <w:tr2bl w:val="nil"/>
                  </w:tcBorders>
                  <w:vAlign w:val="center"/>
                </w:tcPr>
                <w:p w14:paraId="324893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0318439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10</w:t>
                  </w:r>
                </w:p>
              </w:tc>
              <w:tc>
                <w:tcPr>
                  <w:tcW w:w="1592" w:type="dxa"/>
                  <w:tcBorders>
                    <w:tl2br w:val="nil"/>
                    <w:tr2bl w:val="nil"/>
                  </w:tcBorders>
                  <w:vAlign w:val="center"/>
                </w:tcPr>
                <w:p w14:paraId="7B23B34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042" w:type="dxa"/>
                  <w:tcBorders>
                    <w:tl2br w:val="nil"/>
                    <w:tr2bl w:val="nil"/>
                  </w:tcBorders>
                  <w:vAlign w:val="center"/>
                </w:tcPr>
                <w:p w14:paraId="29C446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5</w:t>
                  </w:r>
                </w:p>
              </w:tc>
              <w:tc>
                <w:tcPr>
                  <w:tcW w:w="1853" w:type="dxa"/>
                  <w:tcBorders>
                    <w:tl2br w:val="nil"/>
                    <w:tr2bl w:val="nil"/>
                  </w:tcBorders>
                  <w:vAlign w:val="center"/>
                </w:tcPr>
                <w:p w14:paraId="402F6C6C">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33E0E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43E6C5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5D8420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3003BB2D">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650" w:type="dxa"/>
                  <w:tcBorders>
                    <w:tl2br w:val="nil"/>
                    <w:tr2bl w:val="nil"/>
                  </w:tcBorders>
                  <w:vAlign w:val="center"/>
                </w:tcPr>
                <w:p w14:paraId="104D889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r>
                    <w:rPr>
                      <w:rFonts w:hint="eastAsia" w:cs="Times New Roman"/>
                      <w:i w:val="0"/>
                      <w:iCs w:val="0"/>
                      <w:color w:val="auto"/>
                      <w:kern w:val="0"/>
                      <w:sz w:val="21"/>
                      <w:szCs w:val="21"/>
                      <w:u w:val="none"/>
                      <w:lang w:val="en-US" w:eastAsia="zh-CN" w:bidi="ar"/>
                    </w:rPr>
                    <w:t>3</w:t>
                  </w:r>
                </w:p>
              </w:tc>
              <w:tc>
                <w:tcPr>
                  <w:tcW w:w="1536" w:type="dxa"/>
                  <w:tcBorders>
                    <w:tl2br w:val="nil"/>
                    <w:tr2bl w:val="nil"/>
                  </w:tcBorders>
                  <w:vAlign w:val="center"/>
                </w:tcPr>
                <w:p w14:paraId="16ACC66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799" w:type="dxa"/>
                  <w:vMerge w:val="continue"/>
                  <w:tcBorders>
                    <w:tl2br w:val="nil"/>
                    <w:tr2bl w:val="nil"/>
                  </w:tcBorders>
                  <w:vAlign w:val="center"/>
                </w:tcPr>
                <w:p w14:paraId="7DCF79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5A6CCB8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592" w:type="dxa"/>
                  <w:tcBorders>
                    <w:tl2br w:val="nil"/>
                    <w:tr2bl w:val="nil"/>
                  </w:tcBorders>
                  <w:vAlign w:val="center"/>
                </w:tcPr>
                <w:p w14:paraId="18D6E3A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 xml:space="preserve">0.173 </w:t>
                  </w:r>
                </w:p>
              </w:tc>
              <w:tc>
                <w:tcPr>
                  <w:tcW w:w="1042" w:type="dxa"/>
                  <w:tcBorders>
                    <w:tl2br w:val="nil"/>
                    <w:tr2bl w:val="nil"/>
                  </w:tcBorders>
                  <w:vAlign w:val="center"/>
                </w:tcPr>
                <w:p w14:paraId="0C5E3E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10</w:t>
                  </w:r>
                </w:p>
              </w:tc>
              <w:tc>
                <w:tcPr>
                  <w:tcW w:w="1853" w:type="dxa"/>
                  <w:tcBorders>
                    <w:tl2br w:val="nil"/>
                    <w:tr2bl w:val="nil"/>
                  </w:tcBorders>
                  <w:vAlign w:val="center"/>
                </w:tcPr>
                <w:p w14:paraId="5A977A5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r>
            <w:tr w14:paraId="4D064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35B408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1688D7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5E7E66D4">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宋体"/>
                      <w:i w:val="0"/>
                      <w:iCs w:val="0"/>
                      <w:color w:val="auto"/>
                      <w:kern w:val="0"/>
                      <w:sz w:val="21"/>
                      <w:szCs w:val="21"/>
                      <w:u w:val="none"/>
                      <w:lang w:val="en-US" w:eastAsia="zh-CN" w:bidi="ar"/>
                    </w:rPr>
                    <w:t>粪大肠菌群</w:t>
                  </w:r>
                </w:p>
              </w:tc>
              <w:tc>
                <w:tcPr>
                  <w:tcW w:w="1650" w:type="dxa"/>
                  <w:tcBorders>
                    <w:tl2br w:val="nil"/>
                    <w:tr2bl w:val="nil"/>
                  </w:tcBorders>
                  <w:shd w:val="clear" w:color="auto" w:fill="auto"/>
                  <w:vAlign w:val="center"/>
                </w:tcPr>
                <w:p w14:paraId="2F4DE49C">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cs="Times New Roman"/>
                      <w:b w:val="0"/>
                      <w:bCs/>
                      <w:color w:val="auto"/>
                      <w:spacing w:val="0"/>
                      <w:kern w:val="2"/>
                      <w:sz w:val="21"/>
                      <w:szCs w:val="21"/>
                      <w:highlight w:val="none"/>
                      <w:vertAlign w:val="baseline"/>
                      <w:lang w:val="en-US" w:eastAsia="zh-CN" w:bidi="ar-SA"/>
                    </w:rPr>
                    <w:t>4.903</w:t>
                  </w:r>
                  <w:r>
                    <w:rPr>
                      <w:rFonts w:hint="default" w:ascii="Times New Roman" w:hAnsi="Times New Roman" w:eastAsia="宋体" w:cs="Times New Roman"/>
                      <w:b w:val="0"/>
                      <w:bCs/>
                      <w:color w:val="auto"/>
                      <w:spacing w:val="0"/>
                      <w:sz w:val="21"/>
                      <w:szCs w:val="21"/>
                      <w:highlight w:val="none"/>
                      <w:vertAlign w:val="baseline"/>
                      <w:lang w:val="en-US" w:eastAsia="zh-CN"/>
                    </w:rPr>
                    <w:t>×10</w:t>
                  </w:r>
                  <w:r>
                    <w:rPr>
                      <w:rFonts w:hint="eastAsia" w:ascii="Times New Roman" w:hAnsi="Times New Roman" w:eastAsia="宋体" w:cs="Times New Roman"/>
                      <w:b w:val="0"/>
                      <w:bCs/>
                      <w:color w:val="auto"/>
                      <w:spacing w:val="0"/>
                      <w:sz w:val="21"/>
                      <w:szCs w:val="21"/>
                      <w:highlight w:val="none"/>
                      <w:vertAlign w:val="superscript"/>
                      <w:lang w:val="en-US" w:eastAsia="zh-CN"/>
                    </w:rPr>
                    <w:t>7</w:t>
                  </w:r>
                  <w:r>
                    <w:rPr>
                      <w:rFonts w:hint="default" w:ascii="Times New Roman" w:hAnsi="Times New Roman" w:eastAsia="宋体" w:cs="Times New Roman"/>
                      <w:b w:val="0"/>
                      <w:bCs/>
                      <w:color w:val="auto"/>
                      <w:spacing w:val="0"/>
                      <w:sz w:val="21"/>
                      <w:szCs w:val="21"/>
                      <w:highlight w:val="none"/>
                      <w:vertAlign w:val="baseline"/>
                      <w:lang w:val="en-US" w:eastAsia="zh-CN"/>
                    </w:rPr>
                    <w:t>个</w:t>
                  </w:r>
                  <w:r>
                    <w:rPr>
                      <w:rFonts w:hint="eastAsia" w:ascii="Times New Roman" w:hAnsi="Times New Roman" w:eastAsia="宋体" w:cs="Times New Roman"/>
                      <w:b w:val="0"/>
                      <w:bCs/>
                      <w:color w:val="auto"/>
                      <w:spacing w:val="0"/>
                      <w:sz w:val="21"/>
                      <w:szCs w:val="21"/>
                      <w:highlight w:val="none"/>
                      <w:vertAlign w:val="baseline"/>
                      <w:lang w:val="en-US" w:eastAsia="zh-CN"/>
                    </w:rPr>
                    <w:t>/L</w:t>
                  </w:r>
                </w:p>
              </w:tc>
              <w:tc>
                <w:tcPr>
                  <w:tcW w:w="1536" w:type="dxa"/>
                  <w:tcBorders>
                    <w:tl2br w:val="nil"/>
                    <w:tr2bl w:val="nil"/>
                  </w:tcBorders>
                  <w:vAlign w:val="center"/>
                </w:tcPr>
                <w:p w14:paraId="5F212DE5">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3.390</w:t>
                  </w:r>
                  <w:r>
                    <w:rPr>
                      <w:rFonts w:hint="default" w:ascii="Times New Roman" w:hAnsi="Times New Roman" w:eastAsia="宋体" w:cs="Times New Roman"/>
                      <w:b w:val="0"/>
                      <w:bCs/>
                      <w:color w:val="auto"/>
                      <w:spacing w:val="0"/>
                      <w:sz w:val="21"/>
                      <w:szCs w:val="21"/>
                      <w:highlight w:val="none"/>
                      <w:vertAlign w:val="baseline"/>
                      <w:lang w:val="en-US" w:eastAsia="zh-CN"/>
                    </w:rPr>
                    <w:t>×10</w:t>
                  </w:r>
                  <w:r>
                    <w:rPr>
                      <w:rFonts w:hint="eastAsia" w:ascii="Times New Roman" w:hAnsi="Times New Roman" w:eastAsia="宋体" w:cs="Times New Roman"/>
                      <w:b w:val="0"/>
                      <w:bCs/>
                      <w:color w:val="auto"/>
                      <w:spacing w:val="0"/>
                      <w:sz w:val="21"/>
                      <w:szCs w:val="21"/>
                      <w:highlight w:val="none"/>
                      <w:vertAlign w:val="superscript"/>
                      <w:lang w:val="en-US" w:eastAsia="zh-CN"/>
                    </w:rPr>
                    <w:t>13</w:t>
                  </w:r>
                  <w:r>
                    <w:rPr>
                      <w:rFonts w:hint="default" w:ascii="Times New Roman" w:hAnsi="Times New Roman" w:eastAsia="宋体" w:cs="Times New Roman"/>
                      <w:b w:val="0"/>
                      <w:bCs/>
                      <w:color w:val="auto"/>
                      <w:spacing w:val="0"/>
                      <w:sz w:val="21"/>
                      <w:szCs w:val="21"/>
                      <w:highlight w:val="none"/>
                      <w:vertAlign w:val="baseline"/>
                      <w:lang w:val="en-US" w:eastAsia="zh-CN"/>
                    </w:rPr>
                    <w:t>个</w:t>
                  </w:r>
                </w:p>
              </w:tc>
              <w:tc>
                <w:tcPr>
                  <w:tcW w:w="799" w:type="dxa"/>
                  <w:vMerge w:val="continue"/>
                  <w:tcBorders>
                    <w:tl2br w:val="nil"/>
                    <w:tr2bl w:val="nil"/>
                  </w:tcBorders>
                  <w:vAlign w:val="center"/>
                </w:tcPr>
                <w:p w14:paraId="65ACDC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2C1A0C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5000个/L</w:t>
                  </w:r>
                </w:p>
              </w:tc>
              <w:tc>
                <w:tcPr>
                  <w:tcW w:w="1592" w:type="dxa"/>
                  <w:tcBorders>
                    <w:tl2br w:val="nil"/>
                    <w:tr2bl w:val="nil"/>
                  </w:tcBorders>
                  <w:vAlign w:val="center"/>
                </w:tcPr>
                <w:p w14:paraId="3C8857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3.</w:t>
                  </w:r>
                  <w:r>
                    <w:rPr>
                      <w:rFonts w:hint="eastAsia" w:cs="Times New Roman"/>
                      <w:b w:val="0"/>
                      <w:bCs/>
                      <w:color w:val="auto"/>
                      <w:spacing w:val="0"/>
                      <w:sz w:val="21"/>
                      <w:szCs w:val="21"/>
                      <w:vertAlign w:val="baseline"/>
                      <w:lang w:val="en-US" w:eastAsia="zh-CN"/>
                    </w:rPr>
                    <w:t>457</w:t>
                  </w:r>
                  <w:r>
                    <w:rPr>
                      <w:rFonts w:hint="eastAsia" w:ascii="Times New Roman" w:hAnsi="Times New Roman" w:eastAsia="宋体" w:cs="Times New Roman"/>
                      <w:b w:val="0"/>
                      <w:bCs/>
                      <w:color w:val="auto"/>
                      <w:spacing w:val="0"/>
                      <w:sz w:val="21"/>
                      <w:szCs w:val="21"/>
                      <w:vertAlign w:val="baseline"/>
                      <w:lang w:val="en-US" w:eastAsia="zh-CN"/>
                    </w:rPr>
                    <w:t>×10</w:t>
                  </w:r>
                  <w:r>
                    <w:rPr>
                      <w:rFonts w:hint="eastAsia" w:ascii="Times New Roman" w:hAnsi="Times New Roman" w:eastAsia="宋体" w:cs="Times New Roman"/>
                      <w:b w:val="0"/>
                      <w:bCs/>
                      <w:color w:val="auto"/>
                      <w:spacing w:val="0"/>
                      <w:sz w:val="21"/>
                      <w:szCs w:val="21"/>
                      <w:vertAlign w:val="superscript"/>
                      <w:lang w:val="en-US" w:eastAsia="zh-CN"/>
                    </w:rPr>
                    <w:t>9</w:t>
                  </w:r>
                  <w:r>
                    <w:rPr>
                      <w:rFonts w:hint="eastAsia" w:ascii="Times New Roman" w:hAnsi="Times New Roman" w:eastAsia="宋体" w:cs="Times New Roman"/>
                      <w:b w:val="0"/>
                      <w:bCs/>
                      <w:color w:val="auto"/>
                      <w:spacing w:val="0"/>
                      <w:sz w:val="21"/>
                      <w:szCs w:val="21"/>
                      <w:vertAlign w:val="baseline"/>
                      <w:lang w:val="en-US" w:eastAsia="zh-CN"/>
                    </w:rPr>
                    <w:t>个</w:t>
                  </w:r>
                </w:p>
              </w:tc>
              <w:tc>
                <w:tcPr>
                  <w:tcW w:w="1042" w:type="dxa"/>
                  <w:tcBorders>
                    <w:tl2br w:val="nil"/>
                    <w:tr2bl w:val="nil"/>
                  </w:tcBorders>
                  <w:vAlign w:val="center"/>
                </w:tcPr>
                <w:p w14:paraId="13D193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1000个/L</w:t>
                  </w:r>
                </w:p>
              </w:tc>
              <w:tc>
                <w:tcPr>
                  <w:tcW w:w="1853" w:type="dxa"/>
                  <w:tcBorders>
                    <w:tl2br w:val="nil"/>
                    <w:tr2bl w:val="nil"/>
                  </w:tcBorders>
                  <w:vAlign w:val="center"/>
                </w:tcPr>
                <w:p w14:paraId="722B0E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vertAlign w:val="baseline"/>
                      <w:lang w:val="en-US" w:eastAsia="zh-CN"/>
                    </w:rPr>
                    <w:t>6.915</w:t>
                  </w:r>
                  <w:r>
                    <w:rPr>
                      <w:rFonts w:hint="eastAsia" w:ascii="Times New Roman" w:hAnsi="Times New Roman" w:eastAsia="宋体" w:cs="Times New Roman"/>
                      <w:b w:val="0"/>
                      <w:bCs/>
                      <w:color w:val="auto"/>
                      <w:spacing w:val="0"/>
                      <w:sz w:val="21"/>
                      <w:szCs w:val="21"/>
                      <w:vertAlign w:val="baseline"/>
                      <w:lang w:val="en-US" w:eastAsia="zh-CN"/>
                    </w:rPr>
                    <w:t>×10</w:t>
                  </w:r>
                  <w:r>
                    <w:rPr>
                      <w:rFonts w:hint="eastAsia" w:cs="Times New Roman"/>
                      <w:b w:val="0"/>
                      <w:bCs/>
                      <w:color w:val="auto"/>
                      <w:spacing w:val="0"/>
                      <w:sz w:val="21"/>
                      <w:szCs w:val="21"/>
                      <w:vertAlign w:val="superscript"/>
                      <w:lang w:val="en-US" w:eastAsia="zh-CN"/>
                    </w:rPr>
                    <w:t>8</w:t>
                  </w:r>
                  <w:r>
                    <w:rPr>
                      <w:rFonts w:hint="eastAsia" w:ascii="Times New Roman" w:hAnsi="Times New Roman" w:eastAsia="宋体" w:cs="Times New Roman"/>
                      <w:b w:val="0"/>
                      <w:bCs/>
                      <w:color w:val="auto"/>
                      <w:spacing w:val="0"/>
                      <w:sz w:val="21"/>
                      <w:szCs w:val="21"/>
                      <w:vertAlign w:val="baseline"/>
                      <w:lang w:val="en-US" w:eastAsia="zh-CN"/>
                    </w:rPr>
                    <w:t>个</w:t>
                  </w:r>
                </w:p>
              </w:tc>
            </w:tr>
            <w:tr w14:paraId="7A069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05DCA2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6335E4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shd w:val="clear" w:color="auto" w:fill="auto"/>
                  <w:vAlign w:val="center"/>
                </w:tcPr>
                <w:p w14:paraId="2E1C0F60">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650" w:type="dxa"/>
                  <w:tcBorders>
                    <w:tl2br w:val="nil"/>
                    <w:tr2bl w:val="nil"/>
                  </w:tcBorders>
                  <w:shd w:val="clear" w:color="auto" w:fill="auto"/>
                  <w:vAlign w:val="center"/>
                </w:tcPr>
                <w:p w14:paraId="64D1480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11</w:t>
                  </w:r>
                </w:p>
              </w:tc>
              <w:tc>
                <w:tcPr>
                  <w:tcW w:w="1536" w:type="dxa"/>
                  <w:tcBorders>
                    <w:tl2br w:val="nil"/>
                    <w:tr2bl w:val="nil"/>
                  </w:tcBorders>
                  <w:vAlign w:val="center"/>
                </w:tcPr>
                <w:p w14:paraId="4AE84A6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799" w:type="dxa"/>
                  <w:vMerge w:val="continue"/>
                  <w:tcBorders>
                    <w:tl2br w:val="nil"/>
                    <w:tr2bl w:val="nil"/>
                  </w:tcBorders>
                  <w:vAlign w:val="center"/>
                </w:tcPr>
                <w:p w14:paraId="3F8FF8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0F2948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kern w:val="2"/>
                      <w:sz w:val="21"/>
                      <w:szCs w:val="21"/>
                      <w:highlight w:val="none"/>
                      <w:vertAlign w:val="baseline"/>
                      <w:lang w:val="en-US" w:eastAsia="zh-CN" w:bidi="ar-SA"/>
                    </w:rPr>
                    <w:t>10</w:t>
                  </w:r>
                </w:p>
              </w:tc>
              <w:tc>
                <w:tcPr>
                  <w:tcW w:w="1592" w:type="dxa"/>
                  <w:tcBorders>
                    <w:tl2br w:val="nil"/>
                    <w:tr2bl w:val="nil"/>
                  </w:tcBorders>
                  <w:vAlign w:val="center"/>
                </w:tcPr>
                <w:p w14:paraId="6416B2D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7</w:t>
                  </w:r>
                </w:p>
              </w:tc>
              <w:tc>
                <w:tcPr>
                  <w:tcW w:w="1042" w:type="dxa"/>
                  <w:tcBorders>
                    <w:tl2br w:val="nil"/>
                    <w:tr2bl w:val="nil"/>
                  </w:tcBorders>
                  <w:vAlign w:val="center"/>
                </w:tcPr>
                <w:p w14:paraId="6235B1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0.5</w:t>
                  </w:r>
                </w:p>
              </w:tc>
              <w:tc>
                <w:tcPr>
                  <w:tcW w:w="1853" w:type="dxa"/>
                  <w:tcBorders>
                    <w:tl2br w:val="nil"/>
                    <w:tr2bl w:val="nil"/>
                  </w:tcBorders>
                  <w:vAlign w:val="center"/>
                </w:tcPr>
                <w:p w14:paraId="1A9B9399">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3</w:t>
                  </w:r>
                </w:p>
              </w:tc>
            </w:tr>
            <w:tr w14:paraId="0BAEC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vMerge w:val="continue"/>
                  <w:tcBorders>
                    <w:tl2br w:val="nil"/>
                    <w:tr2bl w:val="nil"/>
                  </w:tcBorders>
                  <w:vAlign w:val="center"/>
                </w:tcPr>
                <w:p w14:paraId="0E164A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37" w:type="dxa"/>
                  <w:vMerge w:val="continue"/>
                  <w:tcBorders>
                    <w:tl2br w:val="nil"/>
                    <w:tr2bl w:val="nil"/>
                  </w:tcBorders>
                  <w:vAlign w:val="center"/>
                </w:tcPr>
                <w:p w14:paraId="5A92F1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rPr>
                  </w:pPr>
                </w:p>
              </w:tc>
              <w:tc>
                <w:tcPr>
                  <w:tcW w:w="918" w:type="dxa"/>
                  <w:tcBorders>
                    <w:tl2br w:val="nil"/>
                    <w:tr2bl w:val="nil"/>
                  </w:tcBorders>
                  <w:vAlign w:val="center"/>
                </w:tcPr>
                <w:p w14:paraId="259A5ED4">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sz w:val="21"/>
                      <w:szCs w:val="21"/>
                      <w:highlight w:val="none"/>
                      <w:vertAlign w:val="baseline"/>
                    </w:rPr>
                  </w:pPr>
                  <w:r>
                    <w:rPr>
                      <w:rFonts w:hint="eastAsia" w:ascii="Times New Roman" w:hAnsi="Times New Roman" w:eastAsia="宋体" w:cs="宋体"/>
                      <w:i w:val="0"/>
                      <w:iCs w:val="0"/>
                      <w:color w:val="auto"/>
                      <w:kern w:val="0"/>
                      <w:sz w:val="21"/>
                      <w:szCs w:val="21"/>
                      <w:u w:val="none"/>
                      <w:lang w:val="en-US" w:eastAsia="zh-CN" w:bidi="ar"/>
                    </w:rPr>
                    <w:t>TP</w:t>
                  </w:r>
                </w:p>
              </w:tc>
              <w:tc>
                <w:tcPr>
                  <w:tcW w:w="1650" w:type="dxa"/>
                  <w:tcBorders>
                    <w:tl2br w:val="nil"/>
                    <w:tr2bl w:val="nil"/>
                  </w:tcBorders>
                  <w:vAlign w:val="center"/>
                </w:tcPr>
                <w:p w14:paraId="43DD992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7</w:t>
                  </w:r>
                </w:p>
              </w:tc>
              <w:tc>
                <w:tcPr>
                  <w:tcW w:w="1536" w:type="dxa"/>
                  <w:tcBorders>
                    <w:tl2br w:val="nil"/>
                    <w:tr2bl w:val="nil"/>
                  </w:tcBorders>
                  <w:vAlign w:val="center"/>
                </w:tcPr>
                <w:p w14:paraId="1B6E135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5</w:t>
                  </w:r>
                </w:p>
              </w:tc>
              <w:tc>
                <w:tcPr>
                  <w:tcW w:w="799" w:type="dxa"/>
                  <w:vMerge w:val="continue"/>
                  <w:tcBorders>
                    <w:tl2br w:val="nil"/>
                    <w:tr2bl w:val="nil"/>
                  </w:tcBorders>
                  <w:vAlign w:val="center"/>
                </w:tcPr>
                <w:p w14:paraId="61887D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p>
              </w:tc>
              <w:tc>
                <w:tcPr>
                  <w:tcW w:w="1130" w:type="dxa"/>
                  <w:tcBorders>
                    <w:tl2br w:val="nil"/>
                    <w:tr2bl w:val="nil"/>
                  </w:tcBorders>
                  <w:vAlign w:val="center"/>
                </w:tcPr>
                <w:p w14:paraId="72E493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5</w:t>
                  </w:r>
                </w:p>
              </w:tc>
              <w:tc>
                <w:tcPr>
                  <w:tcW w:w="1592" w:type="dxa"/>
                  <w:tcBorders>
                    <w:tl2br w:val="nil"/>
                    <w:tr2bl w:val="nil"/>
                  </w:tcBorders>
                  <w:vAlign w:val="center"/>
                </w:tcPr>
                <w:p w14:paraId="53C6249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042" w:type="dxa"/>
                  <w:tcBorders>
                    <w:tl2br w:val="nil"/>
                    <w:tr2bl w:val="nil"/>
                  </w:tcBorders>
                  <w:vAlign w:val="center"/>
                </w:tcPr>
                <w:p w14:paraId="4F1332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b w:val="0"/>
                      <w:bCs/>
                      <w:color w:val="auto"/>
                      <w:spacing w:val="0"/>
                      <w:sz w:val="21"/>
                      <w:szCs w:val="21"/>
                      <w:highlight w:val="none"/>
                      <w:vertAlign w:val="baseline"/>
                      <w:lang w:val="en-US" w:eastAsia="zh-CN"/>
                    </w:rPr>
                    <w:t>0.5</w:t>
                  </w:r>
                </w:p>
              </w:tc>
              <w:tc>
                <w:tcPr>
                  <w:tcW w:w="1853" w:type="dxa"/>
                  <w:tcBorders>
                    <w:tl2br w:val="nil"/>
                    <w:tr2bl w:val="nil"/>
                  </w:tcBorders>
                  <w:vAlign w:val="center"/>
                </w:tcPr>
                <w:p w14:paraId="073D6259">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3</w:t>
                  </w:r>
                </w:p>
              </w:tc>
            </w:tr>
            <w:tr w14:paraId="77EEB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0" w:type="dxa"/>
                  <w:gridSpan w:val="10"/>
                  <w:tcBorders>
                    <w:tl2br w:val="nil"/>
                    <w:tr2bl w:val="nil"/>
                  </w:tcBorders>
                  <w:vAlign w:val="center"/>
                </w:tcPr>
                <w:p w14:paraId="7FFA49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ascii="Times New Roman" w:hAnsi="Times New Roman" w:eastAsia="宋体" w:cs="Times New Roman"/>
                      <w:b w:val="0"/>
                      <w:bCs/>
                      <w:color w:val="auto"/>
                      <w:spacing w:val="0"/>
                      <w:sz w:val="21"/>
                      <w:szCs w:val="21"/>
                      <w:highlight w:val="none"/>
                      <w:vertAlign w:val="baseline"/>
                    </w:rPr>
                  </w:pPr>
                  <w:r>
                    <w:rPr>
                      <w:rFonts w:hint="default" w:ascii="Times New Roman" w:hAnsi="Times New Roman" w:eastAsia="宋体" w:cs="Times New Roman"/>
                      <w:b w:val="0"/>
                      <w:bCs/>
                      <w:color w:val="auto"/>
                      <w:spacing w:val="0"/>
                      <w:sz w:val="21"/>
                      <w:szCs w:val="21"/>
                      <w:highlight w:val="none"/>
                      <w:vertAlign w:val="baseline"/>
                    </w:rPr>
                    <w:t>注</w:t>
                  </w:r>
                  <w:r>
                    <w:rPr>
                      <w:rFonts w:hint="default" w:ascii="Times New Roman" w:hAnsi="Times New Roman" w:eastAsia="宋体" w:cs="Times New Roman"/>
                      <w:b w:val="0"/>
                      <w:bCs/>
                      <w:color w:val="auto"/>
                      <w:spacing w:val="0"/>
                      <w:sz w:val="21"/>
                      <w:szCs w:val="21"/>
                      <w:highlight w:val="none"/>
                      <w:vertAlign w:val="baseline"/>
                      <w:lang w:eastAsia="zh-CN"/>
                    </w:rPr>
                    <w:t>：</w:t>
                  </w:r>
                  <w:r>
                    <w:rPr>
                      <w:rFonts w:hint="default" w:ascii="Times New Roman" w:hAnsi="Times New Roman" w:eastAsia="宋体" w:cs="Times New Roman"/>
                      <w:b w:val="0"/>
                      <w:bCs/>
                      <w:color w:val="auto"/>
                      <w:spacing w:val="0"/>
                      <w:sz w:val="21"/>
                      <w:szCs w:val="21"/>
                      <w:highlight w:val="none"/>
                      <w:vertAlign w:val="baseline"/>
                    </w:rPr>
                    <w:t>总余氯在</w:t>
                  </w:r>
                  <w:r>
                    <w:rPr>
                      <w:rFonts w:hint="eastAsia" w:ascii="Times New Roman" w:hAnsi="Times New Roman" w:eastAsia="宋体" w:cs="Times New Roman"/>
                      <w:b w:val="0"/>
                      <w:bCs/>
                      <w:color w:val="auto"/>
                      <w:spacing w:val="0"/>
                      <w:sz w:val="21"/>
                      <w:szCs w:val="21"/>
                      <w:highlight w:val="none"/>
                      <w:vertAlign w:val="baseline"/>
                      <w:lang w:val="en-US" w:eastAsia="zh-CN"/>
                    </w:rPr>
                    <w:t>消毒</w:t>
                  </w:r>
                  <w:r>
                    <w:rPr>
                      <w:rFonts w:hint="default" w:ascii="Times New Roman" w:hAnsi="Times New Roman" w:eastAsia="宋体" w:cs="Times New Roman"/>
                      <w:b w:val="0"/>
                      <w:bCs/>
                      <w:color w:val="auto"/>
                      <w:spacing w:val="0"/>
                      <w:sz w:val="21"/>
                      <w:szCs w:val="21"/>
                      <w:highlight w:val="none"/>
                      <w:vertAlign w:val="baseline"/>
                    </w:rPr>
                    <w:t>设施排放口进行控制，</w:t>
                  </w:r>
                  <w:r>
                    <w:rPr>
                      <w:rFonts w:hint="eastAsia" w:ascii="Times New Roman" w:hAnsi="Times New Roman" w:eastAsia="宋体" w:cs="Times New Roman"/>
                      <w:b w:val="0"/>
                      <w:bCs/>
                      <w:color w:val="auto"/>
                      <w:spacing w:val="0"/>
                      <w:sz w:val="21"/>
                      <w:szCs w:val="21"/>
                      <w:highlight w:val="none"/>
                      <w:vertAlign w:val="baseline"/>
                      <w:lang w:val="en-US" w:eastAsia="zh-CN"/>
                    </w:rPr>
                    <w:t>消毒</w:t>
                  </w:r>
                  <w:r>
                    <w:rPr>
                      <w:rFonts w:hint="default" w:ascii="Times New Roman" w:hAnsi="Times New Roman" w:eastAsia="宋体" w:cs="Times New Roman"/>
                      <w:b w:val="0"/>
                      <w:bCs/>
                      <w:color w:val="auto"/>
                      <w:spacing w:val="0"/>
                      <w:sz w:val="21"/>
                      <w:szCs w:val="21"/>
                      <w:highlight w:val="none"/>
                      <w:vertAlign w:val="baseline"/>
                    </w:rPr>
                    <w:t>设施出水参照执行《医疗机构水污染物排放标准》</w:t>
                  </w:r>
                  <w:r>
                    <w:rPr>
                      <w:rFonts w:hint="eastAsia" w:cs="Times New Roman"/>
                      <w:b w:val="0"/>
                      <w:bCs/>
                      <w:color w:val="auto"/>
                      <w:spacing w:val="0"/>
                      <w:sz w:val="21"/>
                      <w:szCs w:val="21"/>
                      <w:highlight w:val="none"/>
                      <w:vertAlign w:val="baseline"/>
                      <w:lang w:eastAsia="zh-CN"/>
                    </w:rPr>
                    <w:t>（GB18466-2005）</w:t>
                  </w:r>
                  <w:r>
                    <w:rPr>
                      <w:rFonts w:hint="default" w:ascii="Times New Roman" w:hAnsi="Times New Roman" w:eastAsia="宋体" w:cs="Times New Roman"/>
                      <w:b w:val="0"/>
                      <w:bCs/>
                      <w:color w:val="auto"/>
                      <w:spacing w:val="0"/>
                      <w:sz w:val="21"/>
                      <w:szCs w:val="21"/>
                      <w:highlight w:val="none"/>
                      <w:vertAlign w:val="baseline"/>
                    </w:rPr>
                    <w:t>预处理标准</w:t>
                  </w:r>
                  <w:r>
                    <w:rPr>
                      <w:rFonts w:hint="default" w:ascii="Times New Roman" w:hAnsi="Times New Roman" w:eastAsia="宋体" w:cs="Times New Roman"/>
                      <w:b w:val="0"/>
                      <w:bCs/>
                      <w:color w:val="auto"/>
                      <w:spacing w:val="0"/>
                      <w:sz w:val="21"/>
                      <w:szCs w:val="21"/>
                      <w:highlight w:val="none"/>
                      <w:vertAlign w:val="baseline"/>
                      <w:lang w:eastAsia="zh-CN"/>
                    </w:rPr>
                    <w:t>；</w:t>
                  </w:r>
                  <w:r>
                    <w:rPr>
                      <w:rFonts w:hint="eastAsia" w:ascii="Times New Roman" w:hAnsi="Times New Roman" w:eastAsia="宋体" w:cs="Times New Roman"/>
                      <w:b w:val="0"/>
                      <w:bCs/>
                      <w:color w:val="auto"/>
                      <w:spacing w:val="0"/>
                      <w:sz w:val="21"/>
                      <w:szCs w:val="21"/>
                      <w:highlight w:val="none"/>
                      <w:vertAlign w:val="baseline"/>
                      <w:lang w:val="en-US" w:eastAsia="zh-CN"/>
                    </w:rPr>
                    <w:t>生化池</w:t>
                  </w:r>
                  <w:r>
                    <w:rPr>
                      <w:rFonts w:hint="default" w:ascii="Times New Roman" w:hAnsi="Times New Roman" w:eastAsia="宋体" w:cs="Times New Roman"/>
                      <w:b w:val="0"/>
                      <w:bCs/>
                      <w:color w:val="auto"/>
                      <w:spacing w:val="0"/>
                      <w:sz w:val="21"/>
                      <w:szCs w:val="21"/>
                      <w:highlight w:val="none"/>
                      <w:vertAlign w:val="baseline"/>
                    </w:rPr>
                    <w:t>排放口执行《污水综合排放标准》</w:t>
                  </w:r>
                  <w:r>
                    <w:rPr>
                      <w:rFonts w:hint="default" w:ascii="Times New Roman" w:hAnsi="Times New Roman" w:eastAsia="宋体" w:cs="Times New Roman"/>
                      <w:b w:val="0"/>
                      <w:bCs/>
                      <w:color w:val="auto"/>
                      <w:spacing w:val="0"/>
                      <w:sz w:val="21"/>
                      <w:szCs w:val="21"/>
                      <w:highlight w:val="none"/>
                      <w:vertAlign w:val="baseline"/>
                      <w:lang w:eastAsia="zh-CN"/>
                    </w:rPr>
                    <w:t>（</w:t>
                  </w:r>
                  <w:r>
                    <w:rPr>
                      <w:rFonts w:hint="default" w:ascii="Times New Roman" w:hAnsi="Times New Roman" w:eastAsia="宋体" w:cs="Times New Roman"/>
                      <w:b w:val="0"/>
                      <w:bCs/>
                      <w:color w:val="auto"/>
                      <w:spacing w:val="0"/>
                      <w:sz w:val="21"/>
                      <w:szCs w:val="21"/>
                      <w:highlight w:val="none"/>
                      <w:vertAlign w:val="baseline"/>
                    </w:rPr>
                    <w:t>GB8978-1996</w:t>
                  </w:r>
                  <w:r>
                    <w:rPr>
                      <w:rFonts w:hint="default" w:ascii="Times New Roman" w:hAnsi="Times New Roman" w:eastAsia="宋体" w:cs="Times New Roman"/>
                      <w:b w:val="0"/>
                      <w:bCs/>
                      <w:color w:val="auto"/>
                      <w:spacing w:val="0"/>
                      <w:sz w:val="21"/>
                      <w:szCs w:val="21"/>
                      <w:highlight w:val="none"/>
                      <w:vertAlign w:val="baseline"/>
                      <w:lang w:eastAsia="zh-CN"/>
                    </w:rPr>
                    <w:t>）</w:t>
                  </w:r>
                  <w:r>
                    <w:rPr>
                      <w:rFonts w:hint="default" w:ascii="Times New Roman" w:hAnsi="Times New Roman" w:eastAsia="宋体" w:cs="Times New Roman"/>
                      <w:b w:val="0"/>
                      <w:bCs/>
                      <w:color w:val="auto"/>
                      <w:spacing w:val="0"/>
                      <w:sz w:val="21"/>
                      <w:szCs w:val="21"/>
                      <w:highlight w:val="none"/>
                      <w:vertAlign w:val="baseline"/>
                    </w:rPr>
                    <w:t>三级标准</w:t>
                  </w:r>
                  <w:r>
                    <w:rPr>
                      <w:rFonts w:hint="eastAsia" w:ascii="Times New Roman" w:hAnsi="Times New Roman" w:eastAsia="宋体" w:cs="Times New Roman"/>
                      <w:b w:val="0"/>
                      <w:bCs/>
                      <w:color w:val="auto"/>
                      <w:spacing w:val="0"/>
                      <w:sz w:val="21"/>
                      <w:szCs w:val="21"/>
                      <w:highlight w:val="none"/>
                      <w:vertAlign w:val="baseline"/>
                      <w:lang w:eastAsia="zh-CN"/>
                    </w:rPr>
                    <w:t>。</w:t>
                  </w:r>
                </w:p>
              </w:tc>
            </w:tr>
          </w:tbl>
          <w:p w14:paraId="4D7C06F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val="0"/>
                <w:color w:val="auto"/>
                <w:kern w:val="0"/>
                <w:sz w:val="24"/>
                <w:szCs w:val="24"/>
                <w:highlight w:val="none"/>
                <w:vertAlign w:val="baseline"/>
              </w:rPr>
            </w:pPr>
          </w:p>
          <w:p w14:paraId="6CB206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auto"/>
                <w:kern w:val="0"/>
                <w:sz w:val="24"/>
                <w:szCs w:val="24"/>
                <w:highlight w:val="none"/>
                <w:vertAlign w:val="baseline"/>
              </w:rPr>
            </w:pPr>
          </w:p>
        </w:tc>
      </w:tr>
    </w:tbl>
    <w:p w14:paraId="10C77EED">
      <w:pPr>
        <w:rPr>
          <w:color w:val="auto"/>
        </w:rPr>
      </w:pPr>
    </w:p>
    <w:p w14:paraId="64F31364">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5"/>
      </w:tblGrid>
      <w:tr w14:paraId="099D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7B844253">
            <w:pPr>
              <w:pStyle w:val="49"/>
              <w:jc w:val="center"/>
              <w:rPr>
                <w:rFonts w:hint="default"/>
                <w:color w:val="auto"/>
                <w:vertAlign w:val="baseline"/>
              </w:rPr>
            </w:pPr>
            <w:r>
              <w:rPr>
                <w:rFonts w:hint="eastAsia" w:ascii="宋体" w:hAnsi="宋体" w:eastAsia="宋体" w:cs="宋体"/>
                <w:color w:val="auto"/>
                <w:vertAlign w:val="baseline"/>
              </w:rPr>
              <w:t>运营期环境影响和保护措施</w:t>
            </w:r>
          </w:p>
        </w:tc>
        <w:tc>
          <w:tcPr>
            <w:tcW w:w="8605" w:type="dxa"/>
          </w:tcPr>
          <w:p w14:paraId="3E8D985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cs="Times New Roman"/>
                <w:b/>
                <w:bCs w:val="0"/>
                <w:color w:val="auto"/>
                <w:spacing w:val="0"/>
                <w:sz w:val="24"/>
                <w:szCs w:val="24"/>
              </w:rPr>
              <w:t>4.2.2.</w:t>
            </w:r>
            <w:r>
              <w:rPr>
                <w:rFonts w:hint="eastAsia" w:cs="Times New Roman"/>
                <w:b/>
                <w:bCs w:val="0"/>
                <w:color w:val="auto"/>
                <w:spacing w:val="0"/>
                <w:sz w:val="24"/>
                <w:szCs w:val="24"/>
                <w:lang w:val="en-US" w:eastAsia="zh-CN"/>
              </w:rPr>
              <w:t>2</w:t>
            </w:r>
            <w:r>
              <w:rPr>
                <w:rFonts w:ascii="Times New Roman" w:hAnsi="Times New Roman" w:eastAsia="宋体" w:cs="Times New Roman"/>
                <w:b/>
                <w:color w:val="auto"/>
                <w:sz w:val="24"/>
                <w:szCs w:val="24"/>
                <w:highlight w:val="none"/>
              </w:rPr>
              <w:t>废水处理措施可行性分析</w:t>
            </w:r>
            <w:r>
              <w:rPr>
                <w:rFonts w:hint="eastAsia" w:ascii="Times New Roman" w:hAnsi="Times New Roman" w:eastAsia="宋体" w:cs="Times New Roman"/>
                <w:b/>
                <w:color w:val="auto"/>
                <w:sz w:val="24"/>
                <w:szCs w:val="24"/>
                <w:highlight w:val="none"/>
                <w:lang w:val="en-US" w:eastAsia="zh-CN"/>
              </w:rPr>
              <w:t>及达标分析</w:t>
            </w:r>
          </w:p>
          <w:p w14:paraId="134AFC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废水处理设施可行性分析</w:t>
            </w:r>
          </w:p>
          <w:p w14:paraId="62B874A4">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rPr>
            </w:pPr>
            <w:r>
              <w:rPr>
                <w:rFonts w:hint="eastAsia" w:cs="Times New Roman"/>
                <w:snapToGrid w:val="0"/>
                <w:color w:val="auto"/>
                <w:kern w:val="0"/>
                <w:sz w:val="24"/>
                <w:szCs w:val="24"/>
                <w:highlight w:val="none"/>
                <w:lang w:val="en-US" w:eastAsia="zh-CN"/>
              </w:rPr>
              <w:t>根据前文分析，本项目运营服务期废水主要为医疗废水、其他废水和生活污水。</w:t>
            </w:r>
            <w:r>
              <w:rPr>
                <w:rFonts w:hint="eastAsia" w:cs="Times New Roman"/>
                <w:b w:val="0"/>
                <w:bCs/>
                <w:color w:val="auto"/>
                <w:spacing w:val="0"/>
                <w:sz w:val="24"/>
                <w:szCs w:val="24"/>
                <w:highlight w:val="none"/>
                <w:lang w:val="en-US" w:eastAsia="zh-CN"/>
              </w:rPr>
              <w:t>项目</w:t>
            </w:r>
            <w:r>
              <w:rPr>
                <w:rFonts w:hint="eastAsia" w:cs="Times New Roman"/>
                <w:snapToGrid w:val="0"/>
                <w:color w:val="auto"/>
                <w:kern w:val="0"/>
                <w:sz w:val="24"/>
                <w:highlight w:val="none"/>
                <w:lang w:val="en-US" w:eastAsia="zh-CN"/>
              </w:rPr>
              <w:t>手术废水、手术器械清洗废水经水槽收集后进入1#消毒设施进行消毒，诊疗废水</w:t>
            </w:r>
            <w:r>
              <w:rPr>
                <w:rFonts w:hint="eastAsia" w:cs="Times New Roman"/>
                <w:color w:val="auto"/>
                <w:sz w:val="24"/>
                <w:szCs w:val="24"/>
                <w:highlight w:val="none"/>
                <w:lang w:val="en-US" w:eastAsia="zh-CN"/>
              </w:rPr>
              <w:t>、宠物笼清洗废水</w:t>
            </w:r>
            <w:r>
              <w:rPr>
                <w:rFonts w:hint="eastAsia" w:cs="Times New Roman"/>
                <w:snapToGrid w:val="0"/>
                <w:color w:val="auto"/>
                <w:kern w:val="0"/>
                <w:sz w:val="24"/>
                <w:highlight w:val="none"/>
                <w:lang w:val="en-US" w:eastAsia="zh-CN"/>
              </w:rPr>
              <w:t>经水槽收集后进入2#消毒设施进行消毒。项目</w:t>
            </w:r>
            <w:r>
              <w:rPr>
                <w:rFonts w:hint="default" w:ascii="Times New Roman" w:hAnsi="Times New Roman" w:cs="Times New Roman"/>
                <w:b w:val="0"/>
                <w:bCs/>
                <w:color w:val="auto"/>
                <w:spacing w:val="0"/>
                <w:sz w:val="24"/>
                <w:szCs w:val="24"/>
                <w:highlight w:val="none"/>
              </w:rPr>
              <w:t>医疗废水经</w:t>
            </w:r>
            <w:r>
              <w:rPr>
                <w:rFonts w:hint="eastAsia" w:cs="Times New Roman"/>
                <w:b w:val="0"/>
                <w:bCs/>
                <w:color w:val="auto"/>
                <w:spacing w:val="0"/>
                <w:sz w:val="24"/>
                <w:szCs w:val="24"/>
                <w:highlight w:val="none"/>
                <w:lang w:val="en-US" w:eastAsia="zh-CN"/>
              </w:rPr>
              <w:t>相应的消毒</w:t>
            </w:r>
            <w:r>
              <w:rPr>
                <w:rFonts w:hint="default" w:ascii="Times New Roman" w:hAnsi="Times New Roman" w:cs="Times New Roman"/>
                <w:b w:val="0"/>
                <w:bCs/>
                <w:color w:val="auto"/>
                <w:spacing w:val="0"/>
                <w:sz w:val="24"/>
                <w:szCs w:val="24"/>
                <w:highlight w:val="none"/>
              </w:rPr>
              <w:t>设施预处理后</w:t>
            </w: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出水参照执行《医疗机构水污染物排放标准》</w:t>
            </w:r>
            <w:r>
              <w:rPr>
                <w:rFonts w:hint="eastAsia" w:cs="Times New Roman"/>
                <w:b w:val="0"/>
                <w:bCs/>
                <w:color w:val="auto"/>
                <w:spacing w:val="0"/>
                <w:sz w:val="24"/>
                <w:szCs w:val="24"/>
                <w:highlight w:val="none"/>
                <w:lang w:eastAsia="zh-CN"/>
              </w:rPr>
              <w:t>（GB</w:t>
            </w:r>
            <w:r>
              <w:rPr>
                <w:rFonts w:hint="eastAsia" w:cs="Times New Roman"/>
                <w:b w:val="0"/>
                <w:bCs/>
                <w:color w:val="auto"/>
                <w:spacing w:val="0"/>
                <w:sz w:val="24"/>
                <w:szCs w:val="24"/>
                <w:highlight w:val="none"/>
                <w:lang w:val="en-US" w:eastAsia="zh-CN"/>
              </w:rPr>
              <w:t xml:space="preserve"> </w:t>
            </w:r>
            <w:r>
              <w:rPr>
                <w:rFonts w:hint="eastAsia" w:cs="Times New Roman"/>
                <w:b w:val="0"/>
                <w:bCs/>
                <w:color w:val="auto"/>
                <w:spacing w:val="0"/>
                <w:sz w:val="24"/>
                <w:szCs w:val="24"/>
                <w:highlight w:val="none"/>
                <w:lang w:eastAsia="zh-CN"/>
              </w:rPr>
              <w:t>18466-2005）</w:t>
            </w:r>
            <w:r>
              <w:rPr>
                <w:rFonts w:hint="default" w:ascii="Times New Roman" w:hAnsi="Times New Roman" w:cs="Times New Roman"/>
                <w:b w:val="0"/>
                <w:bCs/>
                <w:color w:val="auto"/>
                <w:spacing w:val="0"/>
                <w:sz w:val="24"/>
                <w:szCs w:val="24"/>
                <w:highlight w:val="none"/>
              </w:rPr>
              <w:t>预处理标准</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eastAsia="zh-CN"/>
              </w:rPr>
              <w:t>，</w:t>
            </w:r>
            <w:r>
              <w:rPr>
                <w:rFonts w:hint="eastAsia" w:cs="Times New Roman"/>
                <w:color w:val="auto"/>
                <w:sz w:val="24"/>
                <w:szCs w:val="24"/>
                <w:highlight w:val="none"/>
                <w:lang w:val="en-US" w:eastAsia="zh-CN"/>
              </w:rPr>
              <w:t>宠物洗浴污水经滤网过滤后，与其他废水和生活污水一并排入金科阳光小镇6期生化池处理达《污水综合排放标准》（GB 8978-1996）三级标准后排入市政污水管网，再经中梁山污水处理厂处理达《城镇污水处理厂污染物排放标准》（GB 18918-2002）一级A标准后排入长江。</w:t>
            </w:r>
          </w:p>
          <w:p w14:paraId="690E57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szCs w:val="24"/>
                <w:highlight w:val="none"/>
                <w:lang w:val="en-US" w:eastAsia="zh-CN"/>
              </w:rPr>
            </w:pPr>
            <w:r>
              <w:rPr>
                <w:rFonts w:hint="eastAsia" w:cs="Times New Roman"/>
                <w:color w:val="auto"/>
                <w:sz w:val="24"/>
                <w:szCs w:val="24"/>
                <w:highlight w:val="none"/>
                <w:lang w:val="en-US" w:eastAsia="zh-CN"/>
              </w:rPr>
              <w:t>医疗废水主要为诊疗废水、手术废水、手术器械清洗废水、宠物笼清洗废水等，</w:t>
            </w:r>
            <w:r>
              <w:rPr>
                <w:rFonts w:hint="eastAsia" w:cs="Times New Roman"/>
                <w:snapToGrid w:val="0"/>
                <w:color w:val="auto"/>
                <w:kern w:val="0"/>
                <w:sz w:val="24"/>
                <w:szCs w:val="24"/>
                <w:highlight w:val="none"/>
                <w:lang w:val="en-US" w:eastAsia="zh-CN"/>
              </w:rPr>
              <w:t>医疗废水成分复杂，废水中因沾染血、尿、便等具有传染性必须经消毒杀菌后才能排放，参照《医疗机构水污染物排放标准》（GB 18466-2005）4.1.3“县级以下或20张床位以下的综合医疗机构和其他所有医疗机构污水经消毒后方可排放”规定，医疗废水需经消毒处理之后即可外排。</w:t>
            </w:r>
          </w:p>
          <w:p w14:paraId="2B1088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根据《排污许可证申请与核发技术规范 医疗机构》（HJ 1105-2020）表A.2医疗机构排水单位污水治理可行技术参照表。具体可行技术见下表。</w:t>
            </w:r>
          </w:p>
          <w:p w14:paraId="529978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1"/>
                <w:szCs w:val="21"/>
                <w:highlight w:val="none"/>
                <w:lang w:val="en-US" w:eastAsia="zh-CN" w:bidi="ar-SA"/>
              </w:rPr>
              <w:t>表 4</w:t>
            </w:r>
            <w:r>
              <w:rPr>
                <w:rFonts w:hint="eastAsia" w:cs="Times New Roman"/>
                <w:b w:val="0"/>
                <w:bCs/>
                <w:color w:val="auto"/>
                <w:kern w:val="2"/>
                <w:sz w:val="21"/>
                <w:szCs w:val="21"/>
                <w:highlight w:val="none"/>
                <w:lang w:val="en-US" w:eastAsia="zh-CN" w:bidi="ar-SA"/>
              </w:rPr>
              <w:t>.2-2</w:t>
            </w:r>
            <w:r>
              <w:rPr>
                <w:rFonts w:ascii="Times New Roman" w:hAnsi="Times New Roman" w:eastAsia="宋体" w:cs="Times New Roman"/>
                <w:b w:val="0"/>
                <w:bCs/>
                <w:color w:val="auto"/>
                <w:kern w:val="2"/>
                <w:sz w:val="21"/>
                <w:szCs w:val="21"/>
                <w:highlight w:val="none"/>
                <w:lang w:val="en-US" w:eastAsia="zh-CN" w:bidi="ar-SA"/>
              </w:rPr>
              <w:t xml:space="preserve"> </w:t>
            </w:r>
            <w:r>
              <w:rPr>
                <w:rFonts w:hint="eastAsia" w:ascii="Times New Roman" w:hAnsi="Times New Roman" w:eastAsia="宋体" w:cs="Times New Roman"/>
                <w:b w:val="0"/>
                <w:bCs/>
                <w:color w:val="auto"/>
                <w:kern w:val="2"/>
                <w:sz w:val="21"/>
                <w:szCs w:val="21"/>
                <w:highlight w:val="none"/>
                <w:lang w:val="en-US" w:eastAsia="zh-CN" w:bidi="ar-SA"/>
              </w:rPr>
              <w:t>医疗机构排污单位水污染可行技术参照表</w:t>
            </w:r>
          </w:p>
          <w:tbl>
            <w:tblPr>
              <w:tblStyle w:val="22"/>
              <w:tblW w:w="83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775"/>
              <w:gridCol w:w="3189"/>
              <w:gridCol w:w="1268"/>
            </w:tblGrid>
            <w:tr w14:paraId="33F3B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tcBorders>
                    <w:tl2br w:val="nil"/>
                    <w:tr2bl w:val="nil"/>
                  </w:tcBorders>
                  <w:vAlign w:val="center"/>
                </w:tcPr>
                <w:p w14:paraId="0852B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污水类别</w:t>
                  </w:r>
                </w:p>
              </w:tc>
              <w:tc>
                <w:tcPr>
                  <w:tcW w:w="2775" w:type="dxa"/>
                  <w:tcBorders>
                    <w:tl2br w:val="nil"/>
                    <w:tr2bl w:val="nil"/>
                  </w:tcBorders>
                  <w:vAlign w:val="center"/>
                </w:tcPr>
                <w:p w14:paraId="3396F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污染物种类</w:t>
                  </w:r>
                </w:p>
              </w:tc>
              <w:tc>
                <w:tcPr>
                  <w:tcW w:w="3189" w:type="dxa"/>
                  <w:tcBorders>
                    <w:tl2br w:val="nil"/>
                    <w:tr2bl w:val="nil"/>
                  </w:tcBorders>
                  <w:shd w:val="clear" w:color="auto" w:fill="auto"/>
                  <w:vAlign w:val="center"/>
                </w:tcPr>
                <w:p w14:paraId="2E7299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可行技术</w:t>
                  </w:r>
                </w:p>
              </w:tc>
              <w:tc>
                <w:tcPr>
                  <w:tcW w:w="1268" w:type="dxa"/>
                  <w:tcBorders>
                    <w:tl2br w:val="nil"/>
                    <w:tr2bl w:val="nil"/>
                  </w:tcBorders>
                  <w:vAlign w:val="center"/>
                </w:tcPr>
                <w:p w14:paraId="31FFC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本项目采用技术</w:t>
                  </w:r>
                </w:p>
              </w:tc>
            </w:tr>
            <w:tr w14:paraId="07051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tcBorders>
                    <w:tl2br w:val="nil"/>
                    <w:tr2bl w:val="nil"/>
                  </w:tcBorders>
                  <w:vAlign w:val="center"/>
                </w:tcPr>
                <w:p w14:paraId="4F465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医疗废水</w:t>
                  </w:r>
                </w:p>
              </w:tc>
              <w:tc>
                <w:tcPr>
                  <w:tcW w:w="2775" w:type="dxa"/>
                  <w:tcBorders>
                    <w:tl2br w:val="nil"/>
                    <w:tr2bl w:val="nil"/>
                  </w:tcBorders>
                  <w:vAlign w:val="center"/>
                </w:tcPr>
                <w:p w14:paraId="4EBE9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粪大肠菌群数、肠道致病菌、肠道病毒化学需氧量、氨氮、pH值、悬浮物、五日生化需氧量、动植物油、石油类、阴离子表面活性剂、挥发酚、色度、总氰化物、总余氯</w:t>
                  </w:r>
                </w:p>
              </w:tc>
              <w:tc>
                <w:tcPr>
                  <w:tcW w:w="3189" w:type="dxa"/>
                  <w:tcBorders>
                    <w:tl2br w:val="nil"/>
                    <w:tr2bl w:val="nil"/>
                  </w:tcBorders>
                  <w:shd w:val="clear" w:color="auto" w:fill="auto"/>
                  <w:vAlign w:val="center"/>
                </w:tcPr>
                <w:p w14:paraId="1CF85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1268" w:type="dxa"/>
                  <w:tcBorders>
                    <w:tl2br w:val="nil"/>
                    <w:tr2bl w:val="nil"/>
                  </w:tcBorders>
                  <w:vAlign w:val="center"/>
                </w:tcPr>
                <w:p w14:paraId="7F1F3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二氧化氯法消毒</w:t>
                  </w:r>
                </w:p>
              </w:tc>
            </w:tr>
          </w:tbl>
          <w:p w14:paraId="64B16BF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本项目选用医疗废水消毒设备（投加二氧化氯消毒片）进行消毒，是目前国内比较常用的消毒方式，不仅价格优廉，而且使用方便，适用于医疗废水消毒。</w:t>
            </w:r>
          </w:p>
          <w:p w14:paraId="193108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消毒设施的工作原理为：以固体消毒剂为主要原料，本项目通过投加二氧化氯消毒片进行消毒，采用自动稀释延时压力加药工艺，与废水合理混合达到消毒杀菌的目的，设备自带储水箱，保证消毒接触时间，要求消毒接触时间</w:t>
            </w:r>
            <w:r>
              <w:rPr>
                <w:rFonts w:hint="default" w:ascii="Times New Roman" w:hAnsi="Times New Roman" w:cs="Times New Roman"/>
                <w:b w:val="0"/>
                <w:bCs/>
                <w:color w:val="auto"/>
                <w:kern w:val="0"/>
                <w:sz w:val="24"/>
                <w:szCs w:val="24"/>
                <w:highlight w:val="none"/>
                <w:vertAlign w:val="baseline"/>
                <w:lang w:eastAsia="zh-CN"/>
              </w:rPr>
              <w:t>不低于</w:t>
            </w:r>
            <w:r>
              <w:rPr>
                <w:rFonts w:hint="eastAsia" w:cs="Times New Roman"/>
                <w:snapToGrid w:val="0"/>
                <w:color w:val="auto"/>
                <w:kern w:val="0"/>
                <w:sz w:val="24"/>
                <w:highlight w:val="none"/>
                <w:lang w:val="en-US" w:eastAsia="zh-CN"/>
              </w:rPr>
              <w:t>1h。</w:t>
            </w:r>
          </w:p>
          <w:p w14:paraId="4D0BBC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s="Times New Roman"/>
                <w:snapToGrid w:val="0"/>
                <w:color w:val="auto"/>
                <w:kern w:val="0"/>
                <w:sz w:val="24"/>
                <w:highlight w:val="none"/>
                <w:lang w:val="en-US" w:eastAsia="zh-CN"/>
              </w:rPr>
              <w:t>项目在手术室设置1个水槽，水槽下方设置1#消毒设施，消毒设施的有效容积为50L，手术废水、手术器械清洗废水经水槽收集后进入消毒设施进行消毒，手术废水、手术器械清洗废水的总产生量为0.113m</w:t>
            </w:r>
            <w:r>
              <w:rPr>
                <w:rFonts w:hint="eastAsia" w:cs="Times New Roman"/>
                <w:snapToGrid w:val="0"/>
                <w:color w:val="auto"/>
                <w:kern w:val="0"/>
                <w:sz w:val="24"/>
                <w:highlight w:val="none"/>
                <w:vertAlign w:val="superscript"/>
                <w:lang w:val="en-US" w:eastAsia="zh-CN"/>
              </w:rPr>
              <w:t>3</w:t>
            </w:r>
            <w:r>
              <w:rPr>
                <w:rFonts w:hint="eastAsia" w:cs="Times New Roman"/>
                <w:snapToGrid w:val="0"/>
                <w:color w:val="auto"/>
                <w:kern w:val="0"/>
                <w:sz w:val="24"/>
                <w:highlight w:val="none"/>
                <w:lang w:val="en-US" w:eastAsia="zh-CN"/>
              </w:rPr>
              <w:t>/d，废水收集在消毒设施的储箱中，达到有效容积后投加二氧化氯消毒片1片，</w:t>
            </w:r>
            <w:r>
              <w:rPr>
                <w:rFonts w:hint="eastAsia" w:cs="Times New Roman"/>
                <w:b w:val="0"/>
                <w:bCs/>
                <w:color w:val="auto"/>
                <w:kern w:val="0"/>
                <w:sz w:val="24"/>
                <w:szCs w:val="24"/>
                <w:highlight w:val="none"/>
                <w:vertAlign w:val="baseline"/>
                <w:lang w:val="en-US" w:eastAsia="zh-CN"/>
              </w:rPr>
              <w:t>静置1h，使消毒片充分反应，之后打开排水阀门，预处理后的废水排入生化池</w:t>
            </w:r>
            <w:r>
              <w:rPr>
                <w:rFonts w:hint="eastAsia" w:cs="Times New Roman"/>
                <w:snapToGrid w:val="0"/>
                <w:color w:val="auto"/>
                <w:kern w:val="0"/>
                <w:sz w:val="24"/>
                <w:highlight w:val="none"/>
                <w:lang w:val="en-US" w:eastAsia="zh-CN"/>
              </w:rPr>
              <w:t>，每日处理3次即可满足项目需求；在化验室设置1个水槽，水槽下方设置2#消毒设施，消毒设施的有效容积为50L，诊疗废水</w:t>
            </w:r>
            <w:r>
              <w:rPr>
                <w:rFonts w:hint="eastAsia" w:cs="Times New Roman"/>
                <w:color w:val="auto"/>
                <w:sz w:val="24"/>
                <w:szCs w:val="24"/>
                <w:highlight w:val="none"/>
                <w:lang w:val="en-US" w:eastAsia="zh-CN"/>
              </w:rPr>
              <w:t>、宠物笼清洗废水</w:t>
            </w:r>
            <w:r>
              <w:rPr>
                <w:rFonts w:hint="eastAsia" w:cs="Times New Roman"/>
                <w:snapToGrid w:val="0"/>
                <w:color w:val="auto"/>
                <w:kern w:val="0"/>
                <w:sz w:val="24"/>
                <w:highlight w:val="none"/>
                <w:lang w:val="en-US" w:eastAsia="zh-CN"/>
              </w:rPr>
              <w:t>经水槽收集后进入消毒设施进行消毒，诊疗废水</w:t>
            </w:r>
            <w:r>
              <w:rPr>
                <w:rFonts w:hint="eastAsia" w:cs="Times New Roman"/>
                <w:color w:val="auto"/>
                <w:sz w:val="24"/>
                <w:szCs w:val="24"/>
                <w:highlight w:val="none"/>
                <w:lang w:val="en-US" w:eastAsia="zh-CN"/>
              </w:rPr>
              <w:t>、宠物笼清洗废水</w:t>
            </w:r>
            <w:r>
              <w:rPr>
                <w:rFonts w:hint="eastAsia" w:cs="Times New Roman"/>
                <w:snapToGrid w:val="0"/>
                <w:color w:val="auto"/>
                <w:kern w:val="0"/>
                <w:sz w:val="24"/>
                <w:highlight w:val="none"/>
                <w:lang w:val="en-US" w:eastAsia="zh-CN"/>
              </w:rPr>
              <w:t>的总产生量为0.468m</w:t>
            </w:r>
            <w:r>
              <w:rPr>
                <w:rFonts w:hint="eastAsia" w:cs="Times New Roman"/>
                <w:snapToGrid w:val="0"/>
                <w:color w:val="auto"/>
                <w:kern w:val="0"/>
                <w:sz w:val="24"/>
                <w:highlight w:val="none"/>
                <w:vertAlign w:val="superscript"/>
                <w:lang w:val="en-US" w:eastAsia="zh-CN"/>
              </w:rPr>
              <w:t>3</w:t>
            </w:r>
            <w:r>
              <w:rPr>
                <w:rFonts w:hint="eastAsia" w:cs="Times New Roman"/>
                <w:snapToGrid w:val="0"/>
                <w:color w:val="auto"/>
                <w:kern w:val="0"/>
                <w:sz w:val="24"/>
                <w:highlight w:val="none"/>
                <w:lang w:val="en-US" w:eastAsia="zh-CN"/>
              </w:rPr>
              <w:t>/d，废水收集在消毒设施的储箱中，达到有效容积后投加二氧化氯消毒片1片，</w:t>
            </w:r>
            <w:r>
              <w:rPr>
                <w:rFonts w:hint="eastAsia" w:cs="Times New Roman"/>
                <w:b w:val="0"/>
                <w:bCs/>
                <w:color w:val="auto"/>
                <w:kern w:val="0"/>
                <w:sz w:val="24"/>
                <w:szCs w:val="24"/>
                <w:highlight w:val="none"/>
                <w:vertAlign w:val="baseline"/>
                <w:lang w:val="en-US" w:eastAsia="zh-CN"/>
              </w:rPr>
              <w:t>静置1h，使消毒片充分反应，之后打开排水阀门，预处理后的废水排入生化池</w:t>
            </w:r>
            <w:r>
              <w:rPr>
                <w:rFonts w:hint="eastAsia" w:cs="Times New Roman"/>
                <w:snapToGrid w:val="0"/>
                <w:color w:val="auto"/>
                <w:kern w:val="0"/>
                <w:sz w:val="24"/>
                <w:highlight w:val="none"/>
                <w:lang w:val="en-US" w:eastAsia="zh-CN"/>
              </w:rPr>
              <w:t>，每日处理10次即可满足项目需求。</w:t>
            </w:r>
          </w:p>
          <w:p w14:paraId="08756C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snapToGrid w:val="0"/>
                <w:color w:val="auto"/>
                <w:kern w:val="0"/>
                <w:sz w:val="24"/>
                <w:highlight w:val="none"/>
                <w:lang w:val="en-US" w:eastAsia="zh-CN"/>
              </w:rPr>
            </w:pPr>
            <w:r>
              <w:rPr>
                <w:rFonts w:hint="eastAsia"/>
                <w:color w:val="auto"/>
                <w:sz w:val="24"/>
                <w:szCs w:val="24"/>
                <w:highlight w:val="none"/>
                <w:lang w:val="en-US" w:eastAsia="zh-CN"/>
              </w:rPr>
              <w:t>因此，本项目废水处理设施处理工艺及处理能力是合理可行的。</w:t>
            </w:r>
          </w:p>
          <w:p w14:paraId="7E5038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生化池依托</w:t>
            </w:r>
            <w:r>
              <w:rPr>
                <w:rFonts w:hint="eastAsia" w:ascii="Times New Roman" w:hAnsi="Times New Roman" w:eastAsia="宋体" w:cs="Times New Roman"/>
                <w:color w:val="auto"/>
                <w:sz w:val="24"/>
                <w:szCs w:val="24"/>
                <w:highlight w:val="none"/>
                <w:lang w:val="en-US" w:eastAsia="zh-CN"/>
              </w:rPr>
              <w:t>可行性分析</w:t>
            </w:r>
          </w:p>
          <w:p w14:paraId="4AD7BA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bCs/>
                <w:color w:val="auto"/>
                <w:sz w:val="24"/>
                <w:szCs w:val="24"/>
                <w:highlight w:val="none"/>
                <w:lang w:val="en-US" w:eastAsia="zh-CN" w:bidi="en-US"/>
              </w:rPr>
              <w:t>本项目位于</w:t>
            </w:r>
            <w:r>
              <w:rPr>
                <w:rFonts w:hint="eastAsia" w:cs="Times New Roman"/>
                <w:color w:val="auto"/>
                <w:sz w:val="24"/>
                <w:szCs w:val="24"/>
                <w:highlight w:val="none"/>
                <w:lang w:val="en-US" w:eastAsia="zh-CN"/>
              </w:rPr>
              <w:t>重庆市九龙坡区华岩镇华福大道北段16号14幢附2-2号、2-3号、2-4号</w:t>
            </w:r>
            <w:r>
              <w:rPr>
                <w:rFonts w:hint="eastAsia" w:cs="Times New Roman"/>
                <w:b w:val="0"/>
                <w:bCs/>
                <w:color w:val="auto"/>
                <w:sz w:val="24"/>
                <w:szCs w:val="24"/>
                <w:highlight w:val="none"/>
                <w:lang w:val="en-US" w:eastAsia="zh-CN"/>
              </w:rPr>
              <w:t>（金科阳光小镇6期）</w:t>
            </w:r>
            <w:r>
              <w:rPr>
                <w:rFonts w:hint="eastAsia" w:cs="Times New Roman"/>
                <w:color w:val="auto"/>
                <w:sz w:val="24"/>
                <w:szCs w:val="24"/>
                <w:highlight w:val="none"/>
                <w:lang w:val="en-US" w:eastAsia="zh-CN"/>
              </w:rPr>
              <w:t>，</w:t>
            </w:r>
            <w:r>
              <w:rPr>
                <w:rFonts w:hint="eastAsia" w:cs="Times New Roman"/>
                <w:snapToGrid w:val="0"/>
                <w:color w:val="auto"/>
                <w:kern w:val="0"/>
                <w:sz w:val="24"/>
                <w:szCs w:val="24"/>
                <w:highlight w:val="none"/>
                <w:lang w:val="en-US" w:eastAsia="zh-CN"/>
              </w:rPr>
              <w:t>医疗废水经相应的</w:t>
            </w:r>
            <w:r>
              <w:rPr>
                <w:rFonts w:hint="eastAsia" w:cs="Times New Roman"/>
                <w:color w:val="auto"/>
                <w:sz w:val="24"/>
                <w:szCs w:val="24"/>
                <w:highlight w:val="none"/>
                <w:lang w:val="en-US" w:eastAsia="zh-CN"/>
              </w:rPr>
              <w:t>消毒设施预处理后，宠物洗浴污水经滤网过滤后，和其他废水、生活污水</w:t>
            </w:r>
            <w:r>
              <w:rPr>
                <w:rFonts w:hint="eastAsia" w:ascii="Times New Roman" w:hAnsi="Times New Roman" w:eastAsia="宋体" w:cs="Times New Roman"/>
                <w:snapToGrid w:val="0"/>
                <w:color w:val="auto"/>
                <w:kern w:val="2"/>
                <w:sz w:val="24"/>
                <w:szCs w:val="24"/>
                <w:highlight w:val="none"/>
                <w:lang w:val="en-US" w:eastAsia="zh-CN" w:bidi="ar-SA"/>
              </w:rPr>
              <w:t>一并排入</w:t>
            </w:r>
            <w:r>
              <w:rPr>
                <w:rFonts w:hint="eastAsia" w:cs="Times New Roman"/>
                <w:b w:val="0"/>
                <w:bCs/>
                <w:color w:val="auto"/>
                <w:sz w:val="24"/>
                <w:szCs w:val="24"/>
                <w:highlight w:val="none"/>
                <w:lang w:val="en-US" w:eastAsia="zh-CN"/>
              </w:rPr>
              <w:t>金科阳光小镇6期</w:t>
            </w:r>
            <w:r>
              <w:rPr>
                <w:rFonts w:hint="eastAsia" w:cs="Times New Roman"/>
                <w:color w:val="auto"/>
                <w:sz w:val="24"/>
                <w:szCs w:val="24"/>
                <w:highlight w:val="none"/>
                <w:lang w:val="en-US" w:eastAsia="zh-CN"/>
              </w:rPr>
              <w:t>生化池</w:t>
            </w:r>
            <w:r>
              <w:rPr>
                <w:rFonts w:hint="eastAsia" w:ascii="Times New Roman" w:hAnsi="Times New Roman" w:eastAsia="宋体" w:cs="Times New Roman"/>
                <w:color w:val="auto"/>
                <w:sz w:val="24"/>
                <w:szCs w:val="24"/>
                <w:highlight w:val="none"/>
                <w:lang w:val="en-US" w:eastAsia="zh-CN"/>
              </w:rPr>
              <w:t>进行处理</w:t>
            </w:r>
            <w:r>
              <w:rPr>
                <w:rFonts w:hint="default" w:ascii="Times New Roman" w:hAnsi="Times New Roman" w:eastAsia="宋体" w:cs="Times New Roman"/>
                <w:color w:val="auto"/>
                <w:sz w:val="24"/>
                <w:szCs w:val="24"/>
                <w:highlight w:val="none"/>
                <w:lang w:val="en-US" w:eastAsia="zh-CN"/>
              </w:rPr>
              <w:t>。</w:t>
            </w:r>
          </w:p>
          <w:p w14:paraId="7BC242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highlight w:val="none"/>
                <w:lang w:val="en-US" w:eastAsia="zh-CN" w:bidi="en-US"/>
              </w:rPr>
              <w:t>根据建设单位提供资料，</w:t>
            </w:r>
            <w:r>
              <w:rPr>
                <w:rFonts w:hint="eastAsia" w:cs="Times New Roman"/>
                <w:b w:val="0"/>
                <w:bCs/>
                <w:color w:val="auto"/>
                <w:sz w:val="24"/>
                <w:szCs w:val="24"/>
                <w:highlight w:val="none"/>
                <w:lang w:val="en-US" w:eastAsia="zh-CN"/>
              </w:rPr>
              <w:t>金科阳光小镇6期</w:t>
            </w:r>
            <w:r>
              <w:rPr>
                <w:rFonts w:hint="eastAsia" w:cs="Times New Roman"/>
                <w:color w:val="auto"/>
                <w:sz w:val="24"/>
                <w:szCs w:val="24"/>
                <w:highlight w:val="none"/>
                <w:lang w:val="en-US" w:eastAsia="zh-CN"/>
              </w:rPr>
              <w:t>生化池</w:t>
            </w:r>
            <w:r>
              <w:rPr>
                <w:rFonts w:hint="eastAsia" w:eastAsia="宋体" w:cs="Times New Roman"/>
                <w:bCs/>
                <w:color w:val="auto"/>
                <w:sz w:val="24"/>
                <w:szCs w:val="24"/>
                <w:highlight w:val="none"/>
                <w:lang w:val="en-US" w:eastAsia="zh-CN" w:bidi="en-US"/>
              </w:rPr>
              <w:t>位于本项目</w:t>
            </w:r>
            <w:r>
              <w:rPr>
                <w:rFonts w:hint="eastAsia" w:cs="Times New Roman"/>
                <w:bCs/>
                <w:color w:val="auto"/>
                <w:sz w:val="24"/>
                <w:szCs w:val="24"/>
                <w:highlight w:val="none"/>
                <w:lang w:val="en-US" w:eastAsia="zh-CN" w:bidi="en-US"/>
              </w:rPr>
              <w:t>北侧</w:t>
            </w:r>
            <w:r>
              <w:rPr>
                <w:rFonts w:hint="eastAsia" w:eastAsia="宋体" w:cs="Times New Roman"/>
                <w:bCs/>
                <w:color w:val="auto"/>
                <w:sz w:val="24"/>
                <w:szCs w:val="24"/>
                <w:highlight w:val="none"/>
                <w:lang w:val="en-US" w:eastAsia="zh-CN" w:bidi="en-US"/>
              </w:rPr>
              <w:t>，该生化池设计初期的处理能力考虑了整个商业门面的废水量，废水管网完善，目前该生化池运行正常，生化池的出水水质处理达《污水综合排放标准》（GB 8978-1996）三级标准后接入市政污水管网。</w:t>
            </w:r>
          </w:p>
          <w:p w14:paraId="3EA324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Cs/>
                <w:color w:val="auto"/>
                <w:sz w:val="24"/>
                <w:szCs w:val="24"/>
                <w:highlight w:val="none"/>
                <w:lang w:val="en-US" w:eastAsia="zh-CN" w:bidi="en-US"/>
              </w:rPr>
            </w:pPr>
            <w:r>
              <w:rPr>
                <w:rFonts w:hint="default" w:ascii="Times New Roman" w:hAnsi="Times New Roman" w:eastAsia="宋体"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建成后污废水排放量</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1.895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eastAsia="宋体" w:cs="Times New Roman"/>
                <w:color w:val="auto"/>
                <w:sz w:val="24"/>
                <w:szCs w:val="24"/>
                <w:highlight w:val="none"/>
                <w:lang w:val="en-US" w:eastAsia="zh-CN"/>
              </w:rPr>
              <w:t>污废水排放量较小且水质简单，医疗废水已严格进行消毒处理</w:t>
            </w:r>
            <w:r>
              <w:rPr>
                <w:rFonts w:hint="default" w:ascii="Times New Roman" w:hAnsi="Times New Roman" w:eastAsia="宋体" w:cs="Times New Roman"/>
                <w:bCs/>
                <w:color w:val="auto"/>
                <w:sz w:val="24"/>
                <w:szCs w:val="24"/>
                <w:highlight w:val="none"/>
                <w:lang w:bidi="en-US"/>
              </w:rPr>
              <w:t>。因此，本项目</w:t>
            </w:r>
            <w:r>
              <w:rPr>
                <w:rFonts w:hint="eastAsia" w:cs="Times New Roman"/>
                <w:bCs/>
                <w:color w:val="auto"/>
                <w:sz w:val="24"/>
                <w:szCs w:val="24"/>
                <w:highlight w:val="none"/>
                <w:lang w:val="en-US" w:eastAsia="zh-CN" w:bidi="en-US"/>
              </w:rPr>
              <w:t>污废水</w:t>
            </w:r>
            <w:r>
              <w:rPr>
                <w:rFonts w:hint="default" w:ascii="Times New Roman" w:hAnsi="Times New Roman" w:eastAsia="宋体" w:cs="Times New Roman"/>
                <w:bCs/>
                <w:color w:val="auto"/>
                <w:sz w:val="24"/>
                <w:szCs w:val="24"/>
                <w:highlight w:val="none"/>
                <w:lang w:bidi="en-US"/>
              </w:rPr>
              <w:t>依托</w:t>
            </w:r>
            <w:r>
              <w:rPr>
                <w:rFonts w:hint="eastAsia" w:cs="Times New Roman"/>
                <w:b w:val="0"/>
                <w:bCs/>
                <w:color w:val="auto"/>
                <w:sz w:val="24"/>
                <w:szCs w:val="24"/>
                <w:highlight w:val="none"/>
                <w:lang w:val="en-US" w:eastAsia="zh-CN"/>
              </w:rPr>
              <w:t>金科阳光小镇6期生化池</w:t>
            </w:r>
            <w:r>
              <w:rPr>
                <w:rFonts w:hint="default" w:ascii="Times New Roman" w:hAnsi="Times New Roman" w:eastAsia="宋体" w:cs="Times New Roman"/>
                <w:bCs/>
                <w:color w:val="auto"/>
                <w:sz w:val="24"/>
                <w:szCs w:val="24"/>
                <w:highlight w:val="none"/>
                <w:lang w:bidi="en-US"/>
              </w:rPr>
              <w:t>进行处理是合理可行的。</w:t>
            </w:r>
          </w:p>
          <w:p w14:paraId="28CB1DA2">
            <w:pPr>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ascii="Times New Roman" w:hAnsi="Times New Roman" w:eastAsia="宋体" w:cs="Times New Roman"/>
                <w:b/>
                <w:bCs/>
                <w:color w:val="auto"/>
                <w:sz w:val="24"/>
                <w:szCs w:val="24"/>
                <w:highlight w:val="none"/>
              </w:rPr>
            </w:pPr>
            <w:r>
              <w:rPr>
                <w:rFonts w:hint="eastAsia" w:eastAsia="宋体" w:cs="Times New Roman"/>
                <w:b w:val="0"/>
                <w:bCs w:val="0"/>
                <w:color w:val="auto"/>
                <w:sz w:val="24"/>
                <w:szCs w:val="24"/>
                <w:highlight w:val="none"/>
                <w:lang w:val="en-US" w:eastAsia="zh-CN"/>
              </w:rPr>
              <w:t>（3）</w:t>
            </w:r>
            <w:r>
              <w:rPr>
                <w:rFonts w:ascii="Times New Roman" w:hAnsi="Times New Roman" w:eastAsia="宋体" w:cs="Times New Roman"/>
                <w:b w:val="0"/>
                <w:bCs w:val="0"/>
                <w:color w:val="auto"/>
                <w:sz w:val="24"/>
                <w:szCs w:val="24"/>
                <w:highlight w:val="none"/>
              </w:rPr>
              <w:t>依托污水处理厂可行性分析</w:t>
            </w:r>
          </w:p>
          <w:p w14:paraId="06F74D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cs="Times New Roman"/>
                <w:b w:val="0"/>
                <w:bCs/>
                <w:color w:val="auto"/>
                <w:kern w:val="0"/>
                <w:sz w:val="24"/>
                <w:szCs w:val="24"/>
                <w:vertAlign w:val="baseline"/>
                <w:lang w:eastAsia="zh-CN"/>
              </w:rPr>
            </w:pPr>
            <w:r>
              <w:rPr>
                <w:rFonts w:hint="eastAsia" w:ascii="Times New Roman" w:hAnsi="Times New Roman" w:cs="Times New Roman"/>
                <w:b w:val="0"/>
                <w:bCs/>
                <w:color w:val="auto"/>
                <w:kern w:val="0"/>
                <w:sz w:val="24"/>
                <w:szCs w:val="24"/>
                <w:vertAlign w:val="baseline"/>
                <w:lang w:eastAsia="zh-CN"/>
              </w:rPr>
              <w:t>中梁山污水处理厂位于重庆市大渡口区跳蹬镇沟口村。设计处理能力为日处理污水3.5万立方米。中梁山污水处理厂自2007正式投入运行以来，污水处理设备运转良好，2011年完成提标改造。该厂采用先进的污水处理设备，主体工艺采用滤布滤池工艺，尾水处理达《城镇污水处理厂污染物排放标准》（GB</w:t>
            </w:r>
            <w:r>
              <w:rPr>
                <w:rFonts w:hint="eastAsia" w:cs="Times New Roman"/>
                <w:b w:val="0"/>
                <w:bCs/>
                <w:color w:val="auto"/>
                <w:kern w:val="0"/>
                <w:sz w:val="24"/>
                <w:szCs w:val="24"/>
                <w:vertAlign w:val="baseline"/>
                <w:lang w:val="en-US" w:eastAsia="zh-CN"/>
              </w:rPr>
              <w:t xml:space="preserve"> </w:t>
            </w:r>
            <w:r>
              <w:rPr>
                <w:rFonts w:hint="eastAsia" w:ascii="Times New Roman" w:hAnsi="Times New Roman" w:cs="Times New Roman"/>
                <w:b w:val="0"/>
                <w:bCs/>
                <w:color w:val="auto"/>
                <w:kern w:val="0"/>
                <w:sz w:val="24"/>
                <w:szCs w:val="24"/>
                <w:vertAlign w:val="baseline"/>
                <w:lang w:eastAsia="zh-CN"/>
              </w:rPr>
              <w:t>18918-2002）一级A标后排入跳蹬河。</w:t>
            </w:r>
          </w:p>
          <w:p w14:paraId="3740CB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color w:val="auto"/>
                <w:vertAlign w:val="baseline"/>
              </w:rPr>
            </w:pPr>
            <w:r>
              <w:rPr>
                <w:rFonts w:hint="eastAsia" w:ascii="Times New Roman" w:hAnsi="Times New Roman" w:cs="Times New Roman"/>
                <w:b w:val="0"/>
                <w:bCs/>
                <w:color w:val="auto"/>
                <w:kern w:val="0"/>
                <w:sz w:val="24"/>
                <w:szCs w:val="24"/>
                <w:highlight w:val="none"/>
                <w:vertAlign w:val="baseline"/>
                <w:lang w:eastAsia="zh-CN"/>
              </w:rPr>
              <w:t>本项目周边市政管网配套完善，属于</w:t>
            </w:r>
            <w:r>
              <w:rPr>
                <w:rFonts w:hint="eastAsia" w:cs="Times New Roman"/>
                <w:b w:val="0"/>
                <w:bCs/>
                <w:color w:val="auto"/>
                <w:kern w:val="0"/>
                <w:sz w:val="24"/>
                <w:szCs w:val="24"/>
                <w:highlight w:val="none"/>
                <w:vertAlign w:val="baseline"/>
                <w:lang w:eastAsia="zh-CN"/>
              </w:rPr>
              <w:t>中梁山污水处理厂</w:t>
            </w:r>
            <w:r>
              <w:rPr>
                <w:rFonts w:hint="eastAsia" w:ascii="Times New Roman" w:hAnsi="Times New Roman" w:cs="Times New Roman"/>
                <w:b w:val="0"/>
                <w:bCs/>
                <w:color w:val="auto"/>
                <w:kern w:val="0"/>
                <w:sz w:val="24"/>
                <w:szCs w:val="24"/>
                <w:highlight w:val="none"/>
                <w:vertAlign w:val="baseline"/>
                <w:lang w:eastAsia="zh-CN"/>
              </w:rPr>
              <w:t>污水接纳范围，污水管网已接入市政污水管网。本项目废水为</w:t>
            </w:r>
            <w:r>
              <w:rPr>
                <w:rFonts w:hint="eastAsia" w:cs="Times New Roman"/>
                <w:snapToGrid w:val="0"/>
                <w:color w:val="auto"/>
                <w:kern w:val="0"/>
                <w:sz w:val="24"/>
                <w:szCs w:val="24"/>
                <w:highlight w:val="none"/>
                <w:lang w:val="en-US" w:eastAsia="zh-CN"/>
              </w:rPr>
              <w:t>医疗废水、其他废水和生活污水</w:t>
            </w:r>
            <w:r>
              <w:rPr>
                <w:rFonts w:hint="eastAsia" w:ascii="Times New Roman" w:hAnsi="Times New Roman" w:cs="Times New Roman"/>
                <w:b w:val="0"/>
                <w:bCs/>
                <w:color w:val="auto"/>
                <w:kern w:val="0"/>
                <w:sz w:val="24"/>
                <w:szCs w:val="24"/>
                <w:highlight w:val="none"/>
                <w:vertAlign w:val="baseline"/>
                <w:lang w:eastAsia="zh-CN"/>
              </w:rPr>
              <w:t>等，污染物主要为pH、COD、BOD</w:t>
            </w:r>
            <w:r>
              <w:rPr>
                <w:rFonts w:hint="eastAsia" w:ascii="Times New Roman" w:hAnsi="Times New Roman" w:cs="Times New Roman"/>
                <w:b w:val="0"/>
                <w:bCs/>
                <w:color w:val="auto"/>
                <w:kern w:val="0"/>
                <w:sz w:val="24"/>
                <w:szCs w:val="24"/>
                <w:highlight w:val="none"/>
                <w:vertAlign w:val="subscript"/>
                <w:lang w:eastAsia="zh-CN"/>
              </w:rPr>
              <w:t>5</w:t>
            </w:r>
            <w:r>
              <w:rPr>
                <w:rFonts w:hint="eastAsia" w:ascii="Times New Roman" w:hAnsi="Times New Roman" w:cs="Times New Roman"/>
                <w:b w:val="0"/>
                <w:bCs/>
                <w:color w:val="auto"/>
                <w:kern w:val="0"/>
                <w:sz w:val="24"/>
                <w:szCs w:val="24"/>
                <w:highlight w:val="none"/>
                <w:vertAlign w:val="baseline"/>
                <w:lang w:eastAsia="zh-CN"/>
              </w:rPr>
              <w:t>、SS、氨氮、总磷、LAS、粪大肠菌群，全院区废水最大日产生量为</w:t>
            </w:r>
            <w:r>
              <w:rPr>
                <w:rFonts w:hint="eastAsia" w:cs="Times New Roman"/>
                <w:b w:val="0"/>
                <w:bCs/>
                <w:color w:val="auto"/>
                <w:kern w:val="0"/>
                <w:sz w:val="24"/>
                <w:szCs w:val="24"/>
                <w:highlight w:val="none"/>
                <w:vertAlign w:val="baseline"/>
                <w:lang w:val="en-US" w:eastAsia="zh-CN"/>
              </w:rPr>
              <w:t>1.895</w:t>
            </w:r>
            <w:r>
              <w:rPr>
                <w:rFonts w:hint="eastAsia" w:ascii="Times New Roman" w:hAnsi="Times New Roman" w:cs="Times New Roman"/>
                <w:b w:val="0"/>
                <w:bCs/>
                <w:color w:val="auto"/>
                <w:kern w:val="0"/>
                <w:sz w:val="24"/>
                <w:szCs w:val="24"/>
                <w:highlight w:val="none"/>
                <w:vertAlign w:val="baseline"/>
                <w:lang w:eastAsia="zh-CN"/>
              </w:rPr>
              <w:t>m</w:t>
            </w:r>
            <w:r>
              <w:rPr>
                <w:rFonts w:hint="eastAsia" w:ascii="Times New Roman" w:hAnsi="Times New Roman" w:cs="Times New Roman"/>
                <w:b w:val="0"/>
                <w:bCs/>
                <w:color w:val="auto"/>
                <w:kern w:val="0"/>
                <w:sz w:val="24"/>
                <w:szCs w:val="24"/>
                <w:highlight w:val="none"/>
                <w:vertAlign w:val="superscript"/>
                <w:lang w:eastAsia="zh-CN"/>
              </w:rPr>
              <w:t>3</w:t>
            </w:r>
            <w:r>
              <w:rPr>
                <w:rFonts w:hint="eastAsia" w:ascii="Times New Roman" w:hAnsi="Times New Roman" w:cs="Times New Roman"/>
                <w:b w:val="0"/>
                <w:bCs/>
                <w:color w:val="auto"/>
                <w:kern w:val="0"/>
                <w:sz w:val="24"/>
                <w:szCs w:val="24"/>
                <w:highlight w:val="none"/>
                <w:vertAlign w:val="baseline"/>
                <w:lang w:eastAsia="zh-CN"/>
              </w:rPr>
              <w:t>/d，</w:t>
            </w:r>
            <w:r>
              <w:rPr>
                <w:rFonts w:hint="eastAsia" w:cs="Times New Roman"/>
                <w:b w:val="0"/>
                <w:bCs/>
                <w:color w:val="auto"/>
                <w:kern w:val="0"/>
                <w:sz w:val="24"/>
                <w:szCs w:val="24"/>
                <w:highlight w:val="none"/>
                <w:vertAlign w:val="baseline"/>
                <w:lang w:eastAsia="zh-CN"/>
              </w:rPr>
              <w:t>中梁山污水处理厂</w:t>
            </w:r>
            <w:r>
              <w:rPr>
                <w:rFonts w:hint="eastAsia" w:ascii="Times New Roman" w:hAnsi="Times New Roman" w:cs="Times New Roman"/>
                <w:b w:val="0"/>
                <w:bCs/>
                <w:color w:val="auto"/>
                <w:kern w:val="0"/>
                <w:sz w:val="24"/>
                <w:szCs w:val="24"/>
                <w:highlight w:val="none"/>
                <w:vertAlign w:val="baseline"/>
                <w:lang w:eastAsia="zh-CN"/>
              </w:rPr>
              <w:t>完全能够接纳本项目产生的污水，因此本项目废水接入</w:t>
            </w:r>
            <w:r>
              <w:rPr>
                <w:rFonts w:hint="eastAsia" w:cs="Times New Roman"/>
                <w:b w:val="0"/>
                <w:bCs/>
                <w:color w:val="auto"/>
                <w:kern w:val="0"/>
                <w:sz w:val="24"/>
                <w:szCs w:val="24"/>
                <w:highlight w:val="none"/>
                <w:vertAlign w:val="baseline"/>
                <w:lang w:eastAsia="zh-CN"/>
              </w:rPr>
              <w:t>中梁山污水处理厂</w:t>
            </w:r>
            <w:r>
              <w:rPr>
                <w:rFonts w:hint="eastAsia" w:ascii="Times New Roman" w:hAnsi="Times New Roman" w:cs="Times New Roman"/>
                <w:b w:val="0"/>
                <w:bCs/>
                <w:color w:val="auto"/>
                <w:kern w:val="0"/>
                <w:sz w:val="24"/>
                <w:szCs w:val="24"/>
                <w:highlight w:val="none"/>
                <w:vertAlign w:val="baseline"/>
                <w:lang w:eastAsia="zh-CN"/>
              </w:rPr>
              <w:t>是可行的。</w:t>
            </w:r>
          </w:p>
        </w:tc>
      </w:tr>
    </w:tbl>
    <w:p w14:paraId="56BB6398">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13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769"/>
      </w:tblGrid>
      <w:tr w14:paraId="388F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27F6F251">
            <w:pPr>
              <w:jc w:val="center"/>
              <w:rPr>
                <w:rFonts w:hint="default"/>
                <w:color w:val="auto"/>
                <w:vertAlign w:val="baseline"/>
              </w:rPr>
            </w:pPr>
            <w:r>
              <w:rPr>
                <w:rFonts w:hint="eastAsia" w:ascii="宋体" w:hAnsi="宋体" w:eastAsia="宋体" w:cs="宋体"/>
                <w:color w:val="auto"/>
                <w:sz w:val="24"/>
                <w:szCs w:val="32"/>
                <w:vertAlign w:val="baseline"/>
              </w:rPr>
              <w:t>运营期环境影响和保护措施</w:t>
            </w:r>
          </w:p>
        </w:tc>
        <w:tc>
          <w:tcPr>
            <w:tcW w:w="12769" w:type="dxa"/>
          </w:tcPr>
          <w:p w14:paraId="753D3E77">
            <w:pPr>
              <w:keepNext w:val="0"/>
              <w:keepLines w:val="0"/>
              <w:pageBreakBefore w:val="0"/>
              <w:widowControl w:val="0"/>
              <w:kinsoku/>
              <w:wordWrap/>
              <w:overflowPunct/>
              <w:topLinePunct w:val="0"/>
              <w:autoSpaceDE/>
              <w:autoSpaceDN/>
              <w:bidi w:val="0"/>
              <w:adjustRightInd/>
              <w:snapToGrid/>
              <w:spacing w:line="360" w:lineRule="auto"/>
              <w:ind w:left="0" w:leftChars="0" w:firstLine="241" w:firstLineChars="100"/>
              <w:textAlignment w:val="auto"/>
              <w:rPr>
                <w:rFonts w:hint="eastAsia" w:ascii="Times New Roman" w:hAnsi="Times New Roman" w:eastAsia="宋体" w:cs="Times New Roman"/>
                <w:bCs/>
                <w:color w:val="auto"/>
                <w:kern w:val="0"/>
                <w:sz w:val="24"/>
                <w:szCs w:val="24"/>
                <w:highlight w:val="none"/>
                <w:lang w:eastAsia="zh-CN"/>
              </w:rPr>
            </w:pPr>
            <w:r>
              <w:rPr>
                <w:rFonts w:ascii="Times New Roman" w:hAnsi="Times New Roman" w:eastAsia="宋体" w:cs="Times New Roman"/>
                <w:b/>
                <w:bCs/>
                <w:color w:val="auto"/>
                <w:sz w:val="24"/>
                <w:szCs w:val="24"/>
                <w:highlight w:val="none"/>
                <w:lang w:bidi="ar"/>
              </w:rPr>
              <w:t>4.2.</w:t>
            </w:r>
            <w:r>
              <w:rPr>
                <w:rFonts w:hint="eastAsia" w:eastAsia="宋体" w:cs="Times New Roman"/>
                <w:b/>
                <w:bCs/>
                <w:color w:val="auto"/>
                <w:sz w:val="24"/>
                <w:szCs w:val="24"/>
                <w:highlight w:val="none"/>
                <w:lang w:val="en-US" w:eastAsia="zh-CN" w:bidi="ar"/>
              </w:rPr>
              <w:t>2</w:t>
            </w:r>
            <w:r>
              <w:rPr>
                <w:rFonts w:ascii="Times New Roman" w:hAnsi="Times New Roman" w:eastAsia="宋体" w:cs="Times New Roman"/>
                <w:b/>
                <w:bCs/>
                <w:color w:val="auto"/>
                <w:sz w:val="24"/>
                <w:szCs w:val="24"/>
                <w:highlight w:val="none"/>
                <w:lang w:bidi="ar"/>
              </w:rPr>
              <w:t>.</w:t>
            </w:r>
            <w:r>
              <w:rPr>
                <w:rFonts w:hint="eastAsia" w:cs="Times New Roman"/>
                <w:b/>
                <w:bCs/>
                <w:color w:val="auto"/>
                <w:sz w:val="24"/>
                <w:szCs w:val="24"/>
                <w:highlight w:val="none"/>
                <w:lang w:val="en-US" w:eastAsia="zh-CN" w:bidi="ar"/>
              </w:rPr>
              <w:t>3</w:t>
            </w:r>
            <w:r>
              <w:rPr>
                <w:rFonts w:ascii="Times New Roman" w:hAnsi="Times New Roman" w:eastAsia="宋体" w:cs="Times New Roman"/>
                <w:b/>
                <w:bCs/>
                <w:color w:val="auto"/>
                <w:sz w:val="24"/>
                <w:szCs w:val="24"/>
                <w:highlight w:val="none"/>
                <w:lang w:bidi="ar"/>
              </w:rPr>
              <w:t xml:space="preserve"> 废水污染物排放量核算</w:t>
            </w:r>
            <w:r>
              <w:rPr>
                <w:rFonts w:hint="eastAsia" w:ascii="Times New Roman" w:hAnsi="Times New Roman" w:eastAsia="宋体" w:cs="Times New Roman"/>
                <w:b/>
                <w:bCs/>
                <w:color w:val="auto"/>
                <w:sz w:val="24"/>
                <w:szCs w:val="24"/>
                <w:highlight w:val="none"/>
                <w:lang w:eastAsia="zh-CN" w:bidi="ar"/>
              </w:rPr>
              <w:tab/>
            </w:r>
          </w:p>
          <w:p w14:paraId="41093A84">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本项目废水污染物排放量核算结果详见下表。</w:t>
            </w:r>
          </w:p>
          <w:p w14:paraId="1BE712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1"/>
                <w:szCs w:val="21"/>
                <w:highlight w:val="none"/>
                <w:lang w:val="en-US" w:eastAsia="zh-CN" w:bidi="ar-SA"/>
              </w:rPr>
              <w:t>表4</w:t>
            </w:r>
            <w:r>
              <w:rPr>
                <w:rFonts w:hint="eastAsia" w:cs="Times New Roman"/>
                <w:b w:val="0"/>
                <w:bCs/>
                <w:color w:val="auto"/>
                <w:kern w:val="2"/>
                <w:sz w:val="21"/>
                <w:szCs w:val="21"/>
                <w:highlight w:val="none"/>
                <w:lang w:val="en-US" w:eastAsia="zh-CN" w:bidi="ar-SA"/>
              </w:rPr>
              <w:t>.2-3</w:t>
            </w:r>
            <w:r>
              <w:rPr>
                <w:rFonts w:ascii="Times New Roman" w:hAnsi="Times New Roman" w:eastAsia="宋体" w:cs="Times New Roman"/>
                <w:b w:val="0"/>
                <w:bCs/>
                <w:color w:val="auto"/>
                <w:kern w:val="2"/>
                <w:sz w:val="21"/>
                <w:szCs w:val="21"/>
                <w:highlight w:val="none"/>
                <w:lang w:val="en-US" w:eastAsia="zh-CN" w:bidi="ar-SA"/>
              </w:rPr>
              <w:t xml:space="preserve"> 废水类别、污染物及污染治理设施信息表</w:t>
            </w:r>
          </w:p>
          <w:tbl>
            <w:tblPr>
              <w:tblStyle w:val="21"/>
              <w:tblW w:w="125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1"/>
              <w:gridCol w:w="917"/>
              <w:gridCol w:w="1115"/>
              <w:gridCol w:w="922"/>
              <w:gridCol w:w="1008"/>
              <w:gridCol w:w="1208"/>
              <w:gridCol w:w="1349"/>
              <w:gridCol w:w="1203"/>
              <w:gridCol w:w="1103"/>
              <w:gridCol w:w="1103"/>
              <w:gridCol w:w="2264"/>
            </w:tblGrid>
            <w:tr w14:paraId="02878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gridSpan w:val="2"/>
                  <w:vMerge w:val="restart"/>
                  <w:tcBorders>
                    <w:tl2br w:val="nil"/>
                    <w:tr2bl w:val="nil"/>
                  </w:tcBorders>
                  <w:vAlign w:val="center"/>
                </w:tcPr>
                <w:p w14:paraId="2840CC0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废水</w:t>
                  </w:r>
                </w:p>
                <w:p w14:paraId="542A3F7A">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类别</w:t>
                  </w:r>
                </w:p>
              </w:tc>
              <w:tc>
                <w:tcPr>
                  <w:tcW w:w="1115" w:type="dxa"/>
                  <w:vMerge w:val="restart"/>
                  <w:tcBorders>
                    <w:tl2br w:val="nil"/>
                    <w:tr2bl w:val="nil"/>
                  </w:tcBorders>
                  <w:vAlign w:val="center"/>
                </w:tcPr>
                <w:p w14:paraId="1D63286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w:t>
                  </w:r>
                </w:p>
                <w:p w14:paraId="56EB555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种类</w:t>
                  </w:r>
                </w:p>
              </w:tc>
              <w:tc>
                <w:tcPr>
                  <w:tcW w:w="922" w:type="dxa"/>
                  <w:vMerge w:val="restart"/>
                  <w:tcBorders>
                    <w:tl2br w:val="nil"/>
                    <w:tr2bl w:val="nil"/>
                  </w:tcBorders>
                  <w:vAlign w:val="center"/>
                </w:tcPr>
                <w:p w14:paraId="2BDDA48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0E84E2FB">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去向</w:t>
                  </w:r>
                </w:p>
              </w:tc>
              <w:tc>
                <w:tcPr>
                  <w:tcW w:w="1008" w:type="dxa"/>
                  <w:vMerge w:val="restart"/>
                  <w:tcBorders>
                    <w:tl2br w:val="nil"/>
                    <w:tr2bl w:val="nil"/>
                  </w:tcBorders>
                  <w:vAlign w:val="center"/>
                </w:tcPr>
                <w:p w14:paraId="5CABA57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6AB1AB3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规律</w:t>
                  </w:r>
                </w:p>
              </w:tc>
              <w:tc>
                <w:tcPr>
                  <w:tcW w:w="3760" w:type="dxa"/>
                  <w:gridSpan w:val="3"/>
                  <w:tcBorders>
                    <w:tl2br w:val="nil"/>
                    <w:tr2bl w:val="nil"/>
                  </w:tcBorders>
                  <w:vAlign w:val="center"/>
                </w:tcPr>
                <w:p w14:paraId="585AEFA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污染治理设施</w:t>
                  </w:r>
                </w:p>
              </w:tc>
              <w:tc>
                <w:tcPr>
                  <w:tcW w:w="1103" w:type="dxa"/>
                  <w:vMerge w:val="restart"/>
                  <w:tcBorders>
                    <w:tl2br w:val="nil"/>
                    <w:tr2bl w:val="nil"/>
                  </w:tcBorders>
                  <w:vAlign w:val="center"/>
                </w:tcPr>
                <w:p w14:paraId="480D4BC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1103" w:type="dxa"/>
                  <w:vMerge w:val="restart"/>
                  <w:tcBorders>
                    <w:tl2br w:val="nil"/>
                    <w:tr2bl w:val="nil"/>
                  </w:tcBorders>
                  <w:vAlign w:val="center"/>
                </w:tcPr>
                <w:p w14:paraId="150ECCD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排放口设置是否符合要求</w:t>
                  </w:r>
                </w:p>
              </w:tc>
              <w:tc>
                <w:tcPr>
                  <w:tcW w:w="2264" w:type="dxa"/>
                  <w:vMerge w:val="restart"/>
                  <w:tcBorders>
                    <w:tl2br w:val="nil"/>
                    <w:tr2bl w:val="nil"/>
                  </w:tcBorders>
                  <w:vAlign w:val="center"/>
                </w:tcPr>
                <w:p w14:paraId="7C3C696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排放口类型</w:t>
                  </w:r>
                </w:p>
              </w:tc>
            </w:tr>
            <w:tr w14:paraId="60CDF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gridSpan w:val="2"/>
                  <w:vMerge w:val="continue"/>
                  <w:tcBorders>
                    <w:tl2br w:val="nil"/>
                    <w:tr2bl w:val="nil"/>
                  </w:tcBorders>
                  <w:vAlign w:val="center"/>
                </w:tcPr>
                <w:p w14:paraId="128D0A7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15" w:type="dxa"/>
                  <w:vMerge w:val="continue"/>
                  <w:tcBorders>
                    <w:tl2br w:val="nil"/>
                    <w:tr2bl w:val="nil"/>
                  </w:tcBorders>
                  <w:vAlign w:val="center"/>
                </w:tcPr>
                <w:p w14:paraId="0ABE17E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922" w:type="dxa"/>
                  <w:vMerge w:val="continue"/>
                  <w:tcBorders>
                    <w:tl2br w:val="nil"/>
                    <w:tr2bl w:val="nil"/>
                  </w:tcBorders>
                  <w:vAlign w:val="center"/>
                </w:tcPr>
                <w:p w14:paraId="0054807B">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08" w:type="dxa"/>
                  <w:vMerge w:val="continue"/>
                  <w:tcBorders>
                    <w:tl2br w:val="nil"/>
                    <w:tr2bl w:val="nil"/>
                  </w:tcBorders>
                  <w:vAlign w:val="center"/>
                </w:tcPr>
                <w:p w14:paraId="3776EE22">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208" w:type="dxa"/>
                  <w:tcBorders>
                    <w:tl2br w:val="nil"/>
                    <w:tr2bl w:val="nil"/>
                  </w:tcBorders>
                  <w:vAlign w:val="center"/>
                </w:tcPr>
                <w:p w14:paraId="2A61E13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污染治理设施编号</w:t>
                  </w:r>
                </w:p>
              </w:tc>
              <w:tc>
                <w:tcPr>
                  <w:tcW w:w="1349" w:type="dxa"/>
                  <w:tcBorders>
                    <w:tl2br w:val="nil"/>
                    <w:tr2bl w:val="nil"/>
                  </w:tcBorders>
                  <w:vAlign w:val="center"/>
                </w:tcPr>
                <w:p w14:paraId="4BE7DBB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污染治理设施名称</w:t>
                  </w:r>
                </w:p>
              </w:tc>
              <w:tc>
                <w:tcPr>
                  <w:tcW w:w="1203" w:type="dxa"/>
                  <w:tcBorders>
                    <w:tl2br w:val="nil"/>
                    <w:tr2bl w:val="nil"/>
                  </w:tcBorders>
                  <w:vAlign w:val="center"/>
                </w:tcPr>
                <w:p w14:paraId="5B9B055A">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治理设施工艺</w:t>
                  </w:r>
                </w:p>
              </w:tc>
              <w:tc>
                <w:tcPr>
                  <w:tcW w:w="1103" w:type="dxa"/>
                  <w:vMerge w:val="continue"/>
                  <w:tcBorders>
                    <w:tl2br w:val="nil"/>
                    <w:tr2bl w:val="nil"/>
                  </w:tcBorders>
                  <w:vAlign w:val="center"/>
                </w:tcPr>
                <w:p w14:paraId="09E1B39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03" w:type="dxa"/>
                  <w:vMerge w:val="continue"/>
                  <w:tcBorders>
                    <w:tl2br w:val="nil"/>
                    <w:tr2bl w:val="nil"/>
                  </w:tcBorders>
                  <w:vAlign w:val="center"/>
                </w:tcPr>
                <w:p w14:paraId="3C6611E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64" w:type="dxa"/>
                  <w:vMerge w:val="continue"/>
                  <w:tcBorders>
                    <w:tl2br w:val="nil"/>
                    <w:tr2bl w:val="nil"/>
                  </w:tcBorders>
                  <w:vAlign w:val="center"/>
                </w:tcPr>
                <w:p w14:paraId="21C1C56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r>
            <w:tr w14:paraId="5EBE2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dxa"/>
                  <w:vMerge w:val="restart"/>
                  <w:tcBorders>
                    <w:tl2br w:val="nil"/>
                    <w:tr2bl w:val="nil"/>
                  </w:tcBorders>
                  <w:vAlign w:val="center"/>
                </w:tcPr>
                <w:p w14:paraId="5880523C">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医疗废水</w:t>
                  </w:r>
                </w:p>
              </w:tc>
              <w:tc>
                <w:tcPr>
                  <w:tcW w:w="917" w:type="dxa"/>
                  <w:tcBorders>
                    <w:tl2br w:val="nil"/>
                    <w:tr2bl w:val="nil"/>
                  </w:tcBorders>
                  <w:vAlign w:val="center"/>
                </w:tcPr>
                <w:p w14:paraId="0AD445C6">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手术废水、手术器械清洗废水</w:t>
                  </w:r>
                </w:p>
              </w:tc>
              <w:tc>
                <w:tcPr>
                  <w:tcW w:w="1115" w:type="dxa"/>
                  <w:tcBorders>
                    <w:tl2br w:val="nil"/>
                    <w:tr2bl w:val="nil"/>
                  </w:tcBorders>
                  <w:vAlign w:val="center"/>
                </w:tcPr>
                <w:p w14:paraId="65D37ADD">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rPr>
                    <w:t>粪大肠菌群、总余氯</w:t>
                  </w:r>
                </w:p>
              </w:tc>
              <w:tc>
                <w:tcPr>
                  <w:tcW w:w="922" w:type="dxa"/>
                  <w:tcBorders>
                    <w:tl2br w:val="nil"/>
                    <w:tr2bl w:val="nil"/>
                  </w:tcBorders>
                  <w:vAlign w:val="center"/>
                </w:tcPr>
                <w:p w14:paraId="37DCD4D7">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生化池</w:t>
                  </w:r>
                </w:p>
              </w:tc>
              <w:tc>
                <w:tcPr>
                  <w:tcW w:w="1008" w:type="dxa"/>
                  <w:tcBorders>
                    <w:tl2br w:val="nil"/>
                    <w:tr2bl w:val="nil"/>
                  </w:tcBorders>
                  <w:vAlign w:val="center"/>
                </w:tcPr>
                <w:p w14:paraId="79CBC235">
                  <w:pPr>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1208" w:type="dxa"/>
                  <w:tcBorders>
                    <w:tl2br w:val="nil"/>
                    <w:tr2bl w:val="nil"/>
                  </w:tcBorders>
                  <w:vAlign w:val="center"/>
                </w:tcPr>
                <w:p w14:paraId="40E06B9B">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TW001</w:t>
                  </w:r>
                </w:p>
              </w:tc>
              <w:tc>
                <w:tcPr>
                  <w:tcW w:w="1349" w:type="dxa"/>
                  <w:tcBorders>
                    <w:tl2br w:val="nil"/>
                    <w:tr2bl w:val="nil"/>
                  </w:tcBorders>
                  <w:vAlign w:val="center"/>
                </w:tcPr>
                <w:p w14:paraId="4C523C3C">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消毒设施</w:t>
                  </w:r>
                </w:p>
              </w:tc>
              <w:tc>
                <w:tcPr>
                  <w:tcW w:w="1203" w:type="dxa"/>
                  <w:tcBorders>
                    <w:tl2br w:val="nil"/>
                    <w:tr2bl w:val="nil"/>
                  </w:tcBorders>
                  <w:vAlign w:val="center"/>
                </w:tcPr>
                <w:p w14:paraId="55B89D86">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b w:val="0"/>
                      <w:bCs/>
                      <w:color w:val="auto"/>
                      <w:kern w:val="2"/>
                      <w:sz w:val="21"/>
                      <w:szCs w:val="21"/>
                      <w:highlight w:val="none"/>
                      <w:vertAlign w:val="baseline"/>
                      <w:lang w:val="en-US" w:eastAsia="zh-CN" w:bidi="ar-SA"/>
                    </w:rPr>
                    <w:t>二氧化氯</w:t>
                  </w:r>
                  <w:r>
                    <w:rPr>
                      <w:rFonts w:hint="eastAsia" w:ascii="Times New Roman" w:hAnsi="Times New Roman" w:eastAsia="宋体" w:cs="Times New Roman"/>
                      <w:b w:val="0"/>
                      <w:bCs/>
                      <w:color w:val="auto"/>
                      <w:kern w:val="2"/>
                      <w:sz w:val="21"/>
                      <w:szCs w:val="21"/>
                      <w:highlight w:val="none"/>
                      <w:vertAlign w:val="baseline"/>
                      <w:lang w:val="en-US" w:eastAsia="zh-CN" w:bidi="ar-SA"/>
                    </w:rPr>
                    <w:t>消毒</w:t>
                  </w:r>
                </w:p>
              </w:tc>
              <w:tc>
                <w:tcPr>
                  <w:tcW w:w="1103" w:type="dxa"/>
                  <w:tcBorders>
                    <w:tl2br w:val="nil"/>
                    <w:tr2bl w:val="nil"/>
                  </w:tcBorders>
                  <w:vAlign w:val="center"/>
                </w:tcPr>
                <w:p w14:paraId="0F88C882">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DW001</w:t>
                  </w:r>
                </w:p>
              </w:tc>
              <w:tc>
                <w:tcPr>
                  <w:tcW w:w="1103" w:type="dxa"/>
                  <w:tcBorders>
                    <w:tl2br w:val="nil"/>
                    <w:tr2bl w:val="nil"/>
                  </w:tcBorders>
                  <w:shd w:val="clear" w:color="auto" w:fill="auto"/>
                  <w:vAlign w:val="center"/>
                </w:tcPr>
                <w:p w14:paraId="5CC9D79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是</w:t>
                  </w:r>
                </w:p>
                <w:p w14:paraId="29865FAB">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否</w:t>
                  </w:r>
                </w:p>
              </w:tc>
              <w:tc>
                <w:tcPr>
                  <w:tcW w:w="2264" w:type="dxa"/>
                  <w:tcBorders>
                    <w:tl2br w:val="nil"/>
                    <w:tr2bl w:val="nil"/>
                  </w:tcBorders>
                  <w:shd w:val="clear" w:color="auto" w:fill="auto"/>
                  <w:vAlign w:val="center"/>
                </w:tcPr>
                <w:p w14:paraId="13CC7883">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企业总排</w:t>
                  </w:r>
                </w:p>
                <w:p w14:paraId="4646B8F3">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雨水排放</w:t>
                  </w:r>
                </w:p>
                <w:p w14:paraId="400C9B26">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清净下水排放</w:t>
                  </w:r>
                </w:p>
                <w:p w14:paraId="11D3D7F0">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温排水排放</w:t>
                  </w:r>
                </w:p>
                <w:p w14:paraId="0C90621D">
                  <w:pPr>
                    <w:widowControl w:val="0"/>
                    <w:snapToGrid w:val="0"/>
                    <w:spacing w:line="240" w:lineRule="auto"/>
                    <w:ind w:left="-105" w:leftChars="-50" w:right="-105" w:rightChars="-50" w:firstLine="0" w:firstLineChars="0"/>
                    <w:jc w:val="left"/>
                    <w:rPr>
                      <w:rFonts w:hint="default"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车间或车间处理设施排放</w:t>
                  </w:r>
                </w:p>
              </w:tc>
            </w:tr>
            <w:tr w14:paraId="6DBBF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dxa"/>
                  <w:vMerge w:val="continue"/>
                  <w:tcBorders>
                    <w:tl2br w:val="nil"/>
                    <w:tr2bl w:val="nil"/>
                  </w:tcBorders>
                  <w:vAlign w:val="center"/>
                </w:tcPr>
                <w:p w14:paraId="6719A5BB">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917" w:type="dxa"/>
                  <w:tcBorders>
                    <w:tl2br w:val="nil"/>
                    <w:tr2bl w:val="nil"/>
                  </w:tcBorders>
                  <w:vAlign w:val="center"/>
                </w:tcPr>
                <w:p w14:paraId="0D980821">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诊疗废水</w:t>
                  </w:r>
                  <w:r>
                    <w:rPr>
                      <w:rFonts w:hint="eastAsia" w:cs="Times New Roman"/>
                      <w:snapToGrid w:val="0"/>
                      <w:color w:val="auto"/>
                      <w:kern w:val="2"/>
                      <w:sz w:val="21"/>
                      <w:szCs w:val="21"/>
                      <w:highlight w:val="none"/>
                      <w:lang w:val="en-US" w:eastAsia="zh-CN" w:bidi="ar-SA"/>
                    </w:rPr>
                    <w:t>、宠物笼清洗废水</w:t>
                  </w:r>
                </w:p>
              </w:tc>
              <w:tc>
                <w:tcPr>
                  <w:tcW w:w="1115" w:type="dxa"/>
                  <w:tcBorders>
                    <w:tl2br w:val="nil"/>
                    <w:tr2bl w:val="nil"/>
                  </w:tcBorders>
                  <w:shd w:val="clear" w:color="auto" w:fill="auto"/>
                  <w:vAlign w:val="center"/>
                </w:tcPr>
                <w:p w14:paraId="592CAE4B">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rPr>
                    <w:t>粪大肠菌群、总余氯</w:t>
                  </w:r>
                </w:p>
              </w:tc>
              <w:tc>
                <w:tcPr>
                  <w:tcW w:w="922" w:type="dxa"/>
                  <w:tcBorders>
                    <w:tl2br w:val="nil"/>
                    <w:tr2bl w:val="nil"/>
                  </w:tcBorders>
                  <w:shd w:val="clear" w:color="auto" w:fill="auto"/>
                  <w:vAlign w:val="center"/>
                </w:tcPr>
                <w:p w14:paraId="359D0135">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生化池</w:t>
                  </w:r>
                </w:p>
              </w:tc>
              <w:tc>
                <w:tcPr>
                  <w:tcW w:w="1008" w:type="dxa"/>
                  <w:tcBorders>
                    <w:tl2br w:val="nil"/>
                    <w:tr2bl w:val="nil"/>
                  </w:tcBorders>
                  <w:shd w:val="clear" w:color="auto" w:fill="auto"/>
                  <w:vAlign w:val="center"/>
                </w:tcPr>
                <w:p w14:paraId="18E8E8B1">
                  <w:pPr>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1208" w:type="dxa"/>
                  <w:tcBorders>
                    <w:tl2br w:val="nil"/>
                    <w:tr2bl w:val="nil"/>
                  </w:tcBorders>
                  <w:shd w:val="clear" w:color="auto" w:fill="auto"/>
                  <w:vAlign w:val="center"/>
                </w:tcPr>
                <w:p w14:paraId="24F54567">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TW002</w:t>
                  </w:r>
                </w:p>
              </w:tc>
              <w:tc>
                <w:tcPr>
                  <w:tcW w:w="1349" w:type="dxa"/>
                  <w:tcBorders>
                    <w:tl2br w:val="nil"/>
                    <w:tr2bl w:val="nil"/>
                  </w:tcBorders>
                  <w:shd w:val="clear" w:color="auto" w:fill="auto"/>
                  <w:vAlign w:val="center"/>
                </w:tcPr>
                <w:p w14:paraId="41F77DD9">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消毒设施</w:t>
                  </w:r>
                </w:p>
              </w:tc>
              <w:tc>
                <w:tcPr>
                  <w:tcW w:w="1203" w:type="dxa"/>
                  <w:tcBorders>
                    <w:tl2br w:val="nil"/>
                    <w:tr2bl w:val="nil"/>
                  </w:tcBorders>
                  <w:shd w:val="clear" w:color="auto" w:fill="auto"/>
                  <w:vAlign w:val="center"/>
                </w:tcPr>
                <w:p w14:paraId="7C24FA85">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b w:val="0"/>
                      <w:bCs/>
                      <w:color w:val="auto"/>
                      <w:kern w:val="2"/>
                      <w:sz w:val="21"/>
                      <w:szCs w:val="21"/>
                      <w:highlight w:val="none"/>
                      <w:vertAlign w:val="baseline"/>
                      <w:lang w:val="en-US" w:eastAsia="zh-CN" w:bidi="ar-SA"/>
                    </w:rPr>
                    <w:t>二氧化氯</w:t>
                  </w:r>
                  <w:r>
                    <w:rPr>
                      <w:rFonts w:hint="eastAsia" w:ascii="Times New Roman" w:hAnsi="Times New Roman" w:eastAsia="宋体" w:cs="Times New Roman"/>
                      <w:b w:val="0"/>
                      <w:bCs/>
                      <w:color w:val="auto"/>
                      <w:kern w:val="2"/>
                      <w:sz w:val="21"/>
                      <w:szCs w:val="21"/>
                      <w:highlight w:val="none"/>
                      <w:vertAlign w:val="baseline"/>
                      <w:lang w:val="en-US" w:eastAsia="zh-CN" w:bidi="ar-SA"/>
                    </w:rPr>
                    <w:t>消毒</w:t>
                  </w:r>
                </w:p>
              </w:tc>
              <w:tc>
                <w:tcPr>
                  <w:tcW w:w="1103" w:type="dxa"/>
                  <w:tcBorders>
                    <w:tl2br w:val="nil"/>
                    <w:tr2bl w:val="nil"/>
                  </w:tcBorders>
                  <w:shd w:val="clear" w:color="auto" w:fill="auto"/>
                  <w:vAlign w:val="center"/>
                </w:tcPr>
                <w:p w14:paraId="1611EA2C">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DW002</w:t>
                  </w:r>
                </w:p>
              </w:tc>
              <w:tc>
                <w:tcPr>
                  <w:tcW w:w="1103" w:type="dxa"/>
                  <w:tcBorders>
                    <w:tl2br w:val="nil"/>
                    <w:tr2bl w:val="nil"/>
                  </w:tcBorders>
                  <w:shd w:val="clear" w:color="auto" w:fill="auto"/>
                  <w:vAlign w:val="center"/>
                </w:tcPr>
                <w:p w14:paraId="0BF85FF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是</w:t>
                  </w:r>
                </w:p>
                <w:p w14:paraId="4AEEF7B7">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否</w:t>
                  </w:r>
                </w:p>
              </w:tc>
              <w:tc>
                <w:tcPr>
                  <w:tcW w:w="2264" w:type="dxa"/>
                  <w:tcBorders>
                    <w:tl2br w:val="nil"/>
                    <w:tr2bl w:val="nil"/>
                  </w:tcBorders>
                  <w:shd w:val="clear" w:color="auto" w:fill="auto"/>
                  <w:vAlign w:val="center"/>
                </w:tcPr>
                <w:p w14:paraId="17FEC180">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企业总排</w:t>
                  </w:r>
                </w:p>
                <w:p w14:paraId="6D143374">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雨水排放</w:t>
                  </w:r>
                </w:p>
                <w:p w14:paraId="73B5E1B9">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清净下水排放</w:t>
                  </w:r>
                </w:p>
                <w:p w14:paraId="2E371C6E">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温排水排放</w:t>
                  </w:r>
                </w:p>
                <w:p w14:paraId="6C70A744">
                  <w:pPr>
                    <w:widowControl w:val="0"/>
                    <w:snapToGrid w:val="0"/>
                    <w:spacing w:line="240" w:lineRule="auto"/>
                    <w:ind w:left="-105" w:leftChars="-50" w:right="-105" w:rightChars="-50" w:firstLine="0" w:firstLineChars="0"/>
                    <w:jc w:val="left"/>
                    <w:rPr>
                      <w:rFonts w:hint="default"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车间或车间处理设施排放</w:t>
                  </w:r>
                </w:p>
              </w:tc>
            </w:tr>
            <w:tr w14:paraId="16C4C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dxa"/>
                  <w:gridSpan w:val="2"/>
                  <w:tcBorders>
                    <w:tl2br w:val="nil"/>
                    <w:tr2bl w:val="nil"/>
                  </w:tcBorders>
                  <w:vAlign w:val="center"/>
                </w:tcPr>
                <w:p w14:paraId="3D53B078">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综合废水</w:t>
                  </w:r>
                </w:p>
              </w:tc>
              <w:tc>
                <w:tcPr>
                  <w:tcW w:w="1115" w:type="dxa"/>
                  <w:tcBorders>
                    <w:tl2br w:val="nil"/>
                    <w:tr2bl w:val="nil"/>
                  </w:tcBorders>
                  <w:vAlign w:val="center"/>
                </w:tcPr>
                <w:p w14:paraId="4D71FB8B">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olor w:val="auto"/>
                      <w:kern w:val="0"/>
                      <w:sz w:val="21"/>
                      <w:szCs w:val="21"/>
                      <w:highlight w:val="none"/>
                    </w:rPr>
                    <w:t>pH、COD、SS、BOD</w:t>
                  </w:r>
                  <w:r>
                    <w:rPr>
                      <w:rFonts w:ascii="Times New Roman" w:hAnsi="Times New Roman" w:eastAsia="宋体"/>
                      <w:color w:val="auto"/>
                      <w:kern w:val="0"/>
                      <w:sz w:val="21"/>
                      <w:szCs w:val="21"/>
                      <w:highlight w:val="none"/>
                      <w:vertAlign w:val="subscript"/>
                    </w:rPr>
                    <w:t>5</w:t>
                  </w:r>
                  <w:r>
                    <w:rPr>
                      <w:rFonts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lang w:val="en-US" w:eastAsia="zh-CN"/>
                    </w:rPr>
                    <w:t>氨氮</w:t>
                  </w:r>
                  <w:r>
                    <w:rPr>
                      <w:rFonts w:hint="eastAsia" w:ascii="Times New Roman" w:hAnsi="Times New Roman" w:eastAsia="宋体"/>
                      <w:color w:val="auto"/>
                      <w:kern w:val="0"/>
                      <w:sz w:val="21"/>
                      <w:szCs w:val="21"/>
                      <w:highlight w:val="none"/>
                    </w:rPr>
                    <w:t>、L</w:t>
                  </w:r>
                  <w:r>
                    <w:rPr>
                      <w:rFonts w:ascii="Times New Roman" w:hAnsi="Times New Roman" w:eastAsia="宋体"/>
                      <w:color w:val="auto"/>
                      <w:kern w:val="0"/>
                      <w:sz w:val="21"/>
                      <w:szCs w:val="21"/>
                      <w:highlight w:val="none"/>
                    </w:rPr>
                    <w:t>AS</w:t>
                  </w:r>
                  <w:r>
                    <w:rPr>
                      <w:rFonts w:hint="eastAsia" w:ascii="Times New Roman" w:hAnsi="Times New Roman" w:eastAsia="宋体"/>
                      <w:color w:val="auto"/>
                      <w:kern w:val="0"/>
                      <w:sz w:val="21"/>
                      <w:szCs w:val="21"/>
                      <w:highlight w:val="none"/>
                      <w:lang w:eastAsia="zh-CN"/>
                    </w:rPr>
                    <w:t>、</w:t>
                  </w:r>
                  <w:r>
                    <w:rPr>
                      <w:rFonts w:hint="eastAsia" w:ascii="Times New Roman" w:hAnsi="Times New Roman" w:eastAsia="宋体"/>
                      <w:color w:val="auto"/>
                      <w:kern w:val="0"/>
                      <w:sz w:val="21"/>
                      <w:szCs w:val="21"/>
                      <w:highlight w:val="none"/>
                    </w:rPr>
                    <w:t>T</w:t>
                  </w:r>
                  <w:r>
                    <w:rPr>
                      <w:rFonts w:ascii="Times New Roman" w:hAnsi="Times New Roman" w:eastAsia="宋体"/>
                      <w:color w:val="auto"/>
                      <w:kern w:val="0"/>
                      <w:sz w:val="21"/>
                      <w:szCs w:val="21"/>
                      <w:highlight w:val="none"/>
                    </w:rPr>
                    <w:t>P</w:t>
                  </w:r>
                  <w:r>
                    <w:rPr>
                      <w:rFonts w:hint="eastAsia"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lang w:val="en-US" w:eastAsia="zh-CN"/>
                    </w:rPr>
                    <w:t>粪大肠菌群</w:t>
                  </w:r>
                </w:p>
              </w:tc>
              <w:tc>
                <w:tcPr>
                  <w:tcW w:w="922" w:type="dxa"/>
                  <w:tcBorders>
                    <w:tl2br w:val="nil"/>
                    <w:tr2bl w:val="nil"/>
                  </w:tcBorders>
                  <w:vAlign w:val="center"/>
                </w:tcPr>
                <w:p w14:paraId="135317AE">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中梁山污水处理厂</w:t>
                  </w:r>
                </w:p>
              </w:tc>
              <w:tc>
                <w:tcPr>
                  <w:tcW w:w="1008" w:type="dxa"/>
                  <w:tcBorders>
                    <w:tl2br w:val="nil"/>
                    <w:tr2bl w:val="nil"/>
                  </w:tcBorders>
                  <w:vAlign w:val="center"/>
                </w:tcPr>
                <w:p w14:paraId="4B846BC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1208" w:type="dxa"/>
                  <w:tcBorders>
                    <w:tl2br w:val="nil"/>
                    <w:tr2bl w:val="nil"/>
                  </w:tcBorders>
                  <w:vAlign w:val="center"/>
                </w:tcPr>
                <w:p w14:paraId="70AC2954">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TW003</w:t>
                  </w:r>
                </w:p>
              </w:tc>
              <w:tc>
                <w:tcPr>
                  <w:tcW w:w="1349" w:type="dxa"/>
                  <w:tcBorders>
                    <w:tl2br w:val="nil"/>
                    <w:tr2bl w:val="nil"/>
                  </w:tcBorders>
                  <w:vAlign w:val="center"/>
                </w:tcPr>
                <w:p w14:paraId="360C5DE3">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生化池</w:t>
                  </w:r>
                </w:p>
              </w:tc>
              <w:tc>
                <w:tcPr>
                  <w:tcW w:w="1203" w:type="dxa"/>
                  <w:tcBorders>
                    <w:tl2br w:val="nil"/>
                    <w:tr2bl w:val="nil"/>
                  </w:tcBorders>
                  <w:vAlign w:val="center"/>
                </w:tcPr>
                <w:p w14:paraId="12AE970D">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生化</w:t>
                  </w:r>
                </w:p>
              </w:tc>
              <w:tc>
                <w:tcPr>
                  <w:tcW w:w="1103" w:type="dxa"/>
                  <w:tcBorders>
                    <w:tl2br w:val="nil"/>
                    <w:tr2bl w:val="nil"/>
                  </w:tcBorders>
                  <w:shd w:val="clear" w:color="auto" w:fill="auto"/>
                  <w:vAlign w:val="center"/>
                </w:tcPr>
                <w:p w14:paraId="5953146C">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DW00</w:t>
                  </w:r>
                  <w:r>
                    <w:rPr>
                      <w:rFonts w:hint="eastAsia" w:ascii="Times New Roman" w:hAnsi="Times New Roman" w:eastAsia="宋体" w:cs="Times New Roman"/>
                      <w:snapToGrid w:val="0"/>
                      <w:color w:val="auto"/>
                      <w:kern w:val="2"/>
                      <w:sz w:val="21"/>
                      <w:szCs w:val="21"/>
                      <w:highlight w:val="none"/>
                      <w:lang w:val="en-US" w:eastAsia="zh-CN" w:bidi="ar-SA"/>
                    </w:rPr>
                    <w:t>3</w:t>
                  </w:r>
                </w:p>
              </w:tc>
              <w:tc>
                <w:tcPr>
                  <w:tcW w:w="1103" w:type="dxa"/>
                  <w:tcBorders>
                    <w:tl2br w:val="nil"/>
                    <w:tr2bl w:val="nil"/>
                  </w:tcBorders>
                  <w:shd w:val="clear" w:color="auto" w:fill="auto"/>
                  <w:vAlign w:val="center"/>
                </w:tcPr>
                <w:p w14:paraId="23D3F69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是</w:t>
                  </w:r>
                </w:p>
                <w:p w14:paraId="1B99198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否</w:t>
                  </w:r>
                </w:p>
              </w:tc>
              <w:tc>
                <w:tcPr>
                  <w:tcW w:w="2264" w:type="dxa"/>
                  <w:tcBorders>
                    <w:tl2br w:val="nil"/>
                    <w:tr2bl w:val="nil"/>
                  </w:tcBorders>
                  <w:shd w:val="clear" w:color="auto" w:fill="auto"/>
                  <w:vAlign w:val="center"/>
                </w:tcPr>
                <w:p w14:paraId="0A75B3BA">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企业总排</w:t>
                  </w:r>
                </w:p>
                <w:p w14:paraId="0C6C47BA">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雨水排放</w:t>
                  </w:r>
                </w:p>
                <w:p w14:paraId="6BD24CB0">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清净下水排放</w:t>
                  </w:r>
                </w:p>
                <w:p w14:paraId="7E696A14">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温排水排放</w:t>
                  </w:r>
                </w:p>
                <w:p w14:paraId="28CFE57E">
                  <w:pPr>
                    <w:widowControl w:val="0"/>
                    <w:snapToGrid w:val="0"/>
                    <w:spacing w:line="240" w:lineRule="auto"/>
                    <w:ind w:left="-105" w:leftChars="-50" w:right="-105" w:rightChars="-50" w:firstLine="0" w:firstLineChars="0"/>
                    <w:jc w:val="left"/>
                    <w:rPr>
                      <w:rFonts w:ascii="Times New Roman" w:hAnsi="Times New Roman" w:eastAsia="宋体" w:cs="Times New Roman"/>
                      <w:snapToGrid w:val="0"/>
                      <w:color w:val="auto"/>
                      <w:kern w:val="2"/>
                      <w:sz w:val="21"/>
                      <w:szCs w:val="21"/>
                      <w:highlight w:val="none"/>
                      <w:lang w:val="en-US" w:eastAsia="zh-CN" w:bidi="ar-SA"/>
                    </w:rPr>
                  </w:pPr>
                  <w:r>
                    <w:rPr>
                      <w:rFonts w:hint="eastAsia" w:cs="宋体"/>
                      <w:color w:val="auto"/>
                      <w:sz w:val="24"/>
                      <w:szCs w:val="24"/>
                      <w:lang w:eastAsia="zh-CN"/>
                    </w:rPr>
                    <w:t>□</w:t>
                  </w:r>
                  <w:r>
                    <w:rPr>
                      <w:rFonts w:ascii="Times New Roman" w:hAnsi="Times New Roman" w:eastAsia="宋体" w:cs="Times New Roman"/>
                      <w:snapToGrid w:val="0"/>
                      <w:color w:val="auto"/>
                      <w:kern w:val="2"/>
                      <w:sz w:val="21"/>
                      <w:szCs w:val="21"/>
                      <w:highlight w:val="none"/>
                      <w:lang w:val="en-US" w:eastAsia="zh-CN" w:bidi="ar-SA"/>
                    </w:rPr>
                    <w:t>车间或车间处理设施排放</w:t>
                  </w:r>
                </w:p>
              </w:tc>
            </w:tr>
          </w:tbl>
          <w:p w14:paraId="708111F1">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ascii="Times New Roman" w:hAnsi="Times New Roman" w:eastAsia="宋体" w:cs="Times New Roman"/>
                <w:b w:val="0"/>
                <w:bCs/>
                <w:color w:val="auto"/>
                <w:kern w:val="2"/>
                <w:sz w:val="21"/>
                <w:szCs w:val="21"/>
                <w:highlight w:val="none"/>
                <w:lang w:val="en-US" w:eastAsia="zh-CN" w:bidi="ar-SA"/>
              </w:rPr>
            </w:pPr>
            <w:r>
              <w:rPr>
                <w:rFonts w:ascii="Times New Roman" w:hAnsi="Times New Roman" w:eastAsia="宋体" w:cs="Times New Roman"/>
                <w:b w:val="0"/>
                <w:bCs/>
                <w:color w:val="auto"/>
                <w:kern w:val="2"/>
                <w:sz w:val="21"/>
                <w:szCs w:val="21"/>
                <w:highlight w:val="none"/>
                <w:lang w:val="en-US" w:eastAsia="zh-CN" w:bidi="ar-SA"/>
              </w:rPr>
              <w:t>表</w:t>
            </w:r>
            <w:r>
              <w:rPr>
                <w:rFonts w:hint="eastAsia" w:cs="Times New Roman"/>
                <w:b w:val="0"/>
                <w:bCs/>
                <w:color w:val="auto"/>
                <w:kern w:val="2"/>
                <w:sz w:val="21"/>
                <w:szCs w:val="21"/>
                <w:highlight w:val="none"/>
                <w:lang w:val="en-US" w:eastAsia="zh-CN" w:bidi="ar-SA"/>
              </w:rPr>
              <w:t>4.2-4</w:t>
            </w:r>
            <w:r>
              <w:rPr>
                <w:rFonts w:ascii="Times New Roman" w:hAnsi="Times New Roman" w:eastAsia="宋体" w:cs="Times New Roman"/>
                <w:b w:val="0"/>
                <w:bCs/>
                <w:color w:val="auto"/>
                <w:kern w:val="2"/>
                <w:sz w:val="21"/>
                <w:szCs w:val="16"/>
                <w:highlight w:val="none"/>
                <w:lang w:val="en-US" w:eastAsia="zh-CN" w:bidi="ar-SA"/>
              </w:rPr>
              <w:t xml:space="preserve"> </w:t>
            </w:r>
            <w:r>
              <w:rPr>
                <w:rFonts w:ascii="Times New Roman" w:hAnsi="Times New Roman" w:eastAsia="宋体" w:cs="Times New Roman"/>
                <w:b w:val="0"/>
                <w:bCs/>
                <w:color w:val="auto"/>
                <w:kern w:val="2"/>
                <w:sz w:val="21"/>
                <w:szCs w:val="21"/>
                <w:highlight w:val="none"/>
                <w:lang w:val="en-US" w:eastAsia="zh-CN" w:bidi="ar-SA"/>
              </w:rPr>
              <w:t>废水间接排放口基本情况表</w:t>
            </w:r>
          </w:p>
          <w:tbl>
            <w:tblPr>
              <w:tblStyle w:val="21"/>
              <w:tblW w:w="1252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904"/>
              <w:gridCol w:w="1018"/>
              <w:gridCol w:w="913"/>
              <w:gridCol w:w="1290"/>
              <w:gridCol w:w="1397"/>
              <w:gridCol w:w="1724"/>
              <w:gridCol w:w="814"/>
              <w:gridCol w:w="1047"/>
              <w:gridCol w:w="933"/>
              <w:gridCol w:w="2483"/>
            </w:tblGrid>
            <w:tr w14:paraId="173F2E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restart"/>
                  <w:tcBorders>
                    <w:tl2br w:val="nil"/>
                    <w:tr2bl w:val="nil"/>
                  </w:tcBorders>
                  <w:vAlign w:val="center"/>
                </w:tcPr>
                <w:p w14:paraId="6A9998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1931" w:type="dxa"/>
                  <w:gridSpan w:val="2"/>
                  <w:tcBorders>
                    <w:tl2br w:val="nil"/>
                    <w:tr2bl w:val="nil"/>
                  </w:tcBorders>
                  <w:vAlign w:val="center"/>
                </w:tcPr>
                <w:p w14:paraId="1C303A4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排放口地理坐标</w:t>
                  </w:r>
                </w:p>
              </w:tc>
              <w:tc>
                <w:tcPr>
                  <w:tcW w:w="1290" w:type="dxa"/>
                  <w:vMerge w:val="restart"/>
                  <w:tcBorders>
                    <w:tl2br w:val="nil"/>
                    <w:tr2bl w:val="nil"/>
                  </w:tcBorders>
                  <w:vAlign w:val="center"/>
                </w:tcPr>
                <w:p w14:paraId="1D6F4D7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废水排放量/（t/a）</w:t>
                  </w:r>
                </w:p>
              </w:tc>
              <w:tc>
                <w:tcPr>
                  <w:tcW w:w="1397" w:type="dxa"/>
                  <w:vMerge w:val="restart"/>
                  <w:tcBorders>
                    <w:tl2br w:val="nil"/>
                    <w:tr2bl w:val="nil"/>
                  </w:tcBorders>
                  <w:vAlign w:val="center"/>
                </w:tcPr>
                <w:p w14:paraId="0941E8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0E50A8F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去向</w:t>
                  </w:r>
                </w:p>
              </w:tc>
              <w:tc>
                <w:tcPr>
                  <w:tcW w:w="1724" w:type="dxa"/>
                  <w:vMerge w:val="restart"/>
                  <w:tcBorders>
                    <w:tl2br w:val="nil"/>
                    <w:tr2bl w:val="nil"/>
                  </w:tcBorders>
                  <w:vAlign w:val="center"/>
                </w:tcPr>
                <w:p w14:paraId="46C7FDE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2C075B9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规律</w:t>
                  </w:r>
                </w:p>
              </w:tc>
              <w:tc>
                <w:tcPr>
                  <w:tcW w:w="814" w:type="dxa"/>
                  <w:vMerge w:val="restart"/>
                  <w:tcBorders>
                    <w:tl2br w:val="nil"/>
                    <w:tr2bl w:val="nil"/>
                  </w:tcBorders>
                  <w:vAlign w:val="center"/>
                </w:tcPr>
                <w:p w14:paraId="685031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间歇排放时段</w:t>
                  </w:r>
                </w:p>
              </w:tc>
              <w:tc>
                <w:tcPr>
                  <w:tcW w:w="4463" w:type="dxa"/>
                  <w:gridSpan w:val="3"/>
                  <w:tcBorders>
                    <w:tl2br w:val="nil"/>
                    <w:tr2bl w:val="nil"/>
                  </w:tcBorders>
                  <w:vAlign w:val="center"/>
                </w:tcPr>
                <w:p w14:paraId="73153D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受纳污水处理厂信息</w:t>
                  </w:r>
                </w:p>
              </w:tc>
            </w:tr>
            <w:tr w14:paraId="405525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70F4F12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tcBorders>
                    <w:tl2br w:val="nil"/>
                    <w:tr2bl w:val="nil"/>
                  </w:tcBorders>
                  <w:vAlign w:val="center"/>
                </w:tcPr>
                <w:p w14:paraId="585C06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经度</w:t>
                  </w:r>
                </w:p>
              </w:tc>
              <w:tc>
                <w:tcPr>
                  <w:tcW w:w="913" w:type="dxa"/>
                  <w:tcBorders>
                    <w:tl2br w:val="nil"/>
                    <w:tr2bl w:val="nil"/>
                  </w:tcBorders>
                  <w:vAlign w:val="center"/>
                </w:tcPr>
                <w:p w14:paraId="2603573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纬度</w:t>
                  </w:r>
                </w:p>
              </w:tc>
              <w:tc>
                <w:tcPr>
                  <w:tcW w:w="1290" w:type="dxa"/>
                  <w:vMerge w:val="continue"/>
                  <w:tcBorders>
                    <w:tl2br w:val="nil"/>
                    <w:tr2bl w:val="nil"/>
                  </w:tcBorders>
                  <w:vAlign w:val="center"/>
                </w:tcPr>
                <w:p w14:paraId="685AD9E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7757059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00FC03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7DB3063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tcBorders>
                    <w:tl2br w:val="nil"/>
                    <w:tr2bl w:val="nil"/>
                  </w:tcBorders>
                  <w:vAlign w:val="center"/>
                </w:tcPr>
                <w:p w14:paraId="2028D26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名称</w:t>
                  </w:r>
                </w:p>
              </w:tc>
              <w:tc>
                <w:tcPr>
                  <w:tcW w:w="933" w:type="dxa"/>
                  <w:tcBorders>
                    <w:tl2br w:val="nil"/>
                    <w:tr2bl w:val="nil"/>
                  </w:tcBorders>
                  <w:vAlign w:val="center"/>
                </w:tcPr>
                <w:p w14:paraId="2DD74AD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w:t>
                  </w:r>
                </w:p>
                <w:p w14:paraId="373530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种类</w:t>
                  </w:r>
                </w:p>
              </w:tc>
              <w:tc>
                <w:tcPr>
                  <w:tcW w:w="2483" w:type="dxa"/>
                  <w:tcBorders>
                    <w:tl2br w:val="nil"/>
                    <w:tr2bl w:val="nil"/>
                  </w:tcBorders>
                  <w:vAlign w:val="center"/>
                </w:tcPr>
                <w:p w14:paraId="4B0EA9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国家或地方污染物排放标准浓度限值/（mg/L）</w:t>
                  </w:r>
                </w:p>
              </w:tc>
            </w:tr>
            <w:tr w14:paraId="71A55A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restart"/>
                  <w:tcBorders>
                    <w:tl2br w:val="nil"/>
                    <w:tr2bl w:val="nil"/>
                  </w:tcBorders>
                  <w:vAlign w:val="center"/>
                </w:tcPr>
                <w:p w14:paraId="35CCAEE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DW001</w:t>
                  </w:r>
                </w:p>
              </w:tc>
              <w:tc>
                <w:tcPr>
                  <w:tcW w:w="1018" w:type="dxa"/>
                  <w:vMerge w:val="restart"/>
                  <w:tcBorders>
                    <w:tl2br w:val="nil"/>
                    <w:tr2bl w:val="nil"/>
                  </w:tcBorders>
                  <w:vAlign w:val="center"/>
                </w:tcPr>
                <w:p w14:paraId="2B2238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106.437099</w:t>
                  </w:r>
                </w:p>
              </w:tc>
              <w:tc>
                <w:tcPr>
                  <w:tcW w:w="913" w:type="dxa"/>
                  <w:vMerge w:val="restart"/>
                  <w:tcBorders>
                    <w:tl2br w:val="nil"/>
                    <w:tr2bl w:val="nil"/>
                  </w:tcBorders>
                  <w:vAlign w:val="center"/>
                </w:tcPr>
                <w:p w14:paraId="77E868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29.452476</w:t>
                  </w:r>
                </w:p>
              </w:tc>
              <w:tc>
                <w:tcPr>
                  <w:tcW w:w="1290" w:type="dxa"/>
                  <w:vMerge w:val="restart"/>
                  <w:tcBorders>
                    <w:tl2br w:val="nil"/>
                    <w:tr2bl w:val="nil"/>
                  </w:tcBorders>
                  <w:vAlign w:val="center"/>
                </w:tcPr>
                <w:p w14:paraId="7771AA6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41.063</w:t>
                  </w:r>
                </w:p>
              </w:tc>
              <w:tc>
                <w:tcPr>
                  <w:tcW w:w="1397" w:type="dxa"/>
                  <w:vMerge w:val="restart"/>
                  <w:tcBorders>
                    <w:tl2br w:val="nil"/>
                    <w:tr2bl w:val="nil"/>
                  </w:tcBorders>
                  <w:vAlign w:val="center"/>
                </w:tcPr>
                <w:p w14:paraId="7C12FC7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金科阳光小镇6期</w:t>
                  </w:r>
                  <w:r>
                    <w:rPr>
                      <w:rFonts w:hint="eastAsia" w:ascii="Times New Roman" w:hAnsi="Times New Roman" w:eastAsia="宋体" w:cs="Times New Roman"/>
                      <w:snapToGrid w:val="0"/>
                      <w:color w:val="auto"/>
                      <w:kern w:val="2"/>
                      <w:sz w:val="21"/>
                      <w:szCs w:val="21"/>
                      <w:highlight w:val="none"/>
                      <w:lang w:val="en-US" w:eastAsia="zh-CN" w:bidi="ar-SA"/>
                    </w:rPr>
                    <w:t>生化池</w:t>
                  </w:r>
                </w:p>
              </w:tc>
              <w:tc>
                <w:tcPr>
                  <w:tcW w:w="1724" w:type="dxa"/>
                  <w:vMerge w:val="restart"/>
                  <w:tcBorders>
                    <w:tl2br w:val="nil"/>
                    <w:tr2bl w:val="nil"/>
                  </w:tcBorders>
                  <w:vAlign w:val="center"/>
                </w:tcPr>
                <w:p w14:paraId="3C6A117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814" w:type="dxa"/>
                  <w:vMerge w:val="restart"/>
                  <w:tcBorders>
                    <w:tl2br w:val="nil"/>
                    <w:tr2bl w:val="nil"/>
                  </w:tcBorders>
                  <w:vAlign w:val="center"/>
                </w:tcPr>
                <w:p w14:paraId="63992A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w:t>
                  </w:r>
                </w:p>
              </w:tc>
              <w:tc>
                <w:tcPr>
                  <w:tcW w:w="1047" w:type="dxa"/>
                  <w:vMerge w:val="restart"/>
                  <w:tcBorders>
                    <w:tl2br w:val="nil"/>
                    <w:tr2bl w:val="nil"/>
                  </w:tcBorders>
                  <w:vAlign w:val="center"/>
                </w:tcPr>
                <w:p w14:paraId="09FA426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中梁山污水处理厂</w:t>
                  </w:r>
                </w:p>
              </w:tc>
              <w:tc>
                <w:tcPr>
                  <w:tcW w:w="933" w:type="dxa"/>
                  <w:tcBorders>
                    <w:tl2br w:val="nil"/>
                    <w:tr2bl w:val="nil"/>
                  </w:tcBorders>
                  <w:shd w:val="clear" w:color="auto" w:fill="auto"/>
                  <w:vAlign w:val="center"/>
                </w:tcPr>
                <w:p w14:paraId="5723051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粪大肠</w:t>
                  </w:r>
                </w:p>
                <w:p w14:paraId="31CEBE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菌群</w:t>
                  </w:r>
                </w:p>
              </w:tc>
              <w:tc>
                <w:tcPr>
                  <w:tcW w:w="2483" w:type="dxa"/>
                  <w:tcBorders>
                    <w:tl2br w:val="nil"/>
                    <w:tr2bl w:val="nil"/>
                  </w:tcBorders>
                  <w:vAlign w:val="center"/>
                </w:tcPr>
                <w:p w14:paraId="3A05D3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1000个/L</w:t>
                  </w:r>
                </w:p>
              </w:tc>
            </w:tr>
            <w:tr w14:paraId="198D9F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4D4C14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7F2635D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62536B3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69BC0E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1F42E7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66E41CB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00E7222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1A98BBC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16D6F16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总余氯</w:t>
                  </w:r>
                </w:p>
              </w:tc>
              <w:tc>
                <w:tcPr>
                  <w:tcW w:w="2483" w:type="dxa"/>
                  <w:tcBorders>
                    <w:tl2br w:val="nil"/>
                    <w:tr2bl w:val="nil"/>
                  </w:tcBorders>
                  <w:vAlign w:val="center"/>
                </w:tcPr>
                <w:p w14:paraId="0DBB589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w:t>
                  </w:r>
                </w:p>
              </w:tc>
            </w:tr>
            <w:tr w14:paraId="5E6D68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restart"/>
                  <w:tcBorders>
                    <w:tl2br w:val="nil"/>
                    <w:tr2bl w:val="nil"/>
                  </w:tcBorders>
                  <w:shd w:val="clear" w:color="auto" w:fill="auto"/>
                  <w:vAlign w:val="center"/>
                </w:tcPr>
                <w:p w14:paraId="5444CC4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DW002</w:t>
                  </w:r>
                </w:p>
              </w:tc>
              <w:tc>
                <w:tcPr>
                  <w:tcW w:w="1018" w:type="dxa"/>
                  <w:vMerge w:val="restart"/>
                  <w:tcBorders>
                    <w:tl2br w:val="nil"/>
                    <w:tr2bl w:val="nil"/>
                  </w:tcBorders>
                  <w:shd w:val="clear" w:color="auto" w:fill="auto"/>
                  <w:vAlign w:val="center"/>
                </w:tcPr>
                <w:p w14:paraId="3B4CC0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106.437146</w:t>
                  </w:r>
                </w:p>
              </w:tc>
              <w:tc>
                <w:tcPr>
                  <w:tcW w:w="913" w:type="dxa"/>
                  <w:vMerge w:val="restart"/>
                  <w:tcBorders>
                    <w:tl2br w:val="nil"/>
                    <w:tr2bl w:val="nil"/>
                  </w:tcBorders>
                  <w:shd w:val="clear" w:color="auto" w:fill="auto"/>
                  <w:vAlign w:val="center"/>
                </w:tcPr>
                <w:p w14:paraId="508EF7A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29.452436</w:t>
                  </w:r>
                </w:p>
              </w:tc>
              <w:tc>
                <w:tcPr>
                  <w:tcW w:w="1290" w:type="dxa"/>
                  <w:vMerge w:val="restart"/>
                  <w:tcBorders>
                    <w:tl2br w:val="nil"/>
                    <w:tr2bl w:val="nil"/>
                  </w:tcBorders>
                  <w:shd w:val="clear" w:color="auto" w:fill="auto"/>
                  <w:vAlign w:val="center"/>
                </w:tcPr>
                <w:p w14:paraId="5248411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170.820</w:t>
                  </w:r>
                </w:p>
              </w:tc>
              <w:tc>
                <w:tcPr>
                  <w:tcW w:w="1397" w:type="dxa"/>
                  <w:vMerge w:val="restart"/>
                  <w:tcBorders>
                    <w:tl2br w:val="nil"/>
                    <w:tr2bl w:val="nil"/>
                  </w:tcBorders>
                  <w:shd w:val="clear" w:color="auto" w:fill="auto"/>
                  <w:vAlign w:val="center"/>
                </w:tcPr>
                <w:p w14:paraId="5FC2E3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金科阳光小镇6期</w:t>
                  </w:r>
                  <w:r>
                    <w:rPr>
                      <w:rFonts w:hint="eastAsia" w:ascii="Times New Roman" w:hAnsi="Times New Roman" w:eastAsia="宋体" w:cs="Times New Roman"/>
                      <w:snapToGrid w:val="0"/>
                      <w:color w:val="auto"/>
                      <w:kern w:val="2"/>
                      <w:sz w:val="21"/>
                      <w:szCs w:val="21"/>
                      <w:highlight w:val="none"/>
                      <w:lang w:val="en-US" w:eastAsia="zh-CN" w:bidi="ar-SA"/>
                    </w:rPr>
                    <w:t>生化池</w:t>
                  </w:r>
                </w:p>
              </w:tc>
              <w:tc>
                <w:tcPr>
                  <w:tcW w:w="1724" w:type="dxa"/>
                  <w:vMerge w:val="restart"/>
                  <w:tcBorders>
                    <w:tl2br w:val="nil"/>
                    <w:tr2bl w:val="nil"/>
                  </w:tcBorders>
                  <w:shd w:val="clear" w:color="auto" w:fill="auto"/>
                  <w:vAlign w:val="center"/>
                </w:tcPr>
                <w:p w14:paraId="113952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814" w:type="dxa"/>
                  <w:vMerge w:val="restart"/>
                  <w:tcBorders>
                    <w:tl2br w:val="nil"/>
                    <w:tr2bl w:val="nil"/>
                  </w:tcBorders>
                  <w:shd w:val="clear" w:color="auto" w:fill="auto"/>
                  <w:vAlign w:val="center"/>
                </w:tcPr>
                <w:p w14:paraId="6937A42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w:t>
                  </w:r>
                </w:p>
              </w:tc>
              <w:tc>
                <w:tcPr>
                  <w:tcW w:w="1047" w:type="dxa"/>
                  <w:vMerge w:val="restart"/>
                  <w:tcBorders>
                    <w:tl2br w:val="nil"/>
                    <w:tr2bl w:val="nil"/>
                  </w:tcBorders>
                  <w:shd w:val="clear" w:color="auto" w:fill="auto"/>
                  <w:vAlign w:val="center"/>
                </w:tcPr>
                <w:p w14:paraId="78D0C7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中梁山污水处理厂</w:t>
                  </w:r>
                </w:p>
              </w:tc>
              <w:tc>
                <w:tcPr>
                  <w:tcW w:w="933" w:type="dxa"/>
                  <w:tcBorders>
                    <w:tl2br w:val="nil"/>
                    <w:tr2bl w:val="nil"/>
                  </w:tcBorders>
                  <w:shd w:val="clear" w:color="auto" w:fill="auto"/>
                  <w:vAlign w:val="center"/>
                </w:tcPr>
                <w:p w14:paraId="3F4559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粪大肠</w:t>
                  </w:r>
                </w:p>
                <w:p w14:paraId="480D1CC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菌群</w:t>
                  </w:r>
                </w:p>
              </w:tc>
              <w:tc>
                <w:tcPr>
                  <w:tcW w:w="2483" w:type="dxa"/>
                  <w:tcBorders>
                    <w:tl2br w:val="nil"/>
                    <w:tr2bl w:val="nil"/>
                  </w:tcBorders>
                  <w:shd w:val="clear" w:color="auto" w:fill="auto"/>
                  <w:vAlign w:val="center"/>
                </w:tcPr>
                <w:p w14:paraId="797CB02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1000个/L</w:t>
                  </w:r>
                </w:p>
              </w:tc>
            </w:tr>
            <w:tr w14:paraId="2CF7F9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69BA65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651086A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3EE90C9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5A5840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2E7ABB5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3FCF9C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0BFBDE9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238EF3C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3263DB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总余氯</w:t>
                  </w:r>
                </w:p>
              </w:tc>
              <w:tc>
                <w:tcPr>
                  <w:tcW w:w="2483" w:type="dxa"/>
                  <w:tcBorders>
                    <w:tl2br w:val="nil"/>
                    <w:tr2bl w:val="nil"/>
                  </w:tcBorders>
                  <w:shd w:val="clear" w:color="auto" w:fill="auto"/>
                  <w:vAlign w:val="center"/>
                </w:tcPr>
                <w:p w14:paraId="0C6997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w:t>
                  </w:r>
                </w:p>
              </w:tc>
            </w:tr>
            <w:tr w14:paraId="4715E1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restart"/>
                  <w:tcBorders>
                    <w:tl2br w:val="nil"/>
                    <w:tr2bl w:val="nil"/>
                  </w:tcBorders>
                  <w:vAlign w:val="center"/>
                </w:tcPr>
                <w:p w14:paraId="4B4A59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DW003</w:t>
                  </w:r>
                </w:p>
              </w:tc>
              <w:tc>
                <w:tcPr>
                  <w:tcW w:w="1018" w:type="dxa"/>
                  <w:vMerge w:val="restart"/>
                  <w:tcBorders>
                    <w:tl2br w:val="nil"/>
                    <w:tr2bl w:val="nil"/>
                  </w:tcBorders>
                  <w:vAlign w:val="center"/>
                </w:tcPr>
                <w:p w14:paraId="07EEACC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106.437100</w:t>
                  </w:r>
                </w:p>
              </w:tc>
              <w:tc>
                <w:tcPr>
                  <w:tcW w:w="913" w:type="dxa"/>
                  <w:vMerge w:val="restart"/>
                  <w:tcBorders>
                    <w:tl2br w:val="nil"/>
                    <w:tr2bl w:val="nil"/>
                  </w:tcBorders>
                  <w:vAlign w:val="center"/>
                </w:tcPr>
                <w:p w14:paraId="72DD9A1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29.453188</w:t>
                  </w:r>
                </w:p>
              </w:tc>
              <w:tc>
                <w:tcPr>
                  <w:tcW w:w="1290" w:type="dxa"/>
                  <w:vMerge w:val="restart"/>
                  <w:tcBorders>
                    <w:tl2br w:val="nil"/>
                    <w:tr2bl w:val="nil"/>
                  </w:tcBorders>
                  <w:vAlign w:val="center"/>
                </w:tcPr>
                <w:p w14:paraId="46705C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691.493</w:t>
                  </w:r>
                </w:p>
              </w:tc>
              <w:tc>
                <w:tcPr>
                  <w:tcW w:w="1397" w:type="dxa"/>
                  <w:vMerge w:val="restart"/>
                  <w:tcBorders>
                    <w:tl2br w:val="nil"/>
                    <w:tr2bl w:val="nil"/>
                  </w:tcBorders>
                  <w:vAlign w:val="center"/>
                </w:tcPr>
                <w:p w14:paraId="629460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中梁山污水处理厂</w:t>
                  </w:r>
                </w:p>
              </w:tc>
              <w:tc>
                <w:tcPr>
                  <w:tcW w:w="1724" w:type="dxa"/>
                  <w:vMerge w:val="restart"/>
                  <w:tcBorders>
                    <w:tl2br w:val="nil"/>
                    <w:tr2bl w:val="nil"/>
                  </w:tcBorders>
                  <w:vAlign w:val="center"/>
                </w:tcPr>
                <w:p w14:paraId="55341DA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814" w:type="dxa"/>
                  <w:vMerge w:val="restart"/>
                  <w:tcBorders>
                    <w:tl2br w:val="nil"/>
                    <w:tr2bl w:val="nil"/>
                  </w:tcBorders>
                  <w:vAlign w:val="center"/>
                </w:tcPr>
                <w:p w14:paraId="57EF27C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w:t>
                  </w:r>
                </w:p>
              </w:tc>
              <w:tc>
                <w:tcPr>
                  <w:tcW w:w="1047" w:type="dxa"/>
                  <w:vMerge w:val="restart"/>
                  <w:tcBorders>
                    <w:tl2br w:val="nil"/>
                    <w:tr2bl w:val="nil"/>
                  </w:tcBorders>
                  <w:vAlign w:val="center"/>
                </w:tcPr>
                <w:p w14:paraId="1043273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中梁山污水处理厂</w:t>
                  </w:r>
                </w:p>
              </w:tc>
              <w:tc>
                <w:tcPr>
                  <w:tcW w:w="933" w:type="dxa"/>
                  <w:tcBorders>
                    <w:tl2br w:val="nil"/>
                    <w:tr2bl w:val="nil"/>
                  </w:tcBorders>
                  <w:shd w:val="clear" w:color="auto" w:fill="auto"/>
                  <w:vAlign w:val="center"/>
                </w:tcPr>
                <w:p w14:paraId="1F5EAFD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pH</w:t>
                  </w:r>
                </w:p>
              </w:tc>
              <w:tc>
                <w:tcPr>
                  <w:tcW w:w="2483" w:type="dxa"/>
                  <w:tcBorders>
                    <w:tl2br w:val="nil"/>
                    <w:tr2bl w:val="nil"/>
                  </w:tcBorders>
                  <w:shd w:val="clear" w:color="auto" w:fill="auto"/>
                  <w:vAlign w:val="center"/>
                </w:tcPr>
                <w:p w14:paraId="6FD4DE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6~9</w:t>
                  </w:r>
                </w:p>
              </w:tc>
            </w:tr>
            <w:tr w14:paraId="2D66E2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616F44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36C94C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34E77AF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35DA5E0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71CD376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1517D4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3001F14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29217DE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428F9AE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COD</w:t>
                  </w:r>
                </w:p>
              </w:tc>
              <w:tc>
                <w:tcPr>
                  <w:tcW w:w="2483" w:type="dxa"/>
                  <w:tcBorders>
                    <w:tl2br w:val="nil"/>
                    <w:tr2bl w:val="nil"/>
                  </w:tcBorders>
                  <w:shd w:val="clear" w:color="auto" w:fill="auto"/>
                  <w:vAlign w:val="center"/>
                </w:tcPr>
                <w:p w14:paraId="1BDDD46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50</w:t>
                  </w:r>
                </w:p>
              </w:tc>
            </w:tr>
            <w:tr w14:paraId="33E564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648781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5158A5A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1EDA23B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0CBD27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25183E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26C26B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71908EC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02113AE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7E8DBD4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SS</w:t>
                  </w:r>
                </w:p>
              </w:tc>
              <w:tc>
                <w:tcPr>
                  <w:tcW w:w="2483" w:type="dxa"/>
                  <w:tcBorders>
                    <w:tl2br w:val="nil"/>
                    <w:tr2bl w:val="nil"/>
                  </w:tcBorders>
                  <w:shd w:val="clear" w:color="auto" w:fill="auto"/>
                  <w:vAlign w:val="center"/>
                </w:tcPr>
                <w:p w14:paraId="28A1F5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10</w:t>
                  </w:r>
                </w:p>
              </w:tc>
            </w:tr>
            <w:tr w14:paraId="3CA91F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556B617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65CABB8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2BB1B0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59456C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583A0F4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6533A1F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5DB9E4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104079B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4353D3D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BOD</w:t>
                  </w:r>
                  <w:r>
                    <w:rPr>
                      <w:rFonts w:ascii="Times New Roman" w:hAnsi="Times New Roman" w:eastAsia="宋体" w:cs="Times New Roman"/>
                      <w:snapToGrid w:val="0"/>
                      <w:color w:val="auto"/>
                      <w:kern w:val="2"/>
                      <w:sz w:val="21"/>
                      <w:szCs w:val="21"/>
                      <w:highlight w:val="none"/>
                      <w:vertAlign w:val="subscript"/>
                      <w:lang w:val="en-US" w:eastAsia="zh-CN" w:bidi="ar-SA"/>
                    </w:rPr>
                    <w:t>5</w:t>
                  </w:r>
                </w:p>
              </w:tc>
              <w:tc>
                <w:tcPr>
                  <w:tcW w:w="2483" w:type="dxa"/>
                  <w:tcBorders>
                    <w:tl2br w:val="nil"/>
                    <w:tr2bl w:val="nil"/>
                  </w:tcBorders>
                  <w:shd w:val="clear" w:color="auto" w:fill="auto"/>
                  <w:vAlign w:val="center"/>
                </w:tcPr>
                <w:p w14:paraId="7D57CC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10</w:t>
                  </w:r>
                </w:p>
              </w:tc>
            </w:tr>
            <w:tr w14:paraId="3088A6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28BF98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6B5C0A0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2411CA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3D3A90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6E0C92E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6F12C7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682413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40008C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2B82740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氨氮</w:t>
                  </w:r>
                </w:p>
              </w:tc>
              <w:tc>
                <w:tcPr>
                  <w:tcW w:w="2483" w:type="dxa"/>
                  <w:tcBorders>
                    <w:tl2br w:val="nil"/>
                    <w:tr2bl w:val="nil"/>
                  </w:tcBorders>
                  <w:shd w:val="clear" w:color="auto" w:fill="auto"/>
                  <w:vAlign w:val="center"/>
                </w:tcPr>
                <w:p w14:paraId="0EFA5FC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5</w:t>
                  </w:r>
                  <w:r>
                    <w:rPr>
                      <w:rFonts w:hint="eastAsia" w:cs="Times New Roman"/>
                      <w:snapToGrid w:val="0"/>
                      <w:color w:val="auto"/>
                      <w:kern w:val="2"/>
                      <w:sz w:val="21"/>
                      <w:szCs w:val="21"/>
                      <w:highlight w:val="none"/>
                      <w:lang w:val="en-US" w:eastAsia="zh-CN" w:bidi="ar-SA"/>
                    </w:rPr>
                    <w:t>（</w:t>
                  </w:r>
                  <w:r>
                    <w:rPr>
                      <w:rFonts w:ascii="Times New Roman" w:hAnsi="Times New Roman" w:eastAsia="宋体" w:cs="Times New Roman"/>
                      <w:snapToGrid w:val="0"/>
                      <w:color w:val="auto"/>
                      <w:kern w:val="2"/>
                      <w:sz w:val="21"/>
                      <w:szCs w:val="21"/>
                      <w:highlight w:val="none"/>
                      <w:lang w:val="en-US" w:eastAsia="zh-CN" w:bidi="ar-SA"/>
                    </w:rPr>
                    <w:t>8</w:t>
                  </w:r>
                  <w:r>
                    <w:rPr>
                      <w:rFonts w:hint="eastAsia" w:cs="Times New Roman"/>
                      <w:snapToGrid w:val="0"/>
                      <w:color w:val="auto"/>
                      <w:kern w:val="2"/>
                      <w:sz w:val="21"/>
                      <w:szCs w:val="21"/>
                      <w:highlight w:val="none"/>
                      <w:lang w:val="en-US" w:eastAsia="zh-CN" w:bidi="ar-SA"/>
                    </w:rPr>
                    <w:t>）</w:t>
                  </w:r>
                  <w:r>
                    <w:rPr>
                      <w:rFonts w:hint="eastAsia" w:ascii="Times New Roman" w:hAnsi="Times New Roman" w:eastAsia="宋体" w:cs="Times New Roman"/>
                      <w:snapToGrid w:val="0"/>
                      <w:color w:val="auto"/>
                      <w:kern w:val="2"/>
                      <w:sz w:val="21"/>
                      <w:szCs w:val="21"/>
                      <w:highlight w:val="none"/>
                      <w:vertAlign w:val="superscript"/>
                      <w:lang w:val="en-US" w:eastAsia="zh-CN" w:bidi="ar-SA"/>
                    </w:rPr>
                    <w:t>①</w:t>
                  </w:r>
                </w:p>
              </w:tc>
            </w:tr>
            <w:tr w14:paraId="153ADC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26CE730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543284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0F00D0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2C1D349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15371CB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68F0593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2752E8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4868FEE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5B5FE8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LAS</w:t>
                  </w:r>
                </w:p>
              </w:tc>
              <w:tc>
                <w:tcPr>
                  <w:tcW w:w="2483" w:type="dxa"/>
                  <w:tcBorders>
                    <w:tl2br w:val="nil"/>
                    <w:tr2bl w:val="nil"/>
                  </w:tcBorders>
                  <w:shd w:val="clear" w:color="auto" w:fill="auto"/>
                  <w:vAlign w:val="center"/>
                </w:tcPr>
                <w:p w14:paraId="0E9593F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0.5</w:t>
                  </w:r>
                </w:p>
              </w:tc>
            </w:tr>
            <w:tr w14:paraId="03D65F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41F19A3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265B6E1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645C39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6B363BE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2358E2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045DA72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014E86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1F92BB8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7FBE76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TP</w:t>
                  </w:r>
                </w:p>
              </w:tc>
              <w:tc>
                <w:tcPr>
                  <w:tcW w:w="2483" w:type="dxa"/>
                  <w:tcBorders>
                    <w:tl2br w:val="nil"/>
                    <w:tr2bl w:val="nil"/>
                  </w:tcBorders>
                  <w:shd w:val="clear" w:color="auto" w:fill="auto"/>
                  <w:vAlign w:val="center"/>
                </w:tcPr>
                <w:p w14:paraId="631FDDE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0.5</w:t>
                  </w:r>
                </w:p>
              </w:tc>
            </w:tr>
            <w:tr w14:paraId="6E6114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04" w:type="dxa"/>
                  <w:vMerge w:val="continue"/>
                  <w:tcBorders>
                    <w:tl2br w:val="nil"/>
                    <w:tr2bl w:val="nil"/>
                  </w:tcBorders>
                  <w:vAlign w:val="center"/>
                </w:tcPr>
                <w:p w14:paraId="5042B8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18" w:type="dxa"/>
                  <w:vMerge w:val="continue"/>
                  <w:tcBorders>
                    <w:tl2br w:val="nil"/>
                    <w:tr2bl w:val="nil"/>
                  </w:tcBorders>
                  <w:vAlign w:val="center"/>
                </w:tcPr>
                <w:p w14:paraId="73ECD5D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13" w:type="dxa"/>
                  <w:vMerge w:val="continue"/>
                  <w:tcBorders>
                    <w:tl2br w:val="nil"/>
                    <w:tr2bl w:val="nil"/>
                  </w:tcBorders>
                  <w:vAlign w:val="center"/>
                </w:tcPr>
                <w:p w14:paraId="10B761B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290" w:type="dxa"/>
                  <w:vMerge w:val="continue"/>
                  <w:tcBorders>
                    <w:tl2br w:val="nil"/>
                    <w:tr2bl w:val="nil"/>
                  </w:tcBorders>
                  <w:vAlign w:val="center"/>
                </w:tcPr>
                <w:p w14:paraId="6551C0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1397" w:type="dxa"/>
                  <w:vMerge w:val="continue"/>
                  <w:tcBorders>
                    <w:tl2br w:val="nil"/>
                    <w:tr2bl w:val="nil"/>
                  </w:tcBorders>
                  <w:vAlign w:val="center"/>
                </w:tcPr>
                <w:p w14:paraId="57D95D7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724" w:type="dxa"/>
                  <w:vMerge w:val="continue"/>
                  <w:tcBorders>
                    <w:tl2br w:val="nil"/>
                    <w:tr2bl w:val="nil"/>
                  </w:tcBorders>
                  <w:vAlign w:val="center"/>
                </w:tcPr>
                <w:p w14:paraId="25BECEC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814" w:type="dxa"/>
                  <w:vMerge w:val="continue"/>
                  <w:tcBorders>
                    <w:tl2br w:val="nil"/>
                    <w:tr2bl w:val="nil"/>
                  </w:tcBorders>
                  <w:vAlign w:val="center"/>
                </w:tcPr>
                <w:p w14:paraId="62B1AAE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p>
              </w:tc>
              <w:tc>
                <w:tcPr>
                  <w:tcW w:w="1047" w:type="dxa"/>
                  <w:vMerge w:val="continue"/>
                  <w:tcBorders>
                    <w:tl2br w:val="nil"/>
                    <w:tr2bl w:val="nil"/>
                  </w:tcBorders>
                  <w:vAlign w:val="center"/>
                </w:tcPr>
                <w:p w14:paraId="2D6D90B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p>
              </w:tc>
              <w:tc>
                <w:tcPr>
                  <w:tcW w:w="933" w:type="dxa"/>
                  <w:tcBorders>
                    <w:tl2br w:val="nil"/>
                    <w:tr2bl w:val="nil"/>
                  </w:tcBorders>
                  <w:shd w:val="clear" w:color="auto" w:fill="auto"/>
                  <w:vAlign w:val="center"/>
                </w:tcPr>
                <w:p w14:paraId="06E50E3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粪大肠</w:t>
                  </w:r>
                </w:p>
                <w:p w14:paraId="06131A8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菌群</w:t>
                  </w:r>
                </w:p>
              </w:tc>
              <w:tc>
                <w:tcPr>
                  <w:tcW w:w="2483" w:type="dxa"/>
                  <w:tcBorders>
                    <w:tl2br w:val="nil"/>
                    <w:tr2bl w:val="nil"/>
                  </w:tcBorders>
                  <w:shd w:val="clear" w:color="auto" w:fill="auto"/>
                  <w:vAlign w:val="center"/>
                </w:tcPr>
                <w:p w14:paraId="11F6AB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1000个/L</w:t>
                  </w:r>
                </w:p>
              </w:tc>
            </w:tr>
            <w:tr w14:paraId="5AB2C4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2523" w:type="dxa"/>
                  <w:gridSpan w:val="10"/>
                  <w:tcBorders>
                    <w:tl2br w:val="nil"/>
                    <w:tr2bl w:val="nil"/>
                  </w:tcBorders>
                  <w:vAlign w:val="center"/>
                </w:tcPr>
                <w:p w14:paraId="6EC6A81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注：</w:t>
                  </w:r>
                  <w:r>
                    <w:rPr>
                      <w:rFonts w:hint="eastAsia" w:ascii="Times New Roman" w:hAnsi="Times New Roman" w:eastAsia="宋体" w:cs="Times New Roman"/>
                      <w:snapToGrid w:val="0"/>
                      <w:color w:val="auto"/>
                      <w:kern w:val="2"/>
                      <w:sz w:val="21"/>
                      <w:szCs w:val="21"/>
                      <w:highlight w:val="none"/>
                      <w:lang w:val="en-US" w:eastAsia="zh-CN" w:bidi="ar-SA"/>
                    </w:rPr>
                    <w:t>①括号外为水温＞12度，括号内为水温＜12度。</w:t>
                  </w:r>
                </w:p>
              </w:tc>
            </w:tr>
          </w:tbl>
          <w:p w14:paraId="329E1158">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ascii="Times New Roman" w:hAnsi="Times New Roman" w:eastAsia="宋体" w:cs="Times New Roman"/>
                <w:b w:val="0"/>
                <w:bCs/>
                <w:color w:val="auto"/>
                <w:kern w:val="2"/>
                <w:sz w:val="21"/>
                <w:szCs w:val="21"/>
                <w:highlight w:val="none"/>
                <w:lang w:val="en-US" w:eastAsia="zh-CN" w:bidi="ar-SA"/>
              </w:rPr>
            </w:pPr>
            <w:r>
              <w:rPr>
                <w:rFonts w:ascii="Times New Roman" w:hAnsi="Times New Roman" w:eastAsia="宋体" w:cs="Times New Roman"/>
                <w:b w:val="0"/>
                <w:bCs/>
                <w:color w:val="auto"/>
                <w:kern w:val="2"/>
                <w:sz w:val="21"/>
                <w:szCs w:val="21"/>
                <w:highlight w:val="none"/>
                <w:lang w:val="en-US" w:eastAsia="zh-CN" w:bidi="ar-SA"/>
              </w:rPr>
              <w:t xml:space="preserve">表 </w:t>
            </w:r>
            <w:r>
              <w:rPr>
                <w:rFonts w:hint="eastAsia" w:ascii="Times New Roman" w:hAnsi="Times New Roman" w:eastAsia="宋体" w:cs="Times New Roman"/>
                <w:b w:val="0"/>
                <w:bCs/>
                <w:color w:val="auto"/>
                <w:kern w:val="2"/>
                <w:sz w:val="21"/>
                <w:szCs w:val="21"/>
                <w:highlight w:val="none"/>
                <w:lang w:val="en-US" w:eastAsia="zh-CN" w:bidi="ar-SA"/>
              </w:rPr>
              <w:t>4.</w:t>
            </w:r>
            <w:r>
              <w:rPr>
                <w:rFonts w:hint="eastAsia" w:eastAsia="宋体" w:cs="Times New Roman"/>
                <w:b w:val="0"/>
                <w:bCs/>
                <w:color w:val="auto"/>
                <w:kern w:val="2"/>
                <w:sz w:val="21"/>
                <w:szCs w:val="21"/>
                <w:highlight w:val="none"/>
                <w:lang w:val="en-US" w:eastAsia="zh-CN" w:bidi="ar-SA"/>
              </w:rPr>
              <w:t>2-5</w:t>
            </w:r>
            <w:r>
              <w:rPr>
                <w:rFonts w:ascii="Times New Roman" w:hAnsi="Times New Roman" w:eastAsia="宋体" w:cs="Times New Roman"/>
                <w:b w:val="0"/>
                <w:bCs/>
                <w:color w:val="auto"/>
                <w:kern w:val="2"/>
                <w:sz w:val="21"/>
                <w:szCs w:val="21"/>
                <w:highlight w:val="none"/>
                <w:lang w:val="en-US" w:eastAsia="zh-CN" w:bidi="ar-SA"/>
              </w:rPr>
              <w:t xml:space="preserve"> 废水污染物排放执行标准表</w:t>
            </w:r>
          </w:p>
          <w:tbl>
            <w:tblPr>
              <w:tblStyle w:val="21"/>
              <w:tblW w:w="1252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377"/>
              <w:gridCol w:w="1988"/>
              <w:gridCol w:w="5903"/>
              <w:gridCol w:w="3255"/>
            </w:tblGrid>
            <w:tr w14:paraId="07FA85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restart"/>
                  <w:tcBorders>
                    <w:tl2br w:val="nil"/>
                    <w:tr2bl w:val="nil"/>
                  </w:tcBorders>
                  <w:vAlign w:val="center"/>
                </w:tcPr>
                <w:p w14:paraId="3675E79B">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1988" w:type="dxa"/>
                  <w:vMerge w:val="restart"/>
                  <w:tcBorders>
                    <w:tl2br w:val="nil"/>
                    <w:tr2bl w:val="nil"/>
                  </w:tcBorders>
                  <w:vAlign w:val="center"/>
                </w:tcPr>
                <w:p w14:paraId="0FC8E41B">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污染物种类</w:t>
                  </w:r>
                </w:p>
              </w:tc>
              <w:tc>
                <w:tcPr>
                  <w:tcW w:w="9158" w:type="dxa"/>
                  <w:gridSpan w:val="2"/>
                  <w:tcBorders>
                    <w:tl2br w:val="nil"/>
                    <w:tr2bl w:val="nil"/>
                  </w:tcBorders>
                  <w:vAlign w:val="center"/>
                </w:tcPr>
                <w:p w14:paraId="7A90981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国家或地方污染物排放标准及其他按规定商定的排放协议（a）</w:t>
                  </w:r>
                </w:p>
              </w:tc>
            </w:tr>
            <w:tr w14:paraId="20346B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32D3B18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vMerge w:val="continue"/>
                  <w:tcBorders>
                    <w:tl2br w:val="nil"/>
                    <w:tr2bl w:val="nil"/>
                  </w:tcBorders>
                  <w:vAlign w:val="center"/>
                </w:tcPr>
                <w:p w14:paraId="2E31713A">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5903" w:type="dxa"/>
                  <w:tcBorders>
                    <w:tl2br w:val="nil"/>
                    <w:tr2bl w:val="nil"/>
                  </w:tcBorders>
                  <w:vAlign w:val="center"/>
                </w:tcPr>
                <w:p w14:paraId="74616CE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名称</w:t>
                  </w:r>
                </w:p>
              </w:tc>
              <w:tc>
                <w:tcPr>
                  <w:tcW w:w="3255" w:type="dxa"/>
                  <w:tcBorders>
                    <w:tl2br w:val="nil"/>
                    <w:tr2bl w:val="nil"/>
                  </w:tcBorders>
                  <w:vAlign w:val="center"/>
                </w:tcPr>
                <w:p w14:paraId="563F7189">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浓度限值/（mg/L）</w:t>
                  </w:r>
                </w:p>
              </w:tc>
            </w:tr>
            <w:tr w14:paraId="29A065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restart"/>
                  <w:tcBorders>
                    <w:tl2br w:val="nil"/>
                    <w:tr2bl w:val="nil"/>
                  </w:tcBorders>
                  <w:vAlign w:val="center"/>
                </w:tcPr>
                <w:p w14:paraId="424A2038">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DW001</w:t>
                  </w:r>
                </w:p>
              </w:tc>
              <w:tc>
                <w:tcPr>
                  <w:tcW w:w="1988" w:type="dxa"/>
                  <w:tcBorders>
                    <w:tl2br w:val="nil"/>
                    <w:tr2bl w:val="nil"/>
                  </w:tcBorders>
                  <w:shd w:val="clear" w:color="auto" w:fill="auto"/>
                  <w:vAlign w:val="center"/>
                </w:tcPr>
                <w:p w14:paraId="334DECC0">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粪大肠菌群</w:t>
                  </w:r>
                </w:p>
              </w:tc>
              <w:tc>
                <w:tcPr>
                  <w:tcW w:w="5903" w:type="dxa"/>
                  <w:vMerge w:val="restart"/>
                  <w:tcBorders>
                    <w:tl2br w:val="nil"/>
                    <w:tr2bl w:val="nil"/>
                  </w:tcBorders>
                  <w:vAlign w:val="center"/>
                </w:tcPr>
                <w:p w14:paraId="6644C7F0">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《医疗机构水污染物排放标准》</w:t>
                  </w:r>
                </w:p>
                <w:p w14:paraId="7E93C58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（GB 18466-2005）</w:t>
                  </w:r>
                  <w:r>
                    <w:rPr>
                      <w:rFonts w:hint="eastAsia" w:ascii="Times New Roman" w:hAnsi="Times New Roman" w:eastAsia="宋体" w:cs="Times New Roman"/>
                      <w:snapToGrid w:val="0"/>
                      <w:color w:val="auto"/>
                      <w:kern w:val="2"/>
                      <w:sz w:val="21"/>
                      <w:szCs w:val="21"/>
                      <w:highlight w:val="none"/>
                      <w:lang w:val="en-US" w:eastAsia="zh-CN" w:bidi="ar-SA"/>
                    </w:rPr>
                    <w:t>预处理标准</w:t>
                  </w:r>
                </w:p>
              </w:tc>
              <w:tc>
                <w:tcPr>
                  <w:tcW w:w="3255" w:type="dxa"/>
                  <w:tcBorders>
                    <w:tl2br w:val="nil"/>
                    <w:tr2bl w:val="nil"/>
                  </w:tcBorders>
                  <w:shd w:val="clear" w:color="auto" w:fill="auto"/>
                  <w:vAlign w:val="center"/>
                </w:tcPr>
                <w:p w14:paraId="18C1A70F">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5000个/L</w:t>
                  </w:r>
                </w:p>
              </w:tc>
            </w:tr>
            <w:tr w14:paraId="641619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3E6492B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66AB1A53">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总余氯</w:t>
                  </w:r>
                </w:p>
              </w:tc>
              <w:tc>
                <w:tcPr>
                  <w:tcW w:w="5903" w:type="dxa"/>
                  <w:vMerge w:val="continue"/>
                  <w:tcBorders>
                    <w:tl2br w:val="nil"/>
                    <w:tr2bl w:val="nil"/>
                  </w:tcBorders>
                  <w:vAlign w:val="center"/>
                </w:tcPr>
                <w:p w14:paraId="34BEF38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51D700E9">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2~8</w:t>
                  </w:r>
                </w:p>
              </w:tc>
            </w:tr>
            <w:tr w14:paraId="1AA382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restart"/>
                  <w:tcBorders>
                    <w:tl2br w:val="nil"/>
                    <w:tr2bl w:val="nil"/>
                  </w:tcBorders>
                  <w:shd w:val="clear" w:color="auto" w:fill="auto"/>
                  <w:vAlign w:val="center"/>
                </w:tcPr>
                <w:p w14:paraId="4BAA2BE4">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DW002</w:t>
                  </w:r>
                </w:p>
              </w:tc>
              <w:tc>
                <w:tcPr>
                  <w:tcW w:w="1988" w:type="dxa"/>
                  <w:tcBorders>
                    <w:tl2br w:val="nil"/>
                    <w:tr2bl w:val="nil"/>
                  </w:tcBorders>
                  <w:shd w:val="clear" w:color="auto" w:fill="auto"/>
                  <w:vAlign w:val="center"/>
                </w:tcPr>
                <w:p w14:paraId="1AD018D1">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粪大肠菌群</w:t>
                  </w:r>
                </w:p>
              </w:tc>
              <w:tc>
                <w:tcPr>
                  <w:tcW w:w="5903" w:type="dxa"/>
                  <w:vMerge w:val="restart"/>
                  <w:tcBorders>
                    <w:tl2br w:val="nil"/>
                    <w:tr2bl w:val="nil"/>
                  </w:tcBorders>
                  <w:shd w:val="clear" w:color="auto" w:fill="auto"/>
                  <w:vAlign w:val="center"/>
                </w:tcPr>
                <w:p w14:paraId="21E50E16">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《医疗机构水污染物排放标准》</w:t>
                  </w:r>
                </w:p>
                <w:p w14:paraId="1AC493F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（GB 18466-2005）</w:t>
                  </w:r>
                  <w:r>
                    <w:rPr>
                      <w:rFonts w:hint="eastAsia" w:ascii="Times New Roman" w:hAnsi="Times New Roman" w:eastAsia="宋体" w:cs="Times New Roman"/>
                      <w:snapToGrid w:val="0"/>
                      <w:color w:val="auto"/>
                      <w:kern w:val="2"/>
                      <w:sz w:val="21"/>
                      <w:szCs w:val="21"/>
                      <w:highlight w:val="none"/>
                      <w:lang w:val="en-US" w:eastAsia="zh-CN" w:bidi="ar-SA"/>
                    </w:rPr>
                    <w:t>预处理标准</w:t>
                  </w:r>
                </w:p>
              </w:tc>
              <w:tc>
                <w:tcPr>
                  <w:tcW w:w="3255" w:type="dxa"/>
                  <w:tcBorders>
                    <w:tl2br w:val="nil"/>
                    <w:tr2bl w:val="nil"/>
                  </w:tcBorders>
                  <w:shd w:val="clear" w:color="auto" w:fill="auto"/>
                  <w:vAlign w:val="center"/>
                </w:tcPr>
                <w:p w14:paraId="78613A24">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5000个/L</w:t>
                  </w:r>
                </w:p>
              </w:tc>
            </w:tr>
            <w:tr w14:paraId="1C0640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66AA662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01C61496">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总余氯</w:t>
                  </w:r>
                </w:p>
              </w:tc>
              <w:tc>
                <w:tcPr>
                  <w:tcW w:w="5903" w:type="dxa"/>
                  <w:vMerge w:val="continue"/>
                  <w:tcBorders>
                    <w:tl2br w:val="nil"/>
                    <w:tr2bl w:val="nil"/>
                  </w:tcBorders>
                  <w:vAlign w:val="center"/>
                </w:tcPr>
                <w:p w14:paraId="064DEFB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0FA010F0">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2~8</w:t>
                  </w:r>
                </w:p>
              </w:tc>
            </w:tr>
            <w:tr w14:paraId="4159BE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restart"/>
                  <w:tcBorders>
                    <w:tl2br w:val="nil"/>
                    <w:tr2bl w:val="nil"/>
                  </w:tcBorders>
                  <w:vAlign w:val="center"/>
                </w:tcPr>
                <w:p w14:paraId="74AED64E">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DW003</w:t>
                  </w:r>
                </w:p>
              </w:tc>
              <w:tc>
                <w:tcPr>
                  <w:tcW w:w="1988" w:type="dxa"/>
                  <w:tcBorders>
                    <w:tl2br w:val="nil"/>
                    <w:tr2bl w:val="nil"/>
                  </w:tcBorders>
                  <w:shd w:val="clear" w:color="auto" w:fill="auto"/>
                  <w:vAlign w:val="center"/>
                </w:tcPr>
                <w:p w14:paraId="1FBE3E5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pH</w:t>
                  </w:r>
                </w:p>
              </w:tc>
              <w:tc>
                <w:tcPr>
                  <w:tcW w:w="5903" w:type="dxa"/>
                  <w:vMerge w:val="restart"/>
                  <w:tcBorders>
                    <w:tl2br w:val="nil"/>
                    <w:tr2bl w:val="nil"/>
                  </w:tcBorders>
                  <w:vAlign w:val="center"/>
                </w:tcPr>
                <w:p w14:paraId="25FFABB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《污水综合排放标准》</w:t>
                  </w:r>
                </w:p>
                <w:p w14:paraId="0F7D330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（GB 8978-1996）三级标准</w:t>
                  </w:r>
                </w:p>
              </w:tc>
              <w:tc>
                <w:tcPr>
                  <w:tcW w:w="3255" w:type="dxa"/>
                  <w:tcBorders>
                    <w:tl2br w:val="nil"/>
                    <w:tr2bl w:val="nil"/>
                  </w:tcBorders>
                  <w:shd w:val="clear" w:color="auto" w:fill="auto"/>
                  <w:vAlign w:val="center"/>
                </w:tcPr>
                <w:p w14:paraId="52FAF0E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6~9</w:t>
                  </w:r>
                </w:p>
              </w:tc>
            </w:tr>
            <w:tr w14:paraId="7E377A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703F1CF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440CF76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COD</w:t>
                  </w:r>
                </w:p>
              </w:tc>
              <w:tc>
                <w:tcPr>
                  <w:tcW w:w="5903" w:type="dxa"/>
                  <w:vMerge w:val="continue"/>
                  <w:tcBorders>
                    <w:tl2br w:val="nil"/>
                    <w:tr2bl w:val="nil"/>
                  </w:tcBorders>
                  <w:vAlign w:val="center"/>
                </w:tcPr>
                <w:p w14:paraId="08F1A6F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51956A5B">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500</w:t>
                  </w:r>
                </w:p>
              </w:tc>
            </w:tr>
            <w:tr w14:paraId="20FD4C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2D53E5B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5F85653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SS</w:t>
                  </w:r>
                </w:p>
              </w:tc>
              <w:tc>
                <w:tcPr>
                  <w:tcW w:w="5903" w:type="dxa"/>
                  <w:vMerge w:val="continue"/>
                  <w:tcBorders>
                    <w:tl2br w:val="nil"/>
                    <w:tr2bl w:val="nil"/>
                  </w:tcBorders>
                  <w:vAlign w:val="center"/>
                </w:tcPr>
                <w:p w14:paraId="20C6FC0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73DA599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400</w:t>
                  </w:r>
                </w:p>
              </w:tc>
            </w:tr>
            <w:tr w14:paraId="7A998D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698E40B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30DE6CA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BOD</w:t>
                  </w:r>
                  <w:r>
                    <w:rPr>
                      <w:rFonts w:ascii="Times New Roman" w:hAnsi="Times New Roman" w:eastAsia="宋体" w:cs="Times New Roman"/>
                      <w:snapToGrid w:val="0"/>
                      <w:color w:val="auto"/>
                      <w:kern w:val="2"/>
                      <w:sz w:val="21"/>
                      <w:szCs w:val="21"/>
                      <w:highlight w:val="none"/>
                      <w:vertAlign w:val="subscript"/>
                      <w:lang w:val="en-US" w:eastAsia="zh-CN" w:bidi="ar-SA"/>
                    </w:rPr>
                    <w:t>5</w:t>
                  </w:r>
                </w:p>
              </w:tc>
              <w:tc>
                <w:tcPr>
                  <w:tcW w:w="5903" w:type="dxa"/>
                  <w:vMerge w:val="continue"/>
                  <w:tcBorders>
                    <w:tl2br w:val="nil"/>
                    <w:tr2bl w:val="nil"/>
                  </w:tcBorders>
                  <w:vAlign w:val="center"/>
                </w:tcPr>
                <w:p w14:paraId="03D4775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14C0DF5A">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300</w:t>
                  </w:r>
                </w:p>
              </w:tc>
            </w:tr>
            <w:tr w14:paraId="6408AA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6CE45CC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5123627A">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LAS</w:t>
                  </w:r>
                </w:p>
              </w:tc>
              <w:tc>
                <w:tcPr>
                  <w:tcW w:w="5903" w:type="dxa"/>
                  <w:vMerge w:val="continue"/>
                  <w:tcBorders>
                    <w:tl2br w:val="nil"/>
                    <w:tr2bl w:val="nil"/>
                  </w:tcBorders>
                  <w:shd w:val="clear" w:color="auto" w:fill="auto"/>
                  <w:vAlign w:val="center"/>
                </w:tcPr>
                <w:p w14:paraId="6816323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603A0A17">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20</w:t>
                  </w:r>
                </w:p>
              </w:tc>
            </w:tr>
            <w:tr w14:paraId="0A6294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4C9DA85B">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1DCE4BB8">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粪大肠菌群</w:t>
                  </w:r>
                </w:p>
              </w:tc>
              <w:tc>
                <w:tcPr>
                  <w:tcW w:w="5903" w:type="dxa"/>
                  <w:vMerge w:val="continue"/>
                  <w:tcBorders>
                    <w:tl2br w:val="nil"/>
                    <w:tr2bl w:val="nil"/>
                  </w:tcBorders>
                  <w:shd w:val="clear" w:color="auto" w:fill="auto"/>
                  <w:vAlign w:val="center"/>
                </w:tcPr>
                <w:p w14:paraId="4CE855E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375911C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1000个/L</w:t>
                  </w:r>
                </w:p>
              </w:tc>
            </w:tr>
            <w:tr w14:paraId="717DEF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1979638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5657EA9D">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氨氮</w:t>
                  </w:r>
                </w:p>
              </w:tc>
              <w:tc>
                <w:tcPr>
                  <w:tcW w:w="5903" w:type="dxa"/>
                  <w:vMerge w:val="continue"/>
                  <w:tcBorders>
                    <w:tl2br w:val="nil"/>
                    <w:tr2bl w:val="nil"/>
                  </w:tcBorders>
                  <w:shd w:val="clear" w:color="auto" w:fill="auto"/>
                  <w:vAlign w:val="center"/>
                </w:tcPr>
                <w:p w14:paraId="171D95F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1F388502">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45</w:t>
                  </w:r>
                  <w:r>
                    <w:rPr>
                      <w:rFonts w:ascii="Times New Roman" w:hAnsi="Times New Roman" w:eastAsia="宋体" w:cs="Times New Roman"/>
                      <w:snapToGrid w:val="0"/>
                      <w:color w:val="auto"/>
                      <w:kern w:val="2"/>
                      <w:sz w:val="21"/>
                      <w:szCs w:val="21"/>
                      <w:highlight w:val="none"/>
                      <w:vertAlign w:val="superscript"/>
                      <w:lang w:val="en-US" w:eastAsia="zh-CN" w:bidi="ar-SA"/>
                    </w:rPr>
                    <w:fldChar w:fldCharType="begin"/>
                  </w:r>
                  <w:r>
                    <w:rPr>
                      <w:rFonts w:ascii="Times New Roman" w:hAnsi="Times New Roman" w:eastAsia="宋体" w:cs="Times New Roman"/>
                      <w:snapToGrid w:val="0"/>
                      <w:color w:val="auto"/>
                      <w:kern w:val="2"/>
                      <w:sz w:val="21"/>
                      <w:szCs w:val="21"/>
                      <w:highlight w:val="none"/>
                      <w:vertAlign w:val="superscript"/>
                      <w:lang w:val="en-US" w:eastAsia="zh-CN" w:bidi="ar-SA"/>
                    </w:rPr>
                    <w:instrText xml:space="preserve"> = 1 \* GB3 </w:instrText>
                  </w:r>
                  <w:r>
                    <w:rPr>
                      <w:rFonts w:ascii="Times New Roman" w:hAnsi="Times New Roman" w:eastAsia="宋体" w:cs="Times New Roman"/>
                      <w:snapToGrid w:val="0"/>
                      <w:color w:val="auto"/>
                      <w:kern w:val="2"/>
                      <w:sz w:val="21"/>
                      <w:szCs w:val="21"/>
                      <w:highlight w:val="none"/>
                      <w:vertAlign w:val="superscript"/>
                      <w:lang w:val="en-US" w:eastAsia="zh-CN" w:bidi="ar-SA"/>
                    </w:rPr>
                    <w:fldChar w:fldCharType="separate"/>
                  </w:r>
                  <w:r>
                    <w:rPr>
                      <w:rFonts w:ascii="Times New Roman" w:hAnsi="Times New Roman" w:eastAsia="宋体" w:cs="Times New Roman"/>
                      <w:snapToGrid w:val="0"/>
                      <w:color w:val="auto"/>
                      <w:kern w:val="2"/>
                      <w:sz w:val="21"/>
                      <w:szCs w:val="21"/>
                      <w:highlight w:val="none"/>
                      <w:vertAlign w:val="superscript"/>
                      <w:lang w:val="en-US" w:eastAsia="zh-CN" w:bidi="ar-SA"/>
                    </w:rPr>
                    <w:t>①</w:t>
                  </w:r>
                  <w:r>
                    <w:rPr>
                      <w:rFonts w:ascii="Times New Roman" w:hAnsi="Times New Roman" w:eastAsia="宋体" w:cs="Times New Roman"/>
                      <w:snapToGrid w:val="0"/>
                      <w:color w:val="auto"/>
                      <w:kern w:val="2"/>
                      <w:sz w:val="21"/>
                      <w:szCs w:val="21"/>
                      <w:highlight w:val="none"/>
                      <w:vertAlign w:val="superscript"/>
                      <w:lang w:val="en-US" w:eastAsia="zh-CN" w:bidi="ar-SA"/>
                    </w:rPr>
                    <w:fldChar w:fldCharType="end"/>
                  </w:r>
                </w:p>
              </w:tc>
            </w:tr>
            <w:tr w14:paraId="20B1F0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341F3A6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988" w:type="dxa"/>
                  <w:tcBorders>
                    <w:tl2br w:val="nil"/>
                    <w:tr2bl w:val="nil"/>
                  </w:tcBorders>
                  <w:shd w:val="clear" w:color="auto" w:fill="auto"/>
                  <w:vAlign w:val="center"/>
                </w:tcPr>
                <w:p w14:paraId="0C8D9241">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TP</w:t>
                  </w:r>
                </w:p>
              </w:tc>
              <w:tc>
                <w:tcPr>
                  <w:tcW w:w="5903" w:type="dxa"/>
                  <w:vMerge w:val="continue"/>
                  <w:tcBorders>
                    <w:tl2br w:val="nil"/>
                    <w:tr2bl w:val="nil"/>
                  </w:tcBorders>
                  <w:shd w:val="clear" w:color="auto" w:fill="auto"/>
                  <w:vAlign w:val="center"/>
                </w:tcPr>
                <w:p w14:paraId="72DF624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255" w:type="dxa"/>
                  <w:tcBorders>
                    <w:tl2br w:val="nil"/>
                    <w:tr2bl w:val="nil"/>
                  </w:tcBorders>
                  <w:shd w:val="clear" w:color="auto" w:fill="auto"/>
                  <w:vAlign w:val="center"/>
                </w:tcPr>
                <w:p w14:paraId="181C4808">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8</w:t>
                  </w:r>
                  <w:r>
                    <w:rPr>
                      <w:rFonts w:ascii="Times New Roman" w:hAnsi="Times New Roman" w:eastAsia="宋体" w:cs="Times New Roman"/>
                      <w:snapToGrid w:val="0"/>
                      <w:color w:val="auto"/>
                      <w:kern w:val="2"/>
                      <w:sz w:val="21"/>
                      <w:szCs w:val="21"/>
                      <w:highlight w:val="none"/>
                      <w:vertAlign w:val="superscript"/>
                      <w:lang w:val="en-US" w:eastAsia="zh-CN" w:bidi="ar-SA"/>
                    </w:rPr>
                    <w:fldChar w:fldCharType="begin"/>
                  </w:r>
                  <w:r>
                    <w:rPr>
                      <w:rFonts w:ascii="Times New Roman" w:hAnsi="Times New Roman" w:eastAsia="宋体" w:cs="Times New Roman"/>
                      <w:snapToGrid w:val="0"/>
                      <w:color w:val="auto"/>
                      <w:kern w:val="2"/>
                      <w:sz w:val="21"/>
                      <w:szCs w:val="21"/>
                      <w:highlight w:val="none"/>
                      <w:vertAlign w:val="superscript"/>
                      <w:lang w:val="en-US" w:eastAsia="zh-CN" w:bidi="ar-SA"/>
                    </w:rPr>
                    <w:instrText xml:space="preserve"> = 1 \* GB3 </w:instrText>
                  </w:r>
                  <w:r>
                    <w:rPr>
                      <w:rFonts w:ascii="Times New Roman" w:hAnsi="Times New Roman" w:eastAsia="宋体" w:cs="Times New Roman"/>
                      <w:snapToGrid w:val="0"/>
                      <w:color w:val="auto"/>
                      <w:kern w:val="2"/>
                      <w:sz w:val="21"/>
                      <w:szCs w:val="21"/>
                      <w:highlight w:val="none"/>
                      <w:vertAlign w:val="superscript"/>
                      <w:lang w:val="en-US" w:eastAsia="zh-CN" w:bidi="ar-SA"/>
                    </w:rPr>
                    <w:fldChar w:fldCharType="separate"/>
                  </w:r>
                  <w:r>
                    <w:rPr>
                      <w:rFonts w:ascii="Times New Roman" w:hAnsi="Times New Roman" w:eastAsia="宋体" w:cs="Times New Roman"/>
                      <w:snapToGrid w:val="0"/>
                      <w:color w:val="auto"/>
                      <w:kern w:val="2"/>
                      <w:sz w:val="21"/>
                      <w:szCs w:val="21"/>
                      <w:highlight w:val="none"/>
                      <w:vertAlign w:val="superscript"/>
                      <w:lang w:val="en-US" w:eastAsia="zh-CN" w:bidi="ar-SA"/>
                    </w:rPr>
                    <w:t>①</w:t>
                  </w:r>
                  <w:r>
                    <w:rPr>
                      <w:rFonts w:ascii="Times New Roman" w:hAnsi="Times New Roman" w:eastAsia="宋体" w:cs="Times New Roman"/>
                      <w:snapToGrid w:val="0"/>
                      <w:color w:val="auto"/>
                      <w:kern w:val="2"/>
                      <w:sz w:val="21"/>
                      <w:szCs w:val="21"/>
                      <w:highlight w:val="none"/>
                      <w:vertAlign w:val="superscript"/>
                      <w:lang w:val="en-US" w:eastAsia="zh-CN" w:bidi="ar-SA"/>
                    </w:rPr>
                    <w:fldChar w:fldCharType="end"/>
                  </w:r>
                </w:p>
              </w:tc>
            </w:tr>
            <w:tr w14:paraId="2A5B2D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377" w:type="dxa"/>
                  <w:vMerge w:val="continue"/>
                  <w:tcBorders>
                    <w:tl2br w:val="nil"/>
                    <w:tr2bl w:val="nil"/>
                  </w:tcBorders>
                  <w:vAlign w:val="center"/>
                </w:tcPr>
                <w:p w14:paraId="040C847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146" w:type="dxa"/>
                  <w:gridSpan w:val="3"/>
                  <w:tcBorders>
                    <w:tl2br w:val="nil"/>
                    <w:tr2bl w:val="nil"/>
                  </w:tcBorders>
                  <w:shd w:val="clear" w:color="auto" w:fill="auto"/>
                  <w:vAlign w:val="center"/>
                </w:tcPr>
                <w:p w14:paraId="0034F2A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备注：①其中氨氮、TP执行</w:t>
                  </w:r>
                  <w:r>
                    <w:rPr>
                      <w:rFonts w:hint="eastAsia" w:ascii="Times New Roman" w:hAnsi="Times New Roman" w:eastAsia="宋体" w:cs="Times New Roman"/>
                      <w:snapToGrid w:val="0"/>
                      <w:color w:val="auto"/>
                      <w:kern w:val="2"/>
                      <w:sz w:val="21"/>
                      <w:szCs w:val="21"/>
                      <w:highlight w:val="none"/>
                      <w:lang w:val="en-US" w:eastAsia="zh-CN" w:bidi="ar-SA"/>
                    </w:rPr>
                    <w:t>《污水排入城镇下水道水质标准》（</w:t>
                  </w:r>
                  <w:r>
                    <w:rPr>
                      <w:rFonts w:ascii="Times New Roman" w:hAnsi="Times New Roman" w:eastAsia="宋体" w:cs="Times New Roman"/>
                      <w:snapToGrid w:val="0"/>
                      <w:color w:val="auto"/>
                      <w:kern w:val="2"/>
                      <w:sz w:val="21"/>
                      <w:szCs w:val="21"/>
                      <w:highlight w:val="none"/>
                      <w:lang w:val="en-US" w:eastAsia="zh-CN" w:bidi="ar-SA"/>
                    </w:rPr>
                    <w:t>GB/T</w:t>
                  </w:r>
                  <w:r>
                    <w:rPr>
                      <w:rFonts w:hint="eastAsia" w:ascii="Times New Roman" w:hAnsi="Times New Roman" w:eastAsia="宋体" w:cs="Times New Roman"/>
                      <w:snapToGrid w:val="0"/>
                      <w:color w:val="auto"/>
                      <w:kern w:val="2"/>
                      <w:sz w:val="21"/>
                      <w:szCs w:val="21"/>
                      <w:highlight w:val="none"/>
                      <w:lang w:val="en-US" w:eastAsia="zh-CN" w:bidi="ar-SA"/>
                    </w:rPr>
                    <w:t xml:space="preserve"> </w:t>
                  </w:r>
                  <w:r>
                    <w:rPr>
                      <w:rFonts w:ascii="Times New Roman" w:hAnsi="Times New Roman" w:eastAsia="宋体" w:cs="Times New Roman"/>
                      <w:snapToGrid w:val="0"/>
                      <w:color w:val="auto"/>
                      <w:kern w:val="2"/>
                      <w:sz w:val="21"/>
                      <w:szCs w:val="21"/>
                      <w:highlight w:val="none"/>
                      <w:lang w:val="en-US" w:eastAsia="zh-CN" w:bidi="ar-SA"/>
                    </w:rPr>
                    <w:t>31962-2015</w:t>
                  </w:r>
                  <w:r>
                    <w:rPr>
                      <w:rFonts w:hint="eastAsia" w:ascii="Times New Roman" w:hAnsi="Times New Roman" w:eastAsia="宋体" w:cs="Times New Roman"/>
                      <w:snapToGrid w:val="0"/>
                      <w:color w:val="auto"/>
                      <w:kern w:val="2"/>
                      <w:sz w:val="21"/>
                      <w:szCs w:val="21"/>
                      <w:highlight w:val="none"/>
                      <w:lang w:val="en-US" w:eastAsia="zh-CN" w:bidi="ar-SA"/>
                    </w:rPr>
                    <w:t>）</w:t>
                  </w:r>
                  <w:r>
                    <w:rPr>
                      <w:rFonts w:ascii="Times New Roman" w:hAnsi="Times New Roman" w:eastAsia="宋体" w:cs="Times New Roman"/>
                      <w:snapToGrid w:val="0"/>
                      <w:color w:val="auto"/>
                      <w:kern w:val="2"/>
                      <w:sz w:val="21"/>
                      <w:szCs w:val="21"/>
                      <w:highlight w:val="none"/>
                      <w:lang w:val="en-US" w:eastAsia="zh-CN" w:bidi="ar-SA"/>
                    </w:rPr>
                    <w:t>B</w:t>
                  </w:r>
                  <w:r>
                    <w:rPr>
                      <w:rFonts w:hint="eastAsia" w:ascii="Times New Roman" w:hAnsi="Times New Roman" w:eastAsia="宋体" w:cs="Times New Roman"/>
                      <w:snapToGrid w:val="0"/>
                      <w:color w:val="auto"/>
                      <w:kern w:val="2"/>
                      <w:sz w:val="21"/>
                      <w:szCs w:val="21"/>
                      <w:highlight w:val="none"/>
                      <w:lang w:val="en-US" w:eastAsia="zh-CN" w:bidi="ar-SA"/>
                    </w:rPr>
                    <w:t>标准</w:t>
                  </w:r>
                  <w:r>
                    <w:rPr>
                      <w:rFonts w:hint="eastAsia" w:cs="Times New Roman"/>
                      <w:snapToGrid w:val="0"/>
                      <w:color w:val="auto"/>
                      <w:kern w:val="2"/>
                      <w:sz w:val="21"/>
                      <w:szCs w:val="21"/>
                      <w:highlight w:val="none"/>
                      <w:lang w:val="en-US" w:eastAsia="zh-CN" w:bidi="ar-SA"/>
                    </w:rPr>
                    <w:t>。</w:t>
                  </w:r>
                </w:p>
              </w:tc>
            </w:tr>
          </w:tbl>
          <w:p w14:paraId="46A6E776">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1"/>
                <w:szCs w:val="21"/>
                <w:highlight w:val="none"/>
                <w:lang w:val="en-US" w:eastAsia="zh-CN" w:bidi="ar-SA"/>
              </w:rPr>
              <w:t>表4</w:t>
            </w:r>
            <w:r>
              <w:rPr>
                <w:rFonts w:hint="eastAsia" w:ascii="Times New Roman" w:hAnsi="Times New Roman" w:eastAsia="宋体" w:cs="Times New Roman"/>
                <w:b w:val="0"/>
                <w:bCs/>
                <w:color w:val="auto"/>
                <w:kern w:val="2"/>
                <w:sz w:val="21"/>
                <w:szCs w:val="21"/>
                <w:highlight w:val="none"/>
                <w:lang w:val="en-US" w:eastAsia="zh-CN" w:bidi="ar-SA"/>
              </w:rPr>
              <w:t>.2-6</w:t>
            </w:r>
            <w:r>
              <w:rPr>
                <w:rFonts w:ascii="Times New Roman" w:hAnsi="Times New Roman" w:eastAsia="宋体" w:cs="Times New Roman"/>
                <w:b w:val="0"/>
                <w:bCs/>
                <w:color w:val="auto"/>
                <w:kern w:val="2"/>
                <w:sz w:val="21"/>
                <w:szCs w:val="21"/>
                <w:highlight w:val="none"/>
                <w:lang w:val="en-US" w:eastAsia="zh-CN" w:bidi="ar-SA"/>
              </w:rPr>
              <w:t xml:space="preserve"> 废水污染物排放信息表</w:t>
            </w:r>
          </w:p>
          <w:tbl>
            <w:tblPr>
              <w:tblStyle w:val="21"/>
              <w:tblW w:w="12518"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332"/>
              <w:gridCol w:w="2562"/>
              <w:gridCol w:w="2164"/>
              <w:gridCol w:w="3093"/>
              <w:gridCol w:w="3367"/>
            </w:tblGrid>
            <w:tr w14:paraId="083662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87" w:hRule="atLeast"/>
              </w:trPr>
              <w:tc>
                <w:tcPr>
                  <w:tcW w:w="1332" w:type="dxa"/>
                  <w:tcBorders>
                    <w:tl2br w:val="nil"/>
                    <w:tr2bl w:val="nil"/>
                  </w:tcBorders>
                  <w:vAlign w:val="center"/>
                </w:tcPr>
                <w:p w14:paraId="38588C0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序号</w:t>
                  </w:r>
                </w:p>
              </w:tc>
              <w:tc>
                <w:tcPr>
                  <w:tcW w:w="2562" w:type="dxa"/>
                  <w:tcBorders>
                    <w:tl2br w:val="nil"/>
                    <w:tr2bl w:val="nil"/>
                  </w:tcBorders>
                  <w:vAlign w:val="center"/>
                </w:tcPr>
                <w:p w14:paraId="1867D0E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2164" w:type="dxa"/>
                  <w:tcBorders>
                    <w:tl2br w:val="nil"/>
                    <w:tr2bl w:val="nil"/>
                  </w:tcBorders>
                  <w:vAlign w:val="center"/>
                </w:tcPr>
                <w:p w14:paraId="05BB71A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污染物种类</w:t>
                  </w:r>
                </w:p>
              </w:tc>
              <w:tc>
                <w:tcPr>
                  <w:tcW w:w="3093" w:type="dxa"/>
                  <w:tcBorders>
                    <w:tl2br w:val="nil"/>
                    <w:tr2bl w:val="nil"/>
                  </w:tcBorders>
                  <w:vAlign w:val="center"/>
                </w:tcPr>
                <w:p w14:paraId="4B91444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排放浓度/（mg/L）</w:t>
                  </w:r>
                </w:p>
              </w:tc>
              <w:tc>
                <w:tcPr>
                  <w:tcW w:w="3367" w:type="dxa"/>
                  <w:tcBorders>
                    <w:tl2br w:val="nil"/>
                    <w:tr2bl w:val="nil"/>
                  </w:tcBorders>
                  <w:vAlign w:val="center"/>
                </w:tcPr>
                <w:p w14:paraId="09424D9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年</w:t>
                  </w:r>
                  <w:r>
                    <w:rPr>
                      <w:rFonts w:ascii="Times New Roman" w:hAnsi="Times New Roman" w:eastAsia="宋体" w:cs="Times New Roman"/>
                      <w:snapToGrid w:val="0"/>
                      <w:color w:val="auto"/>
                      <w:kern w:val="2"/>
                      <w:sz w:val="21"/>
                      <w:szCs w:val="21"/>
                      <w:highlight w:val="none"/>
                      <w:lang w:val="en-US" w:eastAsia="zh-CN" w:bidi="ar-SA"/>
                    </w:rPr>
                    <w:t>排放量/（t/a）</w:t>
                  </w:r>
                </w:p>
              </w:tc>
            </w:tr>
            <w:tr w14:paraId="3AE5C4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restart"/>
                  <w:tcBorders>
                    <w:tl2br w:val="nil"/>
                    <w:tr2bl w:val="nil"/>
                  </w:tcBorders>
                  <w:vAlign w:val="center"/>
                </w:tcPr>
                <w:p w14:paraId="06C1C2AC">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562" w:type="dxa"/>
                  <w:vMerge w:val="restart"/>
                  <w:tcBorders>
                    <w:tl2br w:val="nil"/>
                    <w:tr2bl w:val="nil"/>
                  </w:tcBorders>
                  <w:vAlign w:val="center"/>
                </w:tcPr>
                <w:p w14:paraId="1F3D67B1">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DW001</w:t>
                  </w:r>
                </w:p>
              </w:tc>
              <w:tc>
                <w:tcPr>
                  <w:tcW w:w="2164" w:type="dxa"/>
                  <w:tcBorders>
                    <w:tl2br w:val="nil"/>
                    <w:tr2bl w:val="nil"/>
                  </w:tcBorders>
                  <w:vAlign w:val="center"/>
                </w:tcPr>
                <w:p w14:paraId="46BA271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b w:val="0"/>
                      <w:bCs/>
                      <w:color w:val="auto"/>
                      <w:spacing w:val="0"/>
                      <w:sz w:val="21"/>
                      <w:szCs w:val="21"/>
                      <w:vertAlign w:val="baseline"/>
                      <w:lang w:val="en-US" w:eastAsia="zh-CN"/>
                    </w:rPr>
                    <w:t>粪大肠菌群</w:t>
                  </w:r>
                </w:p>
              </w:tc>
              <w:tc>
                <w:tcPr>
                  <w:tcW w:w="3093" w:type="dxa"/>
                  <w:tcBorders>
                    <w:tl2br w:val="nil"/>
                    <w:tr2bl w:val="nil"/>
                  </w:tcBorders>
                  <w:shd w:val="clear" w:color="auto" w:fill="auto"/>
                  <w:vAlign w:val="center"/>
                </w:tcPr>
                <w:p w14:paraId="29F7E3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sz w:val="21"/>
                      <w:szCs w:val="21"/>
                      <w:vertAlign w:val="baseline"/>
                      <w:lang w:val="en-US" w:eastAsia="zh-CN"/>
                    </w:rPr>
                    <w:t>5000个/L</w:t>
                  </w:r>
                </w:p>
              </w:tc>
              <w:tc>
                <w:tcPr>
                  <w:tcW w:w="3367" w:type="dxa"/>
                  <w:tcBorders>
                    <w:tl2br w:val="nil"/>
                    <w:tr2bl w:val="nil"/>
                  </w:tcBorders>
                  <w:shd w:val="clear" w:color="auto" w:fill="auto"/>
                  <w:vAlign w:val="center"/>
                </w:tcPr>
                <w:p w14:paraId="3D37C9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eastAsia" w:cs="Times New Roman"/>
                      <w:b w:val="0"/>
                      <w:bCs/>
                      <w:color w:val="auto"/>
                      <w:spacing w:val="0"/>
                      <w:sz w:val="21"/>
                      <w:szCs w:val="21"/>
                      <w:vertAlign w:val="baseline"/>
                      <w:lang w:val="en-US" w:eastAsia="zh-CN"/>
                    </w:rPr>
                    <w:t>2.053</w:t>
                  </w:r>
                  <w:r>
                    <w:rPr>
                      <w:rFonts w:hint="eastAsia" w:ascii="Times New Roman" w:hAnsi="Times New Roman" w:eastAsia="宋体" w:cs="Times New Roman"/>
                      <w:b w:val="0"/>
                      <w:bCs/>
                      <w:color w:val="auto"/>
                      <w:spacing w:val="0"/>
                      <w:sz w:val="21"/>
                      <w:szCs w:val="21"/>
                      <w:vertAlign w:val="baseline"/>
                      <w:lang w:val="en-US" w:eastAsia="zh-CN"/>
                    </w:rPr>
                    <w:t>×10</w:t>
                  </w:r>
                  <w:r>
                    <w:rPr>
                      <w:rFonts w:hint="eastAsia" w:ascii="Times New Roman" w:hAnsi="Times New Roman" w:eastAsia="宋体" w:cs="Times New Roman"/>
                      <w:b w:val="0"/>
                      <w:bCs/>
                      <w:color w:val="auto"/>
                      <w:spacing w:val="0"/>
                      <w:sz w:val="21"/>
                      <w:szCs w:val="21"/>
                      <w:vertAlign w:val="superscript"/>
                      <w:lang w:val="en-US" w:eastAsia="zh-CN"/>
                    </w:rPr>
                    <w:t>8</w:t>
                  </w:r>
                  <w:r>
                    <w:rPr>
                      <w:rFonts w:hint="eastAsia" w:ascii="Times New Roman" w:hAnsi="Times New Roman" w:eastAsia="宋体" w:cs="Times New Roman"/>
                      <w:b w:val="0"/>
                      <w:bCs/>
                      <w:color w:val="auto"/>
                      <w:spacing w:val="0"/>
                      <w:sz w:val="21"/>
                      <w:szCs w:val="21"/>
                      <w:vertAlign w:val="baseline"/>
                      <w:lang w:val="en-US" w:eastAsia="zh-CN"/>
                    </w:rPr>
                    <w:t>个/L</w:t>
                  </w:r>
                </w:p>
              </w:tc>
            </w:tr>
            <w:tr w14:paraId="7AE5FD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34698F1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19DCF10A">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vAlign w:val="center"/>
                </w:tcPr>
                <w:p w14:paraId="607F281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3093" w:type="dxa"/>
                  <w:tcBorders>
                    <w:tl2br w:val="nil"/>
                    <w:tr2bl w:val="nil"/>
                  </w:tcBorders>
                  <w:shd w:val="clear" w:color="auto" w:fill="auto"/>
                  <w:vAlign w:val="center"/>
                </w:tcPr>
                <w:p w14:paraId="08A1DA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sz w:val="21"/>
                      <w:szCs w:val="21"/>
                      <w:vertAlign w:val="baseline"/>
                      <w:lang w:val="en-US" w:eastAsia="zh-CN"/>
                    </w:rPr>
                    <w:t>2~8</w:t>
                  </w:r>
                </w:p>
              </w:tc>
              <w:tc>
                <w:tcPr>
                  <w:tcW w:w="3367" w:type="dxa"/>
                  <w:tcBorders>
                    <w:tl2br w:val="nil"/>
                    <w:tr2bl w:val="nil"/>
                  </w:tcBorders>
                  <w:shd w:val="clear" w:color="auto" w:fill="auto"/>
                  <w:vAlign w:val="center"/>
                </w:tcPr>
                <w:p w14:paraId="06A6C5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sz w:val="21"/>
                      <w:szCs w:val="21"/>
                      <w:vertAlign w:val="baseline"/>
                      <w:lang w:val="en-US" w:eastAsia="zh-CN"/>
                    </w:rPr>
                    <w:t>0.000</w:t>
                  </w:r>
                  <w:r>
                    <w:rPr>
                      <w:rFonts w:hint="eastAsia" w:cs="Times New Roman"/>
                      <w:b w:val="0"/>
                      <w:bCs/>
                      <w:color w:val="auto"/>
                      <w:spacing w:val="0"/>
                      <w:sz w:val="21"/>
                      <w:szCs w:val="21"/>
                      <w:vertAlign w:val="baseline"/>
                      <w:lang w:val="en-US" w:eastAsia="zh-CN"/>
                    </w:rPr>
                    <w:t>1</w:t>
                  </w:r>
                  <w:r>
                    <w:rPr>
                      <w:rFonts w:hint="eastAsia" w:ascii="Times New Roman" w:hAnsi="Times New Roman" w:eastAsia="宋体" w:cs="Times New Roman"/>
                      <w:b w:val="0"/>
                      <w:bCs/>
                      <w:color w:val="auto"/>
                      <w:spacing w:val="0"/>
                      <w:sz w:val="21"/>
                      <w:szCs w:val="21"/>
                      <w:vertAlign w:val="baseline"/>
                      <w:lang w:val="en-US" w:eastAsia="zh-CN"/>
                    </w:rPr>
                    <w:t>~0.000</w:t>
                  </w:r>
                  <w:r>
                    <w:rPr>
                      <w:rFonts w:hint="eastAsia" w:cs="Times New Roman"/>
                      <w:b w:val="0"/>
                      <w:bCs/>
                      <w:color w:val="auto"/>
                      <w:spacing w:val="0"/>
                      <w:sz w:val="21"/>
                      <w:szCs w:val="21"/>
                      <w:vertAlign w:val="baseline"/>
                      <w:lang w:val="en-US" w:eastAsia="zh-CN"/>
                    </w:rPr>
                    <w:t>3</w:t>
                  </w:r>
                </w:p>
              </w:tc>
            </w:tr>
            <w:tr w14:paraId="44CF65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92" w:hRule="atLeast"/>
              </w:trPr>
              <w:tc>
                <w:tcPr>
                  <w:tcW w:w="1332" w:type="dxa"/>
                  <w:vMerge w:val="restart"/>
                  <w:tcBorders>
                    <w:tl2br w:val="nil"/>
                    <w:tr2bl w:val="nil"/>
                  </w:tcBorders>
                  <w:vAlign w:val="center"/>
                </w:tcPr>
                <w:p w14:paraId="0088A2E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2562" w:type="dxa"/>
                  <w:vMerge w:val="restart"/>
                  <w:tcBorders>
                    <w:tl2br w:val="nil"/>
                    <w:tr2bl w:val="nil"/>
                  </w:tcBorders>
                  <w:vAlign w:val="center"/>
                </w:tcPr>
                <w:p w14:paraId="6C92616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DW002</w:t>
                  </w:r>
                </w:p>
              </w:tc>
              <w:tc>
                <w:tcPr>
                  <w:tcW w:w="2164" w:type="dxa"/>
                  <w:tcBorders>
                    <w:tl2br w:val="nil"/>
                    <w:tr2bl w:val="nil"/>
                  </w:tcBorders>
                  <w:vAlign w:val="center"/>
                </w:tcPr>
                <w:p w14:paraId="09573114">
                  <w:pPr>
                    <w:widowControl w:val="0"/>
                    <w:snapToGrid w:val="0"/>
                    <w:spacing w:line="240" w:lineRule="auto"/>
                    <w:ind w:firstLine="0" w:firstLineChars="0"/>
                    <w:jc w:val="center"/>
                    <w:rPr>
                      <w:rFonts w:hint="eastAsia" w:cs="Times New Roman"/>
                      <w:snapToGrid w:val="0"/>
                      <w:color w:val="auto"/>
                      <w:kern w:val="2"/>
                      <w:sz w:val="21"/>
                      <w:szCs w:val="21"/>
                      <w:highlight w:val="none"/>
                      <w:lang w:val="en-US" w:eastAsia="zh-CN" w:bidi="ar-SA"/>
                    </w:rPr>
                  </w:pPr>
                  <w:r>
                    <w:rPr>
                      <w:rFonts w:hint="eastAsia" w:cs="Times New Roman"/>
                      <w:b w:val="0"/>
                      <w:bCs/>
                      <w:color w:val="auto"/>
                      <w:spacing w:val="0"/>
                      <w:sz w:val="21"/>
                      <w:szCs w:val="21"/>
                      <w:vertAlign w:val="baseline"/>
                      <w:lang w:val="en-US" w:eastAsia="zh-CN"/>
                    </w:rPr>
                    <w:t>粪大肠菌群</w:t>
                  </w:r>
                </w:p>
              </w:tc>
              <w:tc>
                <w:tcPr>
                  <w:tcW w:w="3093" w:type="dxa"/>
                  <w:tcBorders>
                    <w:tl2br w:val="nil"/>
                    <w:tr2bl w:val="nil"/>
                  </w:tcBorders>
                  <w:shd w:val="clear" w:color="auto" w:fill="auto"/>
                  <w:vAlign w:val="center"/>
                </w:tcPr>
                <w:p w14:paraId="1CDE86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5000个/L</w:t>
                  </w:r>
                </w:p>
              </w:tc>
              <w:tc>
                <w:tcPr>
                  <w:tcW w:w="3367" w:type="dxa"/>
                  <w:tcBorders>
                    <w:tl2br w:val="nil"/>
                    <w:tr2bl w:val="nil"/>
                  </w:tcBorders>
                  <w:shd w:val="clear" w:color="auto" w:fill="auto"/>
                  <w:vAlign w:val="center"/>
                </w:tcPr>
                <w:p w14:paraId="654801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 w:val="0"/>
                      <w:bCs/>
                      <w:color w:val="auto"/>
                      <w:spacing w:val="0"/>
                      <w:sz w:val="21"/>
                      <w:szCs w:val="21"/>
                      <w:vertAlign w:val="baseline"/>
                      <w:lang w:val="en-US" w:eastAsia="zh-CN"/>
                    </w:rPr>
                  </w:pPr>
                  <w:r>
                    <w:rPr>
                      <w:rFonts w:hint="eastAsia" w:cs="Times New Roman"/>
                      <w:b w:val="0"/>
                      <w:bCs/>
                      <w:color w:val="auto"/>
                      <w:spacing w:val="0"/>
                      <w:sz w:val="21"/>
                      <w:szCs w:val="21"/>
                      <w:vertAlign w:val="baseline"/>
                      <w:lang w:val="en-US" w:eastAsia="zh-CN"/>
                    </w:rPr>
                    <w:t>8.541</w:t>
                  </w:r>
                  <w:r>
                    <w:rPr>
                      <w:rFonts w:hint="eastAsia" w:ascii="Times New Roman" w:hAnsi="Times New Roman" w:eastAsia="宋体" w:cs="Times New Roman"/>
                      <w:b w:val="0"/>
                      <w:bCs/>
                      <w:color w:val="auto"/>
                      <w:spacing w:val="0"/>
                      <w:sz w:val="21"/>
                      <w:szCs w:val="21"/>
                      <w:vertAlign w:val="baseline"/>
                      <w:lang w:val="en-US" w:eastAsia="zh-CN"/>
                    </w:rPr>
                    <w:t>×10</w:t>
                  </w:r>
                  <w:r>
                    <w:rPr>
                      <w:rFonts w:hint="eastAsia" w:ascii="Times New Roman" w:hAnsi="Times New Roman" w:eastAsia="宋体" w:cs="Times New Roman"/>
                      <w:b w:val="0"/>
                      <w:bCs/>
                      <w:color w:val="auto"/>
                      <w:spacing w:val="0"/>
                      <w:sz w:val="21"/>
                      <w:szCs w:val="21"/>
                      <w:vertAlign w:val="superscript"/>
                      <w:lang w:val="en-US" w:eastAsia="zh-CN"/>
                    </w:rPr>
                    <w:t>8</w:t>
                  </w:r>
                  <w:r>
                    <w:rPr>
                      <w:rFonts w:hint="eastAsia" w:ascii="Times New Roman" w:hAnsi="Times New Roman" w:eastAsia="宋体" w:cs="Times New Roman"/>
                      <w:b w:val="0"/>
                      <w:bCs/>
                      <w:color w:val="auto"/>
                      <w:spacing w:val="0"/>
                      <w:sz w:val="21"/>
                      <w:szCs w:val="21"/>
                      <w:vertAlign w:val="baseline"/>
                      <w:lang w:val="en-US" w:eastAsia="zh-CN"/>
                    </w:rPr>
                    <w:t>个/L</w:t>
                  </w:r>
                </w:p>
              </w:tc>
            </w:tr>
            <w:tr w14:paraId="1B2947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4CB21CC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3D330DC3">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vAlign w:val="center"/>
                </w:tcPr>
                <w:p w14:paraId="53A346DD">
                  <w:pPr>
                    <w:widowControl w:val="0"/>
                    <w:snapToGrid w:val="0"/>
                    <w:spacing w:line="240" w:lineRule="auto"/>
                    <w:ind w:firstLine="0" w:firstLineChars="0"/>
                    <w:jc w:val="center"/>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3093" w:type="dxa"/>
                  <w:tcBorders>
                    <w:tl2br w:val="nil"/>
                    <w:tr2bl w:val="nil"/>
                  </w:tcBorders>
                  <w:shd w:val="clear" w:color="auto" w:fill="auto"/>
                  <w:vAlign w:val="center"/>
                </w:tcPr>
                <w:p w14:paraId="1B1EC8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2~8</w:t>
                  </w:r>
                </w:p>
              </w:tc>
              <w:tc>
                <w:tcPr>
                  <w:tcW w:w="3367" w:type="dxa"/>
                  <w:tcBorders>
                    <w:tl2br w:val="nil"/>
                    <w:tr2bl w:val="nil"/>
                  </w:tcBorders>
                  <w:shd w:val="clear" w:color="auto" w:fill="auto"/>
                  <w:vAlign w:val="center"/>
                </w:tcPr>
                <w:p w14:paraId="0E054A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0.000</w:t>
                  </w:r>
                  <w:r>
                    <w:rPr>
                      <w:rFonts w:hint="eastAsia" w:cs="Times New Roman"/>
                      <w:b w:val="0"/>
                      <w:bCs/>
                      <w:color w:val="auto"/>
                      <w:spacing w:val="0"/>
                      <w:sz w:val="21"/>
                      <w:szCs w:val="21"/>
                      <w:vertAlign w:val="baseline"/>
                      <w:lang w:val="en-US" w:eastAsia="zh-CN"/>
                    </w:rPr>
                    <w:t>3</w:t>
                  </w:r>
                  <w:r>
                    <w:rPr>
                      <w:rFonts w:hint="eastAsia" w:ascii="Times New Roman" w:hAnsi="Times New Roman" w:eastAsia="宋体" w:cs="Times New Roman"/>
                      <w:b w:val="0"/>
                      <w:bCs/>
                      <w:color w:val="auto"/>
                      <w:spacing w:val="0"/>
                      <w:sz w:val="21"/>
                      <w:szCs w:val="21"/>
                      <w:vertAlign w:val="baseline"/>
                      <w:lang w:val="en-US" w:eastAsia="zh-CN"/>
                    </w:rPr>
                    <w:t>~0.00</w:t>
                  </w:r>
                  <w:r>
                    <w:rPr>
                      <w:rFonts w:hint="eastAsia" w:cs="Times New Roman"/>
                      <w:b w:val="0"/>
                      <w:bCs/>
                      <w:color w:val="auto"/>
                      <w:spacing w:val="0"/>
                      <w:sz w:val="21"/>
                      <w:szCs w:val="21"/>
                      <w:vertAlign w:val="baseline"/>
                      <w:lang w:val="en-US" w:eastAsia="zh-CN"/>
                    </w:rPr>
                    <w:t>14</w:t>
                  </w:r>
                </w:p>
              </w:tc>
            </w:tr>
            <w:tr w14:paraId="6FEC41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restart"/>
                  <w:tcBorders>
                    <w:tl2br w:val="nil"/>
                    <w:tr2bl w:val="nil"/>
                  </w:tcBorders>
                  <w:vAlign w:val="center"/>
                </w:tcPr>
                <w:p w14:paraId="7903552C">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w:t>
                  </w:r>
                </w:p>
              </w:tc>
              <w:tc>
                <w:tcPr>
                  <w:tcW w:w="2562" w:type="dxa"/>
                  <w:vMerge w:val="restart"/>
                  <w:tcBorders>
                    <w:tl2br w:val="nil"/>
                    <w:tr2bl w:val="nil"/>
                  </w:tcBorders>
                  <w:vAlign w:val="center"/>
                </w:tcPr>
                <w:p w14:paraId="5787DE1A">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DW003</w:t>
                  </w:r>
                </w:p>
              </w:tc>
              <w:tc>
                <w:tcPr>
                  <w:tcW w:w="2164" w:type="dxa"/>
                  <w:tcBorders>
                    <w:tl2br w:val="nil"/>
                    <w:tr2bl w:val="nil"/>
                  </w:tcBorders>
                  <w:shd w:val="clear" w:color="auto" w:fill="auto"/>
                  <w:vAlign w:val="center"/>
                </w:tcPr>
                <w:p w14:paraId="51539554">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eastAsia"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p>
              </w:tc>
              <w:tc>
                <w:tcPr>
                  <w:tcW w:w="3093" w:type="dxa"/>
                  <w:tcBorders>
                    <w:tl2br w:val="nil"/>
                    <w:tr2bl w:val="nil"/>
                  </w:tcBorders>
                  <w:vAlign w:val="center"/>
                </w:tcPr>
                <w:p w14:paraId="6F9720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6~9</w:t>
                  </w:r>
                </w:p>
              </w:tc>
              <w:tc>
                <w:tcPr>
                  <w:tcW w:w="3367" w:type="dxa"/>
                  <w:tcBorders>
                    <w:tl2br w:val="nil"/>
                    <w:tr2bl w:val="nil"/>
                  </w:tcBorders>
                  <w:shd w:val="clear" w:color="auto" w:fill="auto"/>
                  <w:vAlign w:val="center"/>
                </w:tcPr>
                <w:p w14:paraId="0E7694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vertAlign w:val="baseline"/>
                      <w:lang w:val="en-US" w:eastAsia="zh-CN"/>
                    </w:rPr>
                    <w:t>/</w:t>
                  </w:r>
                </w:p>
              </w:tc>
            </w:tr>
            <w:tr w14:paraId="48D48F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7F64A2B0">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0024415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shd w:val="clear" w:color="auto" w:fill="auto"/>
                  <w:vAlign w:val="center"/>
                </w:tcPr>
                <w:p w14:paraId="7BE207CC">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093" w:type="dxa"/>
                  <w:tcBorders>
                    <w:tl2br w:val="nil"/>
                    <w:tr2bl w:val="nil"/>
                  </w:tcBorders>
                  <w:shd w:val="clear" w:color="auto" w:fill="auto"/>
                  <w:vAlign w:val="center"/>
                </w:tcPr>
                <w:p w14:paraId="3C9C43AA">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3367" w:type="dxa"/>
                  <w:tcBorders>
                    <w:tl2br w:val="nil"/>
                    <w:tr2bl w:val="nil"/>
                  </w:tcBorders>
                  <w:shd w:val="clear" w:color="auto" w:fill="auto"/>
                  <w:vAlign w:val="center"/>
                </w:tcPr>
                <w:p w14:paraId="2284ECD0">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0.207 </w:t>
                  </w:r>
                </w:p>
              </w:tc>
            </w:tr>
            <w:tr w14:paraId="00B66C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597A2F3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0859648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shd w:val="clear" w:color="auto" w:fill="auto"/>
                  <w:vAlign w:val="center"/>
                </w:tcPr>
                <w:p w14:paraId="25B77D51">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BOD</w:t>
                  </w:r>
                  <w:r>
                    <w:rPr>
                      <w:rStyle w:val="59"/>
                      <w:rFonts w:ascii="Times New Roman" w:hAnsi="Times New Roman" w:eastAsia="宋体"/>
                      <w:color w:val="auto"/>
                      <w:sz w:val="21"/>
                      <w:lang w:val="en-US" w:eastAsia="zh-CN" w:bidi="ar"/>
                    </w:rPr>
                    <w:t>5</w:t>
                  </w:r>
                </w:p>
              </w:tc>
              <w:tc>
                <w:tcPr>
                  <w:tcW w:w="3093" w:type="dxa"/>
                  <w:tcBorders>
                    <w:tl2br w:val="nil"/>
                    <w:tr2bl w:val="nil"/>
                  </w:tcBorders>
                  <w:shd w:val="clear" w:color="auto" w:fill="auto"/>
                  <w:vAlign w:val="center"/>
                </w:tcPr>
                <w:p w14:paraId="0F07D29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3367" w:type="dxa"/>
                  <w:tcBorders>
                    <w:tl2br w:val="nil"/>
                    <w:tr2bl w:val="nil"/>
                  </w:tcBorders>
                  <w:shd w:val="clear" w:color="auto" w:fill="auto"/>
                  <w:vAlign w:val="center"/>
                </w:tcPr>
                <w:p w14:paraId="46908626">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0.069 </w:t>
                  </w:r>
                </w:p>
              </w:tc>
            </w:tr>
            <w:tr w14:paraId="0929C6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73CFC49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5DE8E37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shd w:val="clear" w:color="auto" w:fill="auto"/>
                  <w:vAlign w:val="center"/>
                </w:tcPr>
                <w:p w14:paraId="44DCF244">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宋体"/>
                      <w:i w:val="0"/>
                      <w:iCs w:val="0"/>
                      <w:color w:val="auto"/>
                      <w:kern w:val="0"/>
                      <w:sz w:val="21"/>
                      <w:szCs w:val="21"/>
                      <w:u w:val="none"/>
                      <w:lang w:val="en-US" w:eastAsia="zh-CN" w:bidi="ar"/>
                    </w:rPr>
                    <w:t>氨氮</w:t>
                  </w:r>
                </w:p>
              </w:tc>
              <w:tc>
                <w:tcPr>
                  <w:tcW w:w="3093" w:type="dxa"/>
                  <w:tcBorders>
                    <w:tl2br w:val="nil"/>
                    <w:tr2bl w:val="nil"/>
                  </w:tcBorders>
                  <w:shd w:val="clear" w:color="auto" w:fill="auto"/>
                  <w:vAlign w:val="center"/>
                </w:tcPr>
                <w:p w14:paraId="48AC7338">
                  <w:pPr>
                    <w:keepNext w:val="0"/>
                    <w:keepLines w:val="0"/>
                    <w:widowControl/>
                    <w:suppressLineNumbers w:val="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10</w:t>
                  </w:r>
                </w:p>
              </w:tc>
              <w:tc>
                <w:tcPr>
                  <w:tcW w:w="3367" w:type="dxa"/>
                  <w:tcBorders>
                    <w:tl2br w:val="nil"/>
                    <w:tr2bl w:val="nil"/>
                  </w:tcBorders>
                  <w:shd w:val="clear" w:color="auto" w:fill="auto"/>
                  <w:vAlign w:val="center"/>
                </w:tcPr>
                <w:p w14:paraId="57EE9F1E">
                  <w:pPr>
                    <w:keepNext w:val="0"/>
                    <w:keepLines w:val="0"/>
                    <w:widowControl/>
                    <w:suppressLineNumbers w:val="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14:paraId="2E13B9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7610189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39811C93">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shd w:val="clear" w:color="auto" w:fill="auto"/>
                  <w:vAlign w:val="center"/>
                </w:tcPr>
                <w:p w14:paraId="4F97DCC3">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093" w:type="dxa"/>
                  <w:tcBorders>
                    <w:tl2br w:val="nil"/>
                    <w:tr2bl w:val="nil"/>
                  </w:tcBorders>
                  <w:shd w:val="clear" w:color="auto" w:fill="auto"/>
                  <w:vAlign w:val="center"/>
                </w:tcPr>
                <w:p w14:paraId="0A74B4CA">
                  <w:pPr>
                    <w:keepNext w:val="0"/>
                    <w:keepLines w:val="0"/>
                    <w:widowControl/>
                    <w:suppressLineNumbers w:val="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3367" w:type="dxa"/>
                  <w:tcBorders>
                    <w:tl2br w:val="nil"/>
                    <w:tr2bl w:val="nil"/>
                  </w:tcBorders>
                  <w:shd w:val="clear" w:color="auto" w:fill="auto"/>
                  <w:vAlign w:val="center"/>
                </w:tcPr>
                <w:p w14:paraId="3BECD813">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0.173 </w:t>
                  </w:r>
                </w:p>
              </w:tc>
            </w:tr>
            <w:tr w14:paraId="4497D4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637BB3D0">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7ECE6CB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shd w:val="clear" w:color="auto" w:fill="auto"/>
                  <w:vAlign w:val="center"/>
                </w:tcPr>
                <w:p w14:paraId="168B6864">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宋体"/>
                      <w:i w:val="0"/>
                      <w:iCs w:val="0"/>
                      <w:color w:val="auto"/>
                      <w:kern w:val="0"/>
                      <w:sz w:val="21"/>
                      <w:szCs w:val="21"/>
                      <w:u w:val="none"/>
                      <w:lang w:val="en-US" w:eastAsia="zh-CN" w:bidi="ar"/>
                    </w:rPr>
                    <w:t>粪大肠菌群</w:t>
                  </w:r>
                </w:p>
              </w:tc>
              <w:tc>
                <w:tcPr>
                  <w:tcW w:w="3093" w:type="dxa"/>
                  <w:tcBorders>
                    <w:tl2br w:val="nil"/>
                    <w:tr2bl w:val="nil"/>
                  </w:tcBorders>
                  <w:shd w:val="clear" w:color="auto" w:fill="auto"/>
                  <w:vAlign w:val="center"/>
                </w:tcPr>
                <w:p w14:paraId="2A0A0C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sz w:val="21"/>
                      <w:szCs w:val="21"/>
                      <w:vertAlign w:val="baseline"/>
                      <w:lang w:val="en-US" w:eastAsia="zh-CN"/>
                    </w:rPr>
                    <w:t>5000个/L</w:t>
                  </w:r>
                </w:p>
              </w:tc>
              <w:tc>
                <w:tcPr>
                  <w:tcW w:w="3367" w:type="dxa"/>
                  <w:tcBorders>
                    <w:tl2br w:val="nil"/>
                    <w:tr2bl w:val="nil"/>
                  </w:tcBorders>
                  <w:shd w:val="clear" w:color="auto" w:fill="auto"/>
                  <w:vAlign w:val="center"/>
                </w:tcPr>
                <w:p w14:paraId="496E65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sz w:val="21"/>
                      <w:szCs w:val="21"/>
                      <w:vertAlign w:val="baseline"/>
                      <w:lang w:val="en-US" w:eastAsia="zh-CN"/>
                    </w:rPr>
                    <w:t>3.</w:t>
                  </w:r>
                  <w:r>
                    <w:rPr>
                      <w:rFonts w:hint="eastAsia" w:cs="Times New Roman"/>
                      <w:b w:val="0"/>
                      <w:bCs/>
                      <w:color w:val="auto"/>
                      <w:spacing w:val="0"/>
                      <w:sz w:val="21"/>
                      <w:szCs w:val="21"/>
                      <w:vertAlign w:val="baseline"/>
                      <w:lang w:val="en-US" w:eastAsia="zh-CN"/>
                    </w:rPr>
                    <w:t>457</w:t>
                  </w:r>
                  <w:r>
                    <w:rPr>
                      <w:rFonts w:hint="eastAsia" w:ascii="Times New Roman" w:hAnsi="Times New Roman" w:eastAsia="宋体" w:cs="Times New Roman"/>
                      <w:b w:val="0"/>
                      <w:bCs/>
                      <w:color w:val="auto"/>
                      <w:spacing w:val="0"/>
                      <w:sz w:val="21"/>
                      <w:szCs w:val="21"/>
                      <w:vertAlign w:val="baseline"/>
                      <w:lang w:val="en-US" w:eastAsia="zh-CN"/>
                    </w:rPr>
                    <w:t>×10</w:t>
                  </w:r>
                  <w:r>
                    <w:rPr>
                      <w:rFonts w:hint="eastAsia" w:ascii="Times New Roman" w:hAnsi="Times New Roman" w:eastAsia="宋体" w:cs="Times New Roman"/>
                      <w:b w:val="0"/>
                      <w:bCs/>
                      <w:color w:val="auto"/>
                      <w:spacing w:val="0"/>
                      <w:sz w:val="21"/>
                      <w:szCs w:val="21"/>
                      <w:vertAlign w:val="superscript"/>
                      <w:lang w:val="en-US" w:eastAsia="zh-CN"/>
                    </w:rPr>
                    <w:t>9</w:t>
                  </w:r>
                  <w:r>
                    <w:rPr>
                      <w:rFonts w:hint="eastAsia" w:ascii="Times New Roman" w:hAnsi="Times New Roman" w:eastAsia="宋体" w:cs="Times New Roman"/>
                      <w:b w:val="0"/>
                      <w:bCs/>
                      <w:color w:val="auto"/>
                      <w:spacing w:val="0"/>
                      <w:sz w:val="21"/>
                      <w:szCs w:val="21"/>
                      <w:vertAlign w:val="baseline"/>
                      <w:lang w:val="en-US" w:eastAsia="zh-CN"/>
                    </w:rPr>
                    <w:t>个</w:t>
                  </w:r>
                </w:p>
              </w:tc>
            </w:tr>
            <w:tr w14:paraId="49FEB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6F2BBC2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3F1550E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shd w:val="clear" w:color="auto" w:fill="auto"/>
                  <w:vAlign w:val="center"/>
                </w:tcPr>
                <w:p w14:paraId="177E1683">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3093" w:type="dxa"/>
                  <w:tcBorders>
                    <w:tl2br w:val="nil"/>
                    <w:tr2bl w:val="nil"/>
                  </w:tcBorders>
                  <w:shd w:val="clear" w:color="auto" w:fill="auto"/>
                  <w:vAlign w:val="center"/>
                </w:tcPr>
                <w:p w14:paraId="1902AB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color w:val="auto"/>
                      <w:spacing w:val="0"/>
                      <w:kern w:val="2"/>
                      <w:sz w:val="21"/>
                      <w:szCs w:val="21"/>
                      <w:vertAlign w:val="baseline"/>
                      <w:lang w:val="en-US" w:eastAsia="zh-CN" w:bidi="ar-SA"/>
                    </w:rPr>
                  </w:pPr>
                  <w:r>
                    <w:rPr>
                      <w:rFonts w:hint="eastAsia" w:ascii="Times New Roman" w:hAnsi="Times New Roman" w:eastAsia="宋体" w:cs="Times New Roman"/>
                      <w:b w:val="0"/>
                      <w:bCs/>
                      <w:color w:val="auto"/>
                      <w:spacing w:val="0"/>
                      <w:kern w:val="2"/>
                      <w:sz w:val="21"/>
                      <w:szCs w:val="21"/>
                      <w:highlight w:val="none"/>
                      <w:vertAlign w:val="baseline"/>
                      <w:lang w:val="en-US" w:eastAsia="zh-CN" w:bidi="ar-SA"/>
                    </w:rPr>
                    <w:t>10</w:t>
                  </w:r>
                </w:p>
              </w:tc>
              <w:tc>
                <w:tcPr>
                  <w:tcW w:w="3367" w:type="dxa"/>
                  <w:tcBorders>
                    <w:tl2br w:val="nil"/>
                    <w:tr2bl w:val="nil"/>
                  </w:tcBorders>
                  <w:shd w:val="clear" w:color="auto" w:fill="auto"/>
                  <w:vAlign w:val="center"/>
                </w:tcPr>
                <w:p w14:paraId="2617B67E">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7</w:t>
                  </w:r>
                </w:p>
              </w:tc>
            </w:tr>
            <w:tr w14:paraId="27B117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332" w:type="dxa"/>
                  <w:vMerge w:val="continue"/>
                  <w:tcBorders>
                    <w:tl2br w:val="nil"/>
                    <w:tr2bl w:val="nil"/>
                  </w:tcBorders>
                  <w:vAlign w:val="center"/>
                </w:tcPr>
                <w:p w14:paraId="6F3EB60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562" w:type="dxa"/>
                  <w:vMerge w:val="continue"/>
                  <w:tcBorders>
                    <w:tl2br w:val="nil"/>
                    <w:tr2bl w:val="nil"/>
                  </w:tcBorders>
                  <w:vAlign w:val="center"/>
                </w:tcPr>
                <w:p w14:paraId="7925E5E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164" w:type="dxa"/>
                  <w:tcBorders>
                    <w:tl2br w:val="nil"/>
                    <w:tr2bl w:val="nil"/>
                  </w:tcBorders>
                  <w:shd w:val="clear" w:color="auto" w:fill="auto"/>
                  <w:vAlign w:val="center"/>
                </w:tcPr>
                <w:p w14:paraId="4A319E08">
                  <w:pPr>
                    <w:keepNext w:val="0"/>
                    <w:keepLines w:val="0"/>
                    <w:pageBreakBefore w:val="0"/>
                    <w:widowControl/>
                    <w:suppressLineNumbers w:val="0"/>
                    <w:kinsoku/>
                    <w:wordWrap/>
                    <w:overflowPunct/>
                    <w:topLinePunct w:val="0"/>
                    <w:autoSpaceDE/>
                    <w:autoSpaceDN/>
                    <w:bidi w:val="0"/>
                    <w:spacing w:line="240" w:lineRule="auto"/>
                    <w:ind w:left="0" w:leftChars="0" w:right="0" w:rightChars="0"/>
                    <w:jc w:val="center"/>
                    <w:textAlignment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宋体"/>
                      <w:i w:val="0"/>
                      <w:iCs w:val="0"/>
                      <w:color w:val="auto"/>
                      <w:kern w:val="0"/>
                      <w:sz w:val="21"/>
                      <w:szCs w:val="22"/>
                      <w:u w:val="none"/>
                      <w:lang w:val="en-US" w:eastAsia="zh-CN" w:bidi="ar"/>
                    </w:rPr>
                    <w:t>TP</w:t>
                  </w:r>
                </w:p>
              </w:tc>
              <w:tc>
                <w:tcPr>
                  <w:tcW w:w="3093" w:type="dxa"/>
                  <w:tcBorders>
                    <w:tl2br w:val="nil"/>
                    <w:tr2bl w:val="nil"/>
                  </w:tcBorders>
                  <w:shd w:val="clear" w:color="auto" w:fill="auto"/>
                  <w:vAlign w:val="center"/>
                </w:tcPr>
                <w:p w14:paraId="7EE0B5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b w:val="0"/>
                      <w:bCs/>
                      <w:color w:val="auto"/>
                      <w:spacing w:val="0"/>
                      <w:sz w:val="21"/>
                      <w:szCs w:val="21"/>
                      <w:highlight w:val="none"/>
                      <w:vertAlign w:val="baseline"/>
                      <w:lang w:val="en-US" w:eastAsia="zh-CN"/>
                    </w:rPr>
                    <w:t>5</w:t>
                  </w:r>
                </w:p>
              </w:tc>
              <w:tc>
                <w:tcPr>
                  <w:tcW w:w="3367" w:type="dxa"/>
                  <w:tcBorders>
                    <w:tl2br w:val="nil"/>
                    <w:tr2bl w:val="nil"/>
                  </w:tcBorders>
                  <w:shd w:val="clear" w:color="auto" w:fill="auto"/>
                  <w:vAlign w:val="center"/>
                </w:tcPr>
                <w:p w14:paraId="140A3926">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 </w:t>
                  </w:r>
                </w:p>
              </w:tc>
            </w:tr>
          </w:tbl>
          <w:p w14:paraId="0A293663">
            <w:pPr>
              <w:rPr>
                <w:rFonts w:hint="default"/>
                <w:color w:val="auto"/>
                <w:vertAlign w:val="baseline"/>
              </w:rPr>
            </w:pPr>
          </w:p>
        </w:tc>
      </w:tr>
    </w:tbl>
    <w:p w14:paraId="2804F767">
      <w:pPr>
        <w:rPr>
          <w:color w:val="auto"/>
        </w:rPr>
      </w:pPr>
    </w:p>
    <w:p w14:paraId="18A659B1">
      <w:pPr>
        <w:rPr>
          <w:color w:val="auto"/>
        </w:rPr>
      </w:pPr>
    </w:p>
    <w:p w14:paraId="515BB110">
      <w:pPr>
        <w:rPr>
          <w:color w:val="auto"/>
        </w:rPr>
      </w:pPr>
    </w:p>
    <w:p w14:paraId="763EA550">
      <w:pPr>
        <w:rPr>
          <w:color w:val="auto"/>
        </w:rPr>
      </w:pPr>
    </w:p>
    <w:p w14:paraId="67AB4E71">
      <w:pPr>
        <w:rPr>
          <w:color w:val="auto"/>
        </w:rPr>
      </w:pPr>
    </w:p>
    <w:p w14:paraId="28DF905A">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8568"/>
      </w:tblGrid>
      <w:tr w14:paraId="5E4D2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03" w:hRule="atLeast"/>
        </w:trPr>
        <w:tc>
          <w:tcPr>
            <w:tcW w:w="493" w:type="dxa"/>
            <w:tcBorders>
              <w:tl2br w:val="nil"/>
              <w:tr2bl w:val="nil"/>
            </w:tcBorders>
            <w:vAlign w:val="center"/>
          </w:tcPr>
          <w:p w14:paraId="231B6B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cs="宋体"/>
                <w:b w:val="0"/>
                <w:bCs/>
                <w:color w:val="auto"/>
                <w:kern w:val="0"/>
                <w:sz w:val="21"/>
                <w:szCs w:val="21"/>
                <w:vertAlign w:val="baseline"/>
              </w:rPr>
            </w:pPr>
            <w:r>
              <w:rPr>
                <w:rFonts w:hint="eastAsia" w:ascii="宋体" w:cs="宋体"/>
                <w:b w:val="0"/>
                <w:bCs/>
                <w:color w:val="auto"/>
                <w:kern w:val="0"/>
                <w:sz w:val="24"/>
                <w:szCs w:val="24"/>
                <w:vertAlign w:val="baseline"/>
                <w:lang w:val="en-US" w:eastAsia="zh-CN"/>
              </w:rPr>
              <w:t>运营期环境影响和保护措施</w:t>
            </w:r>
          </w:p>
        </w:tc>
        <w:tc>
          <w:tcPr>
            <w:tcW w:w="8568" w:type="dxa"/>
            <w:tcBorders>
              <w:tl2br w:val="nil"/>
              <w:tr2bl w:val="nil"/>
            </w:tcBorders>
            <w:vAlign w:val="center"/>
          </w:tcPr>
          <w:p w14:paraId="6D36BF52">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imes New Roman" w:hAnsi="Times New Roman" w:eastAsia="宋体" w:cs="Times New Roman"/>
                <w:b/>
                <w:bCs w:val="0"/>
                <w:color w:val="auto"/>
                <w:kern w:val="0"/>
                <w:sz w:val="24"/>
                <w:szCs w:val="24"/>
                <w:highlight w:val="none"/>
                <w:vertAlign w:val="baseline"/>
                <w:lang w:val="en-US" w:eastAsia="zh-CN"/>
              </w:rPr>
            </w:pPr>
            <w:r>
              <w:rPr>
                <w:rFonts w:hint="default" w:ascii="Times New Roman" w:hAnsi="Times New Roman" w:cs="Times New Roman"/>
                <w:b/>
                <w:bCs w:val="0"/>
                <w:color w:val="auto"/>
                <w:kern w:val="0"/>
                <w:sz w:val="24"/>
                <w:szCs w:val="24"/>
                <w:highlight w:val="none"/>
                <w:vertAlign w:val="baseline"/>
              </w:rPr>
              <w:t>4.2.2.</w:t>
            </w:r>
            <w:r>
              <w:rPr>
                <w:rFonts w:hint="eastAsia" w:cs="Times New Roman"/>
                <w:b/>
                <w:bCs w:val="0"/>
                <w:color w:val="auto"/>
                <w:kern w:val="0"/>
                <w:sz w:val="24"/>
                <w:szCs w:val="24"/>
                <w:highlight w:val="none"/>
                <w:vertAlign w:val="baseline"/>
                <w:lang w:val="en-US" w:eastAsia="zh-CN"/>
              </w:rPr>
              <w:t>4</w:t>
            </w:r>
            <w:r>
              <w:rPr>
                <w:rFonts w:hint="default" w:ascii="Times New Roman" w:hAnsi="Times New Roman" w:cs="Times New Roman"/>
                <w:b/>
                <w:bCs w:val="0"/>
                <w:color w:val="auto"/>
                <w:kern w:val="0"/>
                <w:sz w:val="24"/>
                <w:szCs w:val="24"/>
                <w:highlight w:val="none"/>
                <w:vertAlign w:val="baseline"/>
              </w:rPr>
              <w:t xml:space="preserve"> </w:t>
            </w:r>
            <w:r>
              <w:rPr>
                <w:rFonts w:hint="eastAsia" w:cs="Times New Roman"/>
                <w:b/>
                <w:bCs w:val="0"/>
                <w:color w:val="auto"/>
                <w:kern w:val="0"/>
                <w:sz w:val="24"/>
                <w:szCs w:val="24"/>
                <w:highlight w:val="none"/>
                <w:vertAlign w:val="baseline"/>
                <w:lang w:val="en-US" w:eastAsia="zh-CN"/>
              </w:rPr>
              <w:t>废水</w:t>
            </w:r>
            <w:r>
              <w:rPr>
                <w:rFonts w:hint="default" w:ascii="Times New Roman" w:hAnsi="Times New Roman" w:cs="Times New Roman"/>
                <w:b/>
                <w:bCs w:val="0"/>
                <w:color w:val="auto"/>
                <w:kern w:val="0"/>
                <w:sz w:val="24"/>
                <w:szCs w:val="24"/>
                <w:highlight w:val="none"/>
                <w:vertAlign w:val="baseline"/>
              </w:rPr>
              <w:t>监测</w:t>
            </w:r>
            <w:r>
              <w:rPr>
                <w:rFonts w:hint="eastAsia" w:cs="Times New Roman"/>
                <w:b/>
                <w:bCs w:val="0"/>
                <w:color w:val="auto"/>
                <w:kern w:val="0"/>
                <w:sz w:val="24"/>
                <w:szCs w:val="24"/>
                <w:highlight w:val="none"/>
                <w:vertAlign w:val="baseline"/>
                <w:lang w:val="en-US" w:eastAsia="zh-CN"/>
              </w:rPr>
              <w:t>计划</w:t>
            </w:r>
          </w:p>
          <w:p w14:paraId="7D963C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本项目污废水排入金科阳光小镇6期生化池进行处理，该生化池的管理及维护均由重庆市金科物业服务有限公司承担。</w:t>
            </w:r>
          </w:p>
          <w:p w14:paraId="0730F8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为配合粪大肠菌群和余氯的监督性监测</w:t>
            </w:r>
            <w:r>
              <w:rPr>
                <w:rFonts w:hint="eastAsia" w:cs="Times New Roman"/>
                <w:b w:val="0"/>
                <w:bCs/>
                <w:color w:val="auto"/>
                <w:sz w:val="24"/>
                <w:szCs w:val="24"/>
                <w:highlight w:val="none"/>
                <w:lang w:val="en-US" w:eastAsia="zh-CN"/>
              </w:rPr>
              <w:t>和确保项目消毒设施处理效果</w:t>
            </w:r>
            <w:r>
              <w:rPr>
                <w:rFonts w:hint="eastAsia" w:ascii="Times New Roman" w:hAnsi="Times New Roman" w:eastAsia="宋体" w:cs="Times New Roman"/>
                <w:b w:val="0"/>
                <w:bCs/>
                <w:color w:val="auto"/>
                <w:sz w:val="24"/>
                <w:szCs w:val="24"/>
                <w:highlight w:val="none"/>
              </w:rPr>
              <w:t>，对消毒设备废水污染物粪大肠菌群、总余氯排放限值进行控制，参照《排污单位自行监测技术指南</w:t>
            </w:r>
            <w:r>
              <w:rPr>
                <w:rFonts w:hint="eastAsia" w:cs="Times New Roman"/>
                <w:b w:val="0"/>
                <w:bCs/>
                <w:color w:val="auto"/>
                <w:sz w:val="24"/>
                <w:szCs w:val="24"/>
                <w:highlight w:val="none"/>
                <w:lang w:val="en-US" w:eastAsia="zh-CN"/>
              </w:rPr>
              <w:t xml:space="preserve"> </w:t>
            </w:r>
            <w:r>
              <w:rPr>
                <w:rFonts w:hint="eastAsia" w:ascii="Times New Roman" w:hAnsi="Times New Roman" w:eastAsia="宋体" w:cs="Times New Roman"/>
                <w:b w:val="0"/>
                <w:bCs/>
                <w:color w:val="auto"/>
                <w:sz w:val="24"/>
                <w:szCs w:val="24"/>
                <w:highlight w:val="none"/>
              </w:rPr>
              <w:t>总则》（HJ819-2017），</w:t>
            </w:r>
            <w:r>
              <w:rPr>
                <w:rFonts w:ascii="Times New Roman" w:hAnsi="Times New Roman" w:eastAsia="宋体" w:cs="Times New Roman"/>
                <w:b w:val="0"/>
                <w:bCs/>
                <w:color w:val="auto"/>
                <w:sz w:val="24"/>
                <w:szCs w:val="24"/>
                <w:highlight w:val="none"/>
              </w:rPr>
              <w:t>本项目废水自行监测计划详见下表。</w:t>
            </w:r>
          </w:p>
          <w:p w14:paraId="2309A5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val="0"/>
                <w:bCs/>
                <w:color w:val="auto"/>
                <w:kern w:val="2"/>
                <w:sz w:val="21"/>
                <w:szCs w:val="21"/>
                <w:highlight w:val="none"/>
                <w:lang w:val="en-US" w:eastAsia="zh-CN" w:bidi="ar-SA"/>
              </w:rPr>
            </w:pPr>
            <w:r>
              <w:rPr>
                <w:rFonts w:ascii="Times New Roman" w:hAnsi="Times New Roman" w:eastAsia="宋体" w:cs="Times New Roman"/>
                <w:b w:val="0"/>
                <w:bCs/>
                <w:color w:val="auto"/>
                <w:kern w:val="2"/>
                <w:sz w:val="21"/>
                <w:szCs w:val="21"/>
                <w:highlight w:val="none"/>
                <w:lang w:val="en-US" w:eastAsia="zh-CN" w:bidi="ar-SA"/>
              </w:rPr>
              <w:t>表</w:t>
            </w:r>
            <w:r>
              <w:rPr>
                <w:rFonts w:hint="eastAsia" w:eastAsia="宋体" w:cs="Times New Roman"/>
                <w:b w:val="0"/>
                <w:bCs/>
                <w:color w:val="auto"/>
                <w:kern w:val="2"/>
                <w:sz w:val="21"/>
                <w:szCs w:val="21"/>
                <w:highlight w:val="none"/>
                <w:lang w:val="en-US" w:eastAsia="zh-CN" w:bidi="ar-SA"/>
              </w:rPr>
              <w:t>4.2-7</w:t>
            </w:r>
            <w:r>
              <w:rPr>
                <w:rFonts w:ascii="Times New Roman" w:hAnsi="Times New Roman" w:eastAsia="宋体" w:cs="Times New Roman"/>
                <w:b w:val="0"/>
                <w:bCs/>
                <w:color w:val="auto"/>
                <w:kern w:val="2"/>
                <w:sz w:val="21"/>
                <w:szCs w:val="21"/>
                <w:highlight w:val="none"/>
                <w:lang w:val="en-US" w:eastAsia="zh-CN" w:bidi="ar-SA"/>
              </w:rPr>
              <w:t xml:space="preserve"> 废水自行监测计划一览表</w:t>
            </w:r>
          </w:p>
          <w:tbl>
            <w:tblPr>
              <w:tblStyle w:val="21"/>
              <w:tblW w:w="8323"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15"/>
              <w:gridCol w:w="2051"/>
              <w:gridCol w:w="2169"/>
              <w:gridCol w:w="3088"/>
            </w:tblGrid>
            <w:tr w14:paraId="581294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015" w:type="dxa"/>
                  <w:tcBorders>
                    <w:tl2br w:val="nil"/>
                    <w:tr2bl w:val="nil"/>
                  </w:tcBorders>
                  <w:vAlign w:val="center"/>
                </w:tcPr>
                <w:p w14:paraId="4AC21612">
                  <w:pPr>
                    <w:widowControl w:val="0"/>
                    <w:snapToGrid w:val="0"/>
                    <w:spacing w:line="240" w:lineRule="auto"/>
                    <w:ind w:left="-105" w:leftChars="-50" w:right="-105" w:rightChars="-50" w:firstLine="0" w:firstLineChars="0"/>
                    <w:jc w:val="center"/>
                    <w:rPr>
                      <w:rFonts w:ascii="Times New Roman" w:hAnsi="Times New Roman" w:eastAsia="宋体" w:cs="Times New Roman"/>
                      <w:b w:val="0"/>
                      <w:bCs/>
                      <w:snapToGrid w:val="0"/>
                      <w:color w:val="auto"/>
                      <w:kern w:val="2"/>
                      <w:sz w:val="21"/>
                      <w:szCs w:val="21"/>
                      <w:highlight w:val="none"/>
                      <w:lang w:val="en-US" w:eastAsia="zh-CN" w:bidi="ar-SA"/>
                    </w:rPr>
                  </w:pPr>
                  <w:r>
                    <w:rPr>
                      <w:rFonts w:ascii="Times New Roman" w:hAnsi="Times New Roman" w:eastAsia="宋体" w:cs="Times New Roman"/>
                      <w:b w:val="0"/>
                      <w:bCs/>
                      <w:snapToGrid w:val="0"/>
                      <w:color w:val="auto"/>
                      <w:kern w:val="2"/>
                      <w:sz w:val="21"/>
                      <w:szCs w:val="21"/>
                      <w:highlight w:val="none"/>
                      <w:lang w:val="en-US" w:eastAsia="zh-CN" w:bidi="ar-SA"/>
                    </w:rPr>
                    <w:t>监测点位</w:t>
                  </w:r>
                </w:p>
              </w:tc>
              <w:tc>
                <w:tcPr>
                  <w:tcW w:w="2051" w:type="dxa"/>
                  <w:tcBorders>
                    <w:tl2br w:val="nil"/>
                    <w:tr2bl w:val="nil"/>
                  </w:tcBorders>
                  <w:vAlign w:val="center"/>
                </w:tcPr>
                <w:p w14:paraId="1C35027E">
                  <w:pPr>
                    <w:widowControl w:val="0"/>
                    <w:snapToGrid w:val="0"/>
                    <w:spacing w:line="240" w:lineRule="auto"/>
                    <w:ind w:firstLine="0" w:firstLineChars="0"/>
                    <w:jc w:val="center"/>
                    <w:rPr>
                      <w:rFonts w:ascii="Times New Roman" w:hAnsi="Times New Roman" w:eastAsia="宋体" w:cs="Times New Roman"/>
                      <w:b w:val="0"/>
                      <w:bCs/>
                      <w:snapToGrid w:val="0"/>
                      <w:color w:val="auto"/>
                      <w:kern w:val="2"/>
                      <w:sz w:val="21"/>
                      <w:szCs w:val="21"/>
                      <w:highlight w:val="none"/>
                      <w:lang w:val="en-US" w:eastAsia="zh-CN" w:bidi="ar-SA"/>
                    </w:rPr>
                  </w:pPr>
                  <w:r>
                    <w:rPr>
                      <w:rFonts w:ascii="Times New Roman" w:hAnsi="Times New Roman" w:eastAsia="宋体" w:cs="Times New Roman"/>
                      <w:b w:val="0"/>
                      <w:bCs/>
                      <w:snapToGrid w:val="0"/>
                      <w:color w:val="auto"/>
                      <w:kern w:val="2"/>
                      <w:sz w:val="21"/>
                      <w:szCs w:val="21"/>
                      <w:highlight w:val="none"/>
                      <w:lang w:val="en-US" w:eastAsia="zh-CN" w:bidi="ar-SA"/>
                    </w:rPr>
                    <w:t>监测指标</w:t>
                  </w:r>
                </w:p>
              </w:tc>
              <w:tc>
                <w:tcPr>
                  <w:tcW w:w="2169" w:type="dxa"/>
                  <w:tcBorders>
                    <w:tl2br w:val="nil"/>
                    <w:tr2bl w:val="nil"/>
                  </w:tcBorders>
                  <w:vAlign w:val="center"/>
                </w:tcPr>
                <w:p w14:paraId="1E721977">
                  <w:pPr>
                    <w:widowControl w:val="0"/>
                    <w:snapToGrid w:val="0"/>
                    <w:spacing w:line="240" w:lineRule="auto"/>
                    <w:ind w:firstLine="0" w:firstLineChars="0"/>
                    <w:jc w:val="center"/>
                    <w:rPr>
                      <w:rFonts w:ascii="Times New Roman" w:hAnsi="Times New Roman" w:eastAsia="宋体" w:cs="Times New Roman"/>
                      <w:b w:val="0"/>
                      <w:bCs/>
                      <w:snapToGrid w:val="0"/>
                      <w:color w:val="auto"/>
                      <w:kern w:val="2"/>
                      <w:sz w:val="21"/>
                      <w:szCs w:val="21"/>
                      <w:highlight w:val="none"/>
                      <w:lang w:val="en-US" w:eastAsia="zh-CN" w:bidi="ar-SA"/>
                    </w:rPr>
                  </w:pPr>
                  <w:r>
                    <w:rPr>
                      <w:rFonts w:ascii="Times New Roman" w:hAnsi="Times New Roman" w:eastAsia="宋体" w:cs="Times New Roman"/>
                      <w:b w:val="0"/>
                      <w:bCs/>
                      <w:snapToGrid w:val="0"/>
                      <w:color w:val="auto"/>
                      <w:kern w:val="2"/>
                      <w:sz w:val="21"/>
                      <w:szCs w:val="21"/>
                      <w:highlight w:val="none"/>
                      <w:lang w:val="en-US" w:eastAsia="zh-CN" w:bidi="ar-SA"/>
                    </w:rPr>
                    <w:t>监测频次</w:t>
                  </w:r>
                </w:p>
              </w:tc>
              <w:tc>
                <w:tcPr>
                  <w:tcW w:w="3088" w:type="dxa"/>
                  <w:tcBorders>
                    <w:tl2br w:val="nil"/>
                    <w:tr2bl w:val="nil"/>
                  </w:tcBorders>
                  <w:vAlign w:val="center"/>
                </w:tcPr>
                <w:p w14:paraId="1A0CB848">
                  <w:pPr>
                    <w:widowControl w:val="0"/>
                    <w:snapToGrid w:val="0"/>
                    <w:spacing w:line="240" w:lineRule="auto"/>
                    <w:ind w:firstLine="0" w:firstLineChars="0"/>
                    <w:jc w:val="center"/>
                    <w:rPr>
                      <w:rFonts w:ascii="Times New Roman" w:hAnsi="Times New Roman" w:eastAsia="宋体" w:cs="Times New Roman"/>
                      <w:b w:val="0"/>
                      <w:bCs/>
                      <w:snapToGrid w:val="0"/>
                      <w:color w:val="auto"/>
                      <w:kern w:val="2"/>
                      <w:sz w:val="21"/>
                      <w:szCs w:val="21"/>
                      <w:highlight w:val="none"/>
                      <w:lang w:val="en-US" w:eastAsia="zh-CN" w:bidi="ar-SA"/>
                    </w:rPr>
                  </w:pPr>
                  <w:r>
                    <w:rPr>
                      <w:rFonts w:ascii="Times New Roman" w:hAnsi="Times New Roman" w:eastAsia="宋体" w:cs="Times New Roman"/>
                      <w:b w:val="0"/>
                      <w:bCs/>
                      <w:snapToGrid w:val="0"/>
                      <w:color w:val="auto"/>
                      <w:kern w:val="2"/>
                      <w:sz w:val="21"/>
                      <w:szCs w:val="21"/>
                      <w:highlight w:val="none"/>
                      <w:lang w:val="en-US" w:eastAsia="zh-CN" w:bidi="ar-SA"/>
                    </w:rPr>
                    <w:t>执行标准</w:t>
                  </w:r>
                </w:p>
              </w:tc>
            </w:tr>
            <w:tr w14:paraId="50EA05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015" w:type="dxa"/>
                  <w:tcBorders>
                    <w:tl2br w:val="nil"/>
                    <w:tr2bl w:val="nil"/>
                  </w:tcBorders>
                  <w:shd w:val="clear" w:color="auto" w:fill="auto"/>
                  <w:vAlign w:val="center"/>
                </w:tcPr>
                <w:p w14:paraId="4D821F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cs="Times New Roman"/>
                      <w:b w:val="0"/>
                      <w:bCs/>
                      <w:color w:val="auto"/>
                      <w:kern w:val="0"/>
                      <w:sz w:val="21"/>
                      <w:szCs w:val="21"/>
                      <w:vertAlign w:val="baseline"/>
                      <w:lang w:val="en-US" w:eastAsia="zh-CN"/>
                    </w:rPr>
                    <w:t>1#</w:t>
                  </w:r>
                  <w:r>
                    <w:rPr>
                      <w:rFonts w:hint="eastAsia" w:cs="Times New Roman"/>
                      <w:b w:val="0"/>
                      <w:bCs/>
                      <w:color w:val="auto"/>
                      <w:kern w:val="0"/>
                      <w:sz w:val="21"/>
                      <w:szCs w:val="21"/>
                      <w:vertAlign w:val="baseline"/>
                      <w:lang w:eastAsia="zh-CN"/>
                    </w:rPr>
                    <w:t>消毒设施</w:t>
                  </w:r>
                  <w:r>
                    <w:rPr>
                      <w:rFonts w:hint="eastAsia" w:ascii="Times New Roman" w:hAnsi="Times New Roman" w:cs="Times New Roman"/>
                      <w:b w:val="0"/>
                      <w:bCs/>
                      <w:color w:val="auto"/>
                      <w:kern w:val="0"/>
                      <w:sz w:val="21"/>
                      <w:szCs w:val="21"/>
                      <w:vertAlign w:val="baseline"/>
                    </w:rPr>
                    <w:t>排放口</w:t>
                  </w:r>
                </w:p>
              </w:tc>
              <w:tc>
                <w:tcPr>
                  <w:tcW w:w="2051" w:type="dxa"/>
                  <w:tcBorders>
                    <w:tl2br w:val="nil"/>
                    <w:tr2bl w:val="nil"/>
                  </w:tcBorders>
                  <w:shd w:val="clear" w:color="auto" w:fill="auto"/>
                  <w:vAlign w:val="center"/>
                </w:tcPr>
                <w:p w14:paraId="3B9AAC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rPr>
                    <w:t>粪大肠菌群、总余氯</w:t>
                  </w:r>
                </w:p>
              </w:tc>
              <w:tc>
                <w:tcPr>
                  <w:tcW w:w="2169" w:type="dxa"/>
                  <w:tcBorders>
                    <w:tl2br w:val="nil"/>
                    <w:tr2bl w:val="nil"/>
                  </w:tcBorders>
                  <w:shd w:val="clear" w:color="auto" w:fill="auto"/>
                  <w:vAlign w:val="center"/>
                </w:tcPr>
                <w:p w14:paraId="74D696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lang w:val="en-US" w:eastAsia="zh-CN"/>
                    </w:rPr>
                    <w:t>验收时监测一次</w:t>
                  </w:r>
                  <w:r>
                    <w:rPr>
                      <w:rFonts w:hint="eastAsia" w:cs="Times New Roman"/>
                      <w:b w:val="0"/>
                      <w:bCs/>
                      <w:color w:val="auto"/>
                      <w:kern w:val="0"/>
                      <w:sz w:val="21"/>
                      <w:szCs w:val="21"/>
                      <w:vertAlign w:val="baseline"/>
                      <w:lang w:val="en-US" w:eastAsia="zh-CN"/>
                    </w:rPr>
                    <w:t>，每年监测一次</w:t>
                  </w:r>
                </w:p>
              </w:tc>
              <w:tc>
                <w:tcPr>
                  <w:tcW w:w="3088" w:type="dxa"/>
                  <w:tcBorders>
                    <w:tl2br w:val="nil"/>
                    <w:tr2bl w:val="nil"/>
                  </w:tcBorders>
                  <w:shd w:val="clear" w:color="auto" w:fill="auto"/>
                  <w:vAlign w:val="center"/>
                </w:tcPr>
                <w:p w14:paraId="47EEB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rPr>
                    <w:t>《医疗机构水污染物排放标准》</w:t>
                  </w:r>
                  <w:r>
                    <w:rPr>
                      <w:rFonts w:hint="eastAsia" w:cs="Times New Roman"/>
                      <w:b w:val="0"/>
                      <w:bCs/>
                      <w:color w:val="auto"/>
                      <w:kern w:val="0"/>
                      <w:sz w:val="21"/>
                      <w:szCs w:val="21"/>
                      <w:vertAlign w:val="baseline"/>
                      <w:lang w:eastAsia="zh-CN"/>
                    </w:rPr>
                    <w:t>（GB18466-2005）</w:t>
                  </w:r>
                  <w:r>
                    <w:rPr>
                      <w:rFonts w:hint="eastAsia" w:ascii="Times New Roman" w:hAnsi="Times New Roman" w:cs="Times New Roman"/>
                      <w:b w:val="0"/>
                      <w:bCs/>
                      <w:color w:val="auto"/>
                      <w:kern w:val="0"/>
                      <w:sz w:val="21"/>
                      <w:szCs w:val="21"/>
                      <w:vertAlign w:val="baseline"/>
                    </w:rPr>
                    <w:t>预</w:t>
                  </w:r>
                  <w:r>
                    <w:rPr>
                      <w:rFonts w:hint="eastAsia" w:ascii="Times New Roman" w:hAnsi="Times New Roman" w:cs="Times New Roman"/>
                      <w:b w:val="0"/>
                      <w:bCs/>
                      <w:color w:val="auto"/>
                      <w:kern w:val="0"/>
                      <w:sz w:val="21"/>
                      <w:szCs w:val="21"/>
                      <w:vertAlign w:val="baseline"/>
                      <w:lang w:val="en-US" w:eastAsia="zh-CN"/>
                    </w:rPr>
                    <w:t>处理标准</w:t>
                  </w:r>
                </w:p>
              </w:tc>
            </w:tr>
            <w:tr w14:paraId="4EFB65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015" w:type="dxa"/>
                  <w:tcBorders>
                    <w:tl2br w:val="nil"/>
                    <w:tr2bl w:val="nil"/>
                  </w:tcBorders>
                  <w:shd w:val="clear" w:color="auto" w:fill="auto"/>
                  <w:vAlign w:val="center"/>
                </w:tcPr>
                <w:p w14:paraId="41166B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kern w:val="0"/>
                      <w:sz w:val="21"/>
                      <w:szCs w:val="21"/>
                      <w:vertAlign w:val="baseline"/>
                      <w:lang w:eastAsia="zh-CN"/>
                    </w:rPr>
                  </w:pPr>
                  <w:r>
                    <w:rPr>
                      <w:rFonts w:hint="eastAsia" w:cs="Times New Roman"/>
                      <w:b w:val="0"/>
                      <w:bCs/>
                      <w:color w:val="auto"/>
                      <w:kern w:val="0"/>
                      <w:sz w:val="21"/>
                      <w:szCs w:val="21"/>
                      <w:vertAlign w:val="baseline"/>
                      <w:lang w:val="en-US" w:eastAsia="zh-CN"/>
                    </w:rPr>
                    <w:t>2#</w:t>
                  </w:r>
                  <w:r>
                    <w:rPr>
                      <w:rFonts w:hint="eastAsia" w:cs="Times New Roman"/>
                      <w:b w:val="0"/>
                      <w:bCs/>
                      <w:color w:val="auto"/>
                      <w:kern w:val="0"/>
                      <w:sz w:val="21"/>
                      <w:szCs w:val="21"/>
                      <w:vertAlign w:val="baseline"/>
                      <w:lang w:eastAsia="zh-CN"/>
                    </w:rPr>
                    <w:t>消毒设施</w:t>
                  </w:r>
                  <w:r>
                    <w:rPr>
                      <w:rFonts w:hint="eastAsia" w:ascii="Times New Roman" w:hAnsi="Times New Roman" w:cs="Times New Roman"/>
                      <w:b w:val="0"/>
                      <w:bCs/>
                      <w:color w:val="auto"/>
                      <w:kern w:val="0"/>
                      <w:sz w:val="21"/>
                      <w:szCs w:val="21"/>
                      <w:vertAlign w:val="baseline"/>
                    </w:rPr>
                    <w:t>排放口</w:t>
                  </w:r>
                </w:p>
              </w:tc>
              <w:tc>
                <w:tcPr>
                  <w:tcW w:w="2051" w:type="dxa"/>
                  <w:tcBorders>
                    <w:tl2br w:val="nil"/>
                    <w:tr2bl w:val="nil"/>
                  </w:tcBorders>
                  <w:shd w:val="clear" w:color="auto" w:fill="auto"/>
                  <w:vAlign w:val="center"/>
                </w:tcPr>
                <w:p w14:paraId="19DC6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rPr>
                    <w:t>粪大肠菌群、总余氯</w:t>
                  </w:r>
                </w:p>
              </w:tc>
              <w:tc>
                <w:tcPr>
                  <w:tcW w:w="2169" w:type="dxa"/>
                  <w:tcBorders>
                    <w:tl2br w:val="nil"/>
                    <w:tr2bl w:val="nil"/>
                  </w:tcBorders>
                  <w:shd w:val="clear" w:color="auto" w:fill="auto"/>
                  <w:vAlign w:val="center"/>
                </w:tcPr>
                <w:p w14:paraId="22A1F2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lang w:val="en-US" w:eastAsia="zh-CN"/>
                    </w:rPr>
                    <w:t>验收时监测一次</w:t>
                  </w:r>
                  <w:r>
                    <w:rPr>
                      <w:rFonts w:hint="eastAsia" w:cs="Times New Roman"/>
                      <w:b w:val="0"/>
                      <w:bCs/>
                      <w:color w:val="auto"/>
                      <w:kern w:val="0"/>
                      <w:sz w:val="21"/>
                      <w:szCs w:val="21"/>
                      <w:vertAlign w:val="baseline"/>
                      <w:lang w:val="en-US" w:eastAsia="zh-CN"/>
                    </w:rPr>
                    <w:t>，每年监测一次</w:t>
                  </w:r>
                </w:p>
              </w:tc>
              <w:tc>
                <w:tcPr>
                  <w:tcW w:w="3088" w:type="dxa"/>
                  <w:tcBorders>
                    <w:tl2br w:val="nil"/>
                    <w:tr2bl w:val="nil"/>
                  </w:tcBorders>
                  <w:shd w:val="clear" w:color="auto" w:fill="auto"/>
                  <w:vAlign w:val="center"/>
                </w:tcPr>
                <w:p w14:paraId="130854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rPr>
                    <w:t>《医疗机构水污染物排放标准》</w:t>
                  </w:r>
                  <w:r>
                    <w:rPr>
                      <w:rFonts w:hint="eastAsia" w:cs="Times New Roman"/>
                      <w:b w:val="0"/>
                      <w:bCs/>
                      <w:color w:val="auto"/>
                      <w:kern w:val="0"/>
                      <w:sz w:val="21"/>
                      <w:szCs w:val="21"/>
                      <w:vertAlign w:val="baseline"/>
                      <w:lang w:eastAsia="zh-CN"/>
                    </w:rPr>
                    <w:t>（GB18466-2005）</w:t>
                  </w:r>
                  <w:r>
                    <w:rPr>
                      <w:rFonts w:hint="eastAsia" w:ascii="Times New Roman" w:hAnsi="Times New Roman" w:cs="Times New Roman"/>
                      <w:b w:val="0"/>
                      <w:bCs/>
                      <w:color w:val="auto"/>
                      <w:kern w:val="0"/>
                      <w:sz w:val="21"/>
                      <w:szCs w:val="21"/>
                      <w:vertAlign w:val="baseline"/>
                    </w:rPr>
                    <w:t>预</w:t>
                  </w:r>
                  <w:r>
                    <w:rPr>
                      <w:rFonts w:hint="eastAsia" w:ascii="Times New Roman" w:hAnsi="Times New Roman" w:cs="Times New Roman"/>
                      <w:b w:val="0"/>
                      <w:bCs/>
                      <w:color w:val="auto"/>
                      <w:kern w:val="0"/>
                      <w:sz w:val="21"/>
                      <w:szCs w:val="21"/>
                      <w:vertAlign w:val="baseline"/>
                      <w:lang w:val="en-US" w:eastAsia="zh-CN"/>
                    </w:rPr>
                    <w:t>处理标准</w:t>
                  </w:r>
                </w:p>
              </w:tc>
            </w:tr>
            <w:tr w14:paraId="3310FE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015" w:type="dxa"/>
                  <w:tcBorders>
                    <w:tl2br w:val="nil"/>
                    <w:tr2bl w:val="nil"/>
                  </w:tcBorders>
                  <w:shd w:val="clear" w:color="auto" w:fill="auto"/>
                  <w:vAlign w:val="center"/>
                </w:tcPr>
                <w:p w14:paraId="4EEC0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cs="Times New Roman"/>
                      <w:b w:val="0"/>
                      <w:bCs/>
                      <w:color w:val="auto"/>
                      <w:kern w:val="0"/>
                      <w:sz w:val="21"/>
                      <w:szCs w:val="21"/>
                      <w:vertAlign w:val="baseline"/>
                      <w:lang w:val="en-US" w:eastAsia="zh-CN"/>
                    </w:rPr>
                    <w:t>生化池排放口</w:t>
                  </w:r>
                </w:p>
              </w:tc>
              <w:tc>
                <w:tcPr>
                  <w:tcW w:w="2051" w:type="dxa"/>
                  <w:tcBorders>
                    <w:tl2br w:val="nil"/>
                    <w:tr2bl w:val="nil"/>
                  </w:tcBorders>
                  <w:shd w:val="clear" w:color="auto" w:fill="auto"/>
                  <w:vAlign w:val="center"/>
                </w:tcPr>
                <w:p w14:paraId="22D366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rPr>
                    <w:t>pH、COD、氨氮、SS、BOD</w:t>
                  </w:r>
                  <w:r>
                    <w:rPr>
                      <w:rFonts w:hint="eastAsia" w:ascii="Times New Roman" w:hAnsi="Times New Roman" w:cs="Times New Roman"/>
                      <w:b w:val="0"/>
                      <w:bCs/>
                      <w:color w:val="auto"/>
                      <w:kern w:val="0"/>
                      <w:sz w:val="21"/>
                      <w:szCs w:val="21"/>
                      <w:vertAlign w:val="subscript"/>
                      <w:lang w:val="en-US" w:eastAsia="zh-CN"/>
                    </w:rPr>
                    <w:t>5</w:t>
                  </w:r>
                  <w:r>
                    <w:rPr>
                      <w:rFonts w:hint="eastAsia" w:ascii="Times New Roman" w:hAnsi="Times New Roman" w:cs="Times New Roman"/>
                      <w:b w:val="0"/>
                      <w:bCs/>
                      <w:color w:val="auto"/>
                      <w:kern w:val="0"/>
                      <w:sz w:val="21"/>
                      <w:szCs w:val="21"/>
                      <w:vertAlign w:val="baseline"/>
                    </w:rPr>
                    <w:t>、</w:t>
                  </w:r>
                  <w:r>
                    <w:rPr>
                      <w:rFonts w:hint="eastAsia" w:cs="Times New Roman"/>
                      <w:b w:val="0"/>
                      <w:bCs/>
                      <w:color w:val="auto"/>
                      <w:kern w:val="0"/>
                      <w:sz w:val="21"/>
                      <w:szCs w:val="21"/>
                      <w:vertAlign w:val="baseline"/>
                      <w:lang w:val="en-US" w:eastAsia="zh-CN"/>
                    </w:rPr>
                    <w:t>LAS、总磷</w:t>
                  </w:r>
                  <w:r>
                    <w:rPr>
                      <w:rFonts w:hint="eastAsia" w:ascii="Times New Roman" w:hAnsi="Times New Roman" w:cs="Times New Roman"/>
                      <w:b w:val="0"/>
                      <w:bCs/>
                      <w:color w:val="auto"/>
                      <w:kern w:val="0"/>
                      <w:sz w:val="21"/>
                      <w:szCs w:val="21"/>
                      <w:vertAlign w:val="baseline"/>
                    </w:rPr>
                    <w:t>、粪大肠菌群</w:t>
                  </w:r>
                </w:p>
              </w:tc>
              <w:tc>
                <w:tcPr>
                  <w:tcW w:w="2169" w:type="dxa"/>
                  <w:tcBorders>
                    <w:tl2br w:val="nil"/>
                    <w:tr2bl w:val="nil"/>
                  </w:tcBorders>
                  <w:shd w:val="clear" w:color="auto" w:fill="auto"/>
                  <w:vAlign w:val="center"/>
                </w:tcPr>
                <w:p w14:paraId="29426F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ascii="Times New Roman" w:hAnsi="Times New Roman" w:cs="Times New Roman"/>
                      <w:b w:val="0"/>
                      <w:bCs/>
                      <w:color w:val="auto"/>
                      <w:kern w:val="0"/>
                      <w:sz w:val="21"/>
                      <w:szCs w:val="21"/>
                      <w:vertAlign w:val="baseline"/>
                      <w:lang w:val="en-US" w:eastAsia="zh-CN"/>
                    </w:rPr>
                    <w:t>验收时监测一次</w:t>
                  </w:r>
                </w:p>
              </w:tc>
              <w:tc>
                <w:tcPr>
                  <w:tcW w:w="3088" w:type="dxa"/>
                  <w:tcBorders>
                    <w:tl2br w:val="nil"/>
                    <w:tr2bl w:val="nil"/>
                  </w:tcBorders>
                  <w:shd w:val="clear" w:color="auto" w:fill="auto"/>
                  <w:vAlign w:val="center"/>
                </w:tcPr>
                <w:p w14:paraId="4F5597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bidi="ar-SA"/>
                    </w:rPr>
                  </w:pPr>
                  <w:r>
                    <w:rPr>
                      <w:rFonts w:hint="eastAsia" w:cs="Times New Roman"/>
                      <w:b w:val="0"/>
                      <w:bCs/>
                      <w:color w:val="auto"/>
                      <w:kern w:val="0"/>
                      <w:sz w:val="21"/>
                      <w:szCs w:val="21"/>
                      <w:vertAlign w:val="baseline"/>
                      <w:lang w:eastAsia="zh-CN"/>
                    </w:rPr>
                    <w:t>《</w:t>
                  </w:r>
                  <w:r>
                    <w:rPr>
                      <w:rFonts w:hint="eastAsia" w:ascii="Times New Roman" w:hAnsi="Times New Roman" w:cs="Times New Roman"/>
                      <w:b w:val="0"/>
                      <w:bCs/>
                      <w:color w:val="auto"/>
                      <w:kern w:val="0"/>
                      <w:sz w:val="21"/>
                      <w:szCs w:val="21"/>
                      <w:vertAlign w:val="baseline"/>
                    </w:rPr>
                    <w:t>污水综合排放标准》</w:t>
                  </w:r>
                  <w:r>
                    <w:rPr>
                      <w:rFonts w:hint="eastAsia" w:cs="Times New Roman"/>
                      <w:b w:val="0"/>
                      <w:bCs/>
                      <w:color w:val="auto"/>
                      <w:kern w:val="0"/>
                      <w:sz w:val="21"/>
                      <w:szCs w:val="21"/>
                      <w:vertAlign w:val="baseline"/>
                      <w:lang w:eastAsia="zh-CN"/>
                    </w:rPr>
                    <w:t>（</w:t>
                  </w:r>
                  <w:r>
                    <w:rPr>
                      <w:rFonts w:hint="eastAsia" w:ascii="Times New Roman" w:hAnsi="Times New Roman" w:cs="Times New Roman"/>
                      <w:b w:val="0"/>
                      <w:bCs/>
                      <w:color w:val="auto"/>
                      <w:kern w:val="0"/>
                      <w:sz w:val="21"/>
                      <w:szCs w:val="21"/>
                      <w:vertAlign w:val="baseline"/>
                    </w:rPr>
                    <w:t>GB8978-1996</w:t>
                  </w:r>
                  <w:r>
                    <w:rPr>
                      <w:rFonts w:hint="eastAsia" w:cs="Times New Roman"/>
                      <w:b w:val="0"/>
                      <w:bCs/>
                      <w:color w:val="auto"/>
                      <w:kern w:val="0"/>
                      <w:sz w:val="21"/>
                      <w:szCs w:val="21"/>
                      <w:vertAlign w:val="baseline"/>
                      <w:lang w:eastAsia="zh-CN"/>
                    </w:rPr>
                    <w:t>）</w:t>
                  </w:r>
                  <w:r>
                    <w:rPr>
                      <w:rFonts w:hint="eastAsia" w:ascii="Times New Roman" w:hAnsi="Times New Roman" w:cs="Times New Roman"/>
                      <w:b w:val="0"/>
                      <w:bCs/>
                      <w:color w:val="auto"/>
                      <w:kern w:val="0"/>
                      <w:sz w:val="21"/>
                      <w:szCs w:val="21"/>
                      <w:vertAlign w:val="baseline"/>
                    </w:rPr>
                    <w:t>三级标准</w:t>
                  </w:r>
                </w:p>
              </w:tc>
            </w:tr>
          </w:tbl>
          <w:p w14:paraId="03E32FC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ascii="Times New Roman" w:hAnsi="Times New Roman" w:cs="Times New Roman"/>
                <w:b/>
                <w:bCs w:val="0"/>
                <w:color w:val="auto"/>
                <w:kern w:val="0"/>
                <w:sz w:val="24"/>
                <w:szCs w:val="24"/>
                <w:vertAlign w:val="baseline"/>
                <w:lang w:eastAsia="zh-CN"/>
              </w:rPr>
            </w:pPr>
            <w:r>
              <w:rPr>
                <w:rFonts w:hint="eastAsia" w:ascii="Times New Roman" w:hAnsi="Times New Roman" w:cs="Times New Roman"/>
                <w:b/>
                <w:bCs w:val="0"/>
                <w:color w:val="auto"/>
                <w:kern w:val="0"/>
                <w:sz w:val="24"/>
                <w:szCs w:val="24"/>
                <w:vertAlign w:val="baseline"/>
                <w:lang w:eastAsia="zh-CN"/>
              </w:rPr>
              <w:t>4.2.3.噪声环境影响及保护措施</w:t>
            </w:r>
          </w:p>
          <w:p w14:paraId="19215A9A">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imes New Roman" w:hAnsi="Times New Roman" w:cs="Times New Roman"/>
                <w:b/>
                <w:bCs w:val="0"/>
                <w:color w:val="auto"/>
                <w:kern w:val="0"/>
                <w:sz w:val="24"/>
                <w:szCs w:val="24"/>
                <w:vertAlign w:val="baseline"/>
                <w:lang w:eastAsia="zh-CN"/>
              </w:rPr>
            </w:pPr>
            <w:r>
              <w:rPr>
                <w:rFonts w:hint="eastAsia" w:ascii="Times New Roman" w:hAnsi="Times New Roman" w:cs="Times New Roman"/>
                <w:b/>
                <w:bCs w:val="0"/>
                <w:color w:val="auto"/>
                <w:kern w:val="0"/>
                <w:sz w:val="24"/>
                <w:szCs w:val="24"/>
                <w:vertAlign w:val="baseline"/>
                <w:lang w:eastAsia="zh-CN"/>
              </w:rPr>
              <w:t>4.2.3.1 噪声源强及降噪措施</w:t>
            </w:r>
          </w:p>
          <w:p w14:paraId="521013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kern w:val="0"/>
                <w:sz w:val="24"/>
                <w:szCs w:val="24"/>
                <w:vertAlign w:val="baseline"/>
                <w:lang w:eastAsia="zh-CN"/>
              </w:rPr>
            </w:pPr>
            <w:r>
              <w:rPr>
                <w:rFonts w:hint="eastAsia" w:ascii="Times New Roman" w:hAnsi="Times New Roman" w:cs="Times New Roman"/>
                <w:b w:val="0"/>
                <w:bCs/>
                <w:color w:val="auto"/>
                <w:kern w:val="0"/>
                <w:sz w:val="24"/>
                <w:szCs w:val="24"/>
                <w:vertAlign w:val="baseline"/>
                <w:lang w:val="en-US" w:eastAsia="zh-CN"/>
              </w:rPr>
              <w:t>本</w:t>
            </w:r>
            <w:r>
              <w:rPr>
                <w:rFonts w:hint="default" w:ascii="Times New Roman" w:hAnsi="Times New Roman" w:cs="Times New Roman"/>
                <w:b w:val="0"/>
                <w:bCs/>
                <w:color w:val="auto"/>
                <w:kern w:val="0"/>
                <w:sz w:val="24"/>
                <w:szCs w:val="24"/>
                <w:vertAlign w:val="baseline"/>
                <w:lang w:eastAsia="zh-CN"/>
              </w:rPr>
              <w:t>项目</w:t>
            </w:r>
            <w:r>
              <w:rPr>
                <w:rFonts w:hint="eastAsia" w:ascii="Times New Roman" w:hAnsi="Times New Roman" w:cs="Times New Roman"/>
                <w:b w:val="0"/>
                <w:bCs/>
                <w:color w:val="auto"/>
                <w:kern w:val="0"/>
                <w:sz w:val="24"/>
                <w:szCs w:val="24"/>
                <w:vertAlign w:val="baseline"/>
                <w:lang w:val="en-US" w:eastAsia="zh-CN"/>
              </w:rPr>
              <w:t>为</w:t>
            </w:r>
            <w:r>
              <w:rPr>
                <w:rFonts w:hint="default" w:ascii="Times New Roman" w:hAnsi="Times New Roman" w:cs="Times New Roman"/>
                <w:b w:val="0"/>
                <w:bCs/>
                <w:color w:val="auto"/>
                <w:kern w:val="0"/>
                <w:sz w:val="24"/>
                <w:szCs w:val="24"/>
                <w:vertAlign w:val="baseline"/>
                <w:lang w:eastAsia="zh-CN"/>
              </w:rPr>
              <w:t>宠物医院，无高噪声设备，使用空调设备为常规家用型挂机及柜机空调，噪声源强约为</w:t>
            </w:r>
            <w:r>
              <w:rPr>
                <w:rFonts w:hint="eastAsia" w:cs="Times New Roman"/>
                <w:b w:val="0"/>
                <w:bCs/>
                <w:color w:val="auto"/>
                <w:kern w:val="0"/>
                <w:sz w:val="24"/>
                <w:szCs w:val="24"/>
                <w:vertAlign w:val="baseline"/>
                <w:lang w:val="en-US" w:eastAsia="zh-CN"/>
              </w:rPr>
              <w:t>65</w:t>
            </w:r>
            <w:r>
              <w:rPr>
                <w:rFonts w:hint="default" w:ascii="Times New Roman" w:hAnsi="Times New Roman" w:cs="Times New Roman"/>
                <w:b w:val="0"/>
                <w:bCs/>
                <w:color w:val="auto"/>
                <w:kern w:val="0"/>
                <w:sz w:val="24"/>
                <w:szCs w:val="24"/>
                <w:vertAlign w:val="baseline"/>
                <w:lang w:eastAsia="zh-CN"/>
              </w:rPr>
              <w:t>dB（A）</w:t>
            </w:r>
            <w:r>
              <w:rPr>
                <w:rFonts w:hint="eastAsia" w:ascii="Times New Roman" w:hAnsi="Times New Roman" w:cs="Times New Roman"/>
                <w:b w:val="0"/>
                <w:bCs/>
                <w:color w:val="auto"/>
                <w:kern w:val="0"/>
                <w:sz w:val="24"/>
                <w:szCs w:val="24"/>
                <w:vertAlign w:val="baseline"/>
                <w:lang w:eastAsia="zh-CN"/>
              </w:rPr>
              <w:t>，</w:t>
            </w:r>
            <w:r>
              <w:rPr>
                <w:rFonts w:hint="default" w:ascii="Times New Roman" w:hAnsi="Times New Roman" w:cs="Times New Roman"/>
                <w:b w:val="0"/>
                <w:bCs/>
                <w:color w:val="auto"/>
                <w:kern w:val="0"/>
                <w:sz w:val="24"/>
                <w:szCs w:val="24"/>
                <w:vertAlign w:val="baseline"/>
                <w:lang w:eastAsia="zh-CN"/>
              </w:rPr>
              <w:t>主要噪声来源于</w:t>
            </w:r>
            <w:r>
              <w:rPr>
                <w:rFonts w:hint="eastAsia" w:ascii="Times New Roman" w:hAnsi="Times New Roman" w:cs="Times New Roman"/>
                <w:b w:val="0"/>
                <w:bCs/>
                <w:color w:val="auto"/>
                <w:kern w:val="0"/>
                <w:sz w:val="24"/>
                <w:szCs w:val="24"/>
                <w:vertAlign w:val="baseline"/>
                <w:lang w:val="en-US" w:eastAsia="zh-CN"/>
              </w:rPr>
              <w:t>宠物</w:t>
            </w:r>
            <w:r>
              <w:rPr>
                <w:rFonts w:hint="default" w:ascii="Times New Roman" w:hAnsi="Times New Roman" w:cs="Times New Roman"/>
                <w:b w:val="0"/>
                <w:bCs/>
                <w:color w:val="auto"/>
                <w:kern w:val="0"/>
                <w:sz w:val="24"/>
                <w:szCs w:val="24"/>
                <w:vertAlign w:val="baseline"/>
                <w:lang w:eastAsia="zh-CN"/>
              </w:rPr>
              <w:t>偶发吼叫噪声，噪声源强约为</w:t>
            </w:r>
            <w:r>
              <w:rPr>
                <w:rFonts w:hint="eastAsia" w:cs="Times New Roman"/>
                <w:b w:val="0"/>
                <w:bCs/>
                <w:color w:val="auto"/>
                <w:kern w:val="0"/>
                <w:sz w:val="24"/>
                <w:szCs w:val="24"/>
                <w:vertAlign w:val="baseline"/>
                <w:lang w:val="en-US" w:eastAsia="zh-CN"/>
              </w:rPr>
              <w:t>70</w:t>
            </w:r>
            <w:r>
              <w:rPr>
                <w:rFonts w:hint="default" w:ascii="Times New Roman" w:hAnsi="Times New Roman" w:cs="Times New Roman"/>
                <w:b w:val="0"/>
                <w:bCs/>
                <w:color w:val="auto"/>
                <w:kern w:val="0"/>
                <w:sz w:val="24"/>
                <w:szCs w:val="24"/>
                <w:vertAlign w:val="baseline"/>
                <w:lang w:eastAsia="zh-CN"/>
              </w:rPr>
              <w:t>dB（A）。本项目主要噪声源强详见下表。</w:t>
            </w:r>
          </w:p>
          <w:p w14:paraId="1353A2E6">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b w:val="0"/>
                <w:bCs/>
                <w:color w:val="auto"/>
                <w:kern w:val="2"/>
                <w:sz w:val="21"/>
                <w:szCs w:val="21"/>
                <w:highlight w:val="none"/>
                <w:lang w:val="en-US" w:eastAsia="zh-CN" w:bidi="ar-SA"/>
              </w:rPr>
            </w:pPr>
            <w:r>
              <w:rPr>
                <w:rFonts w:ascii="Times New Roman" w:hAnsi="Times New Roman" w:eastAsia="宋体" w:cs="Times New Roman"/>
                <w:b w:val="0"/>
                <w:bCs/>
                <w:color w:val="auto"/>
                <w:kern w:val="2"/>
                <w:sz w:val="21"/>
                <w:szCs w:val="21"/>
                <w:highlight w:val="none"/>
                <w:lang w:val="en-US" w:eastAsia="zh-CN" w:bidi="ar-SA"/>
              </w:rPr>
              <w:t>表</w:t>
            </w:r>
            <w:r>
              <w:rPr>
                <w:rFonts w:hint="eastAsia" w:cs="Times New Roman"/>
                <w:b w:val="0"/>
                <w:bCs/>
                <w:color w:val="auto"/>
                <w:kern w:val="2"/>
                <w:sz w:val="21"/>
                <w:szCs w:val="21"/>
                <w:highlight w:val="none"/>
                <w:lang w:val="en-US" w:eastAsia="zh-CN" w:bidi="ar-SA"/>
              </w:rPr>
              <w:t xml:space="preserve">4.2-8 </w:t>
            </w:r>
            <w:r>
              <w:rPr>
                <w:rFonts w:ascii="Times New Roman" w:hAnsi="Times New Roman" w:eastAsia="宋体" w:cs="Times New Roman"/>
                <w:b w:val="0"/>
                <w:bCs/>
                <w:color w:val="auto"/>
                <w:kern w:val="2"/>
                <w:sz w:val="21"/>
                <w:szCs w:val="21"/>
                <w:highlight w:val="none"/>
                <w:lang w:val="en-US" w:eastAsia="zh-CN" w:bidi="ar-SA"/>
              </w:rPr>
              <w:t>本项目噪声源强调查清单（室内声源）</w:t>
            </w:r>
          </w:p>
          <w:tbl>
            <w:tblPr>
              <w:tblStyle w:val="21"/>
              <w:tblW w:w="84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2"/>
              <w:gridCol w:w="311"/>
              <w:gridCol w:w="384"/>
              <w:gridCol w:w="945"/>
              <w:gridCol w:w="510"/>
              <w:gridCol w:w="375"/>
              <w:gridCol w:w="315"/>
              <w:gridCol w:w="315"/>
              <w:gridCol w:w="450"/>
              <w:gridCol w:w="450"/>
              <w:gridCol w:w="645"/>
              <w:gridCol w:w="645"/>
              <w:gridCol w:w="390"/>
              <w:gridCol w:w="615"/>
              <w:gridCol w:w="600"/>
              <w:gridCol w:w="652"/>
              <w:gridCol w:w="578"/>
            </w:tblGrid>
            <w:tr w14:paraId="7BC15F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 w:type="dxa"/>
                  <w:vMerge w:val="restart"/>
                  <w:tcBorders>
                    <w:tl2br w:val="nil"/>
                    <w:tr2bl w:val="nil"/>
                  </w:tcBorders>
                  <w:vAlign w:val="center"/>
                </w:tcPr>
                <w:p w14:paraId="3801908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序号</w:t>
                  </w:r>
                </w:p>
              </w:tc>
              <w:tc>
                <w:tcPr>
                  <w:tcW w:w="311" w:type="dxa"/>
                  <w:vMerge w:val="restart"/>
                  <w:tcBorders>
                    <w:tl2br w:val="nil"/>
                    <w:tr2bl w:val="nil"/>
                  </w:tcBorders>
                  <w:vAlign w:val="center"/>
                </w:tcPr>
                <w:p w14:paraId="5FC7F535">
                  <w:pPr>
                    <w:pStyle w:val="5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建筑物名称</w:t>
                  </w:r>
                </w:p>
              </w:tc>
              <w:tc>
                <w:tcPr>
                  <w:tcW w:w="384" w:type="dxa"/>
                  <w:vMerge w:val="restart"/>
                  <w:tcBorders>
                    <w:tl2br w:val="nil"/>
                    <w:tr2bl w:val="nil"/>
                  </w:tcBorders>
                  <w:vAlign w:val="center"/>
                </w:tcPr>
                <w:p w14:paraId="130F752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声源</w:t>
                  </w:r>
                </w:p>
                <w:p w14:paraId="63175C6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名称</w:t>
                  </w:r>
                </w:p>
              </w:tc>
              <w:tc>
                <w:tcPr>
                  <w:tcW w:w="945" w:type="dxa"/>
                  <w:vMerge w:val="restart"/>
                  <w:tcBorders>
                    <w:tl2br w:val="nil"/>
                    <w:tr2bl w:val="nil"/>
                  </w:tcBorders>
                  <w:vAlign w:val="center"/>
                </w:tcPr>
                <w:p w14:paraId="00D48EF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声源源强</w:t>
                  </w:r>
                </w:p>
                <w:p w14:paraId="0CA01948">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（声压级/距声源距离）/（dB（A）/m）</w:t>
                  </w:r>
                </w:p>
              </w:tc>
              <w:tc>
                <w:tcPr>
                  <w:tcW w:w="510" w:type="dxa"/>
                  <w:vMerge w:val="restart"/>
                  <w:tcBorders>
                    <w:tl2br w:val="nil"/>
                    <w:tr2bl w:val="nil"/>
                  </w:tcBorders>
                  <w:vAlign w:val="center"/>
                </w:tcPr>
                <w:p w14:paraId="7CD6140F">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声源控制措施</w:t>
                  </w:r>
                </w:p>
              </w:tc>
              <w:tc>
                <w:tcPr>
                  <w:tcW w:w="1005" w:type="dxa"/>
                  <w:gridSpan w:val="3"/>
                  <w:tcBorders>
                    <w:tl2br w:val="nil"/>
                    <w:tr2bl w:val="nil"/>
                  </w:tcBorders>
                  <w:vAlign w:val="center"/>
                </w:tcPr>
                <w:p w14:paraId="21CF8A3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空间相对位置/m</w:t>
                  </w:r>
                </w:p>
              </w:tc>
              <w:tc>
                <w:tcPr>
                  <w:tcW w:w="900" w:type="dxa"/>
                  <w:gridSpan w:val="2"/>
                  <w:tcBorders>
                    <w:tl2br w:val="nil"/>
                    <w:tr2bl w:val="nil"/>
                  </w:tcBorders>
                  <w:vAlign w:val="center"/>
                </w:tcPr>
                <w:p w14:paraId="133393A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距室内边界距离/m</w:t>
                  </w:r>
                </w:p>
              </w:tc>
              <w:tc>
                <w:tcPr>
                  <w:tcW w:w="1290" w:type="dxa"/>
                  <w:gridSpan w:val="2"/>
                  <w:tcBorders>
                    <w:tl2br w:val="nil"/>
                    <w:tr2bl w:val="nil"/>
                  </w:tcBorders>
                  <w:vAlign w:val="center"/>
                </w:tcPr>
                <w:p w14:paraId="61538619">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室内边界声级/dB（A）</w:t>
                  </w:r>
                </w:p>
              </w:tc>
              <w:tc>
                <w:tcPr>
                  <w:tcW w:w="390" w:type="dxa"/>
                  <w:vMerge w:val="restart"/>
                  <w:tcBorders>
                    <w:tl2br w:val="nil"/>
                    <w:tr2bl w:val="nil"/>
                  </w:tcBorders>
                  <w:vAlign w:val="center"/>
                </w:tcPr>
                <w:p w14:paraId="55C5862E">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运行</w:t>
                  </w:r>
                </w:p>
                <w:p w14:paraId="1342D50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时段</w:t>
                  </w:r>
                </w:p>
              </w:tc>
              <w:tc>
                <w:tcPr>
                  <w:tcW w:w="615" w:type="dxa"/>
                  <w:vMerge w:val="restart"/>
                  <w:tcBorders>
                    <w:tl2br w:val="nil"/>
                    <w:tr2bl w:val="nil"/>
                  </w:tcBorders>
                  <w:vAlign w:val="center"/>
                </w:tcPr>
                <w:p w14:paraId="69EA0C3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建筑物</w:t>
                  </w:r>
                </w:p>
                <w:p w14:paraId="17733BEA">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插入损失（dB）</w:t>
                  </w:r>
                </w:p>
              </w:tc>
              <w:tc>
                <w:tcPr>
                  <w:tcW w:w="1830" w:type="dxa"/>
                  <w:gridSpan w:val="3"/>
                  <w:tcBorders>
                    <w:tl2br w:val="nil"/>
                    <w:tr2bl w:val="nil"/>
                  </w:tcBorders>
                  <w:vAlign w:val="center"/>
                </w:tcPr>
                <w:p w14:paraId="27455B88">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建筑物外噪声</w:t>
                  </w:r>
                </w:p>
              </w:tc>
            </w:tr>
            <w:tr w14:paraId="4934D0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 w:type="dxa"/>
                  <w:vMerge w:val="continue"/>
                  <w:tcBorders>
                    <w:tl2br w:val="nil"/>
                    <w:tr2bl w:val="nil"/>
                  </w:tcBorders>
                  <w:vAlign w:val="center"/>
                </w:tcPr>
                <w:p w14:paraId="4E0C65DE">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11" w:type="dxa"/>
                  <w:vMerge w:val="continue"/>
                  <w:tcBorders>
                    <w:tl2br w:val="nil"/>
                    <w:tr2bl w:val="nil"/>
                  </w:tcBorders>
                  <w:vAlign w:val="center"/>
                </w:tcPr>
                <w:p w14:paraId="7F72BD64">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84" w:type="dxa"/>
                  <w:vMerge w:val="continue"/>
                  <w:tcBorders>
                    <w:tl2br w:val="nil"/>
                    <w:tr2bl w:val="nil"/>
                  </w:tcBorders>
                  <w:vAlign w:val="center"/>
                </w:tcPr>
                <w:p w14:paraId="07F59C6D">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945" w:type="dxa"/>
                  <w:vMerge w:val="continue"/>
                  <w:tcBorders>
                    <w:tl2br w:val="nil"/>
                    <w:tr2bl w:val="nil"/>
                  </w:tcBorders>
                  <w:vAlign w:val="center"/>
                </w:tcPr>
                <w:p w14:paraId="639EA25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510" w:type="dxa"/>
                  <w:vMerge w:val="continue"/>
                  <w:tcBorders>
                    <w:tl2br w:val="nil"/>
                    <w:tr2bl w:val="nil"/>
                  </w:tcBorders>
                  <w:vAlign w:val="center"/>
                </w:tcPr>
                <w:p w14:paraId="33C3F4C5">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75" w:type="dxa"/>
                  <w:vMerge w:val="restart"/>
                  <w:tcBorders>
                    <w:tl2br w:val="nil"/>
                    <w:tr2bl w:val="nil"/>
                  </w:tcBorders>
                  <w:vAlign w:val="center"/>
                </w:tcPr>
                <w:p w14:paraId="55272253">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X</w:t>
                  </w:r>
                </w:p>
              </w:tc>
              <w:tc>
                <w:tcPr>
                  <w:tcW w:w="315" w:type="dxa"/>
                  <w:vMerge w:val="restart"/>
                  <w:tcBorders>
                    <w:tl2br w:val="nil"/>
                    <w:tr2bl w:val="nil"/>
                  </w:tcBorders>
                  <w:vAlign w:val="center"/>
                </w:tcPr>
                <w:p w14:paraId="0934375A">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Y</w:t>
                  </w:r>
                </w:p>
              </w:tc>
              <w:tc>
                <w:tcPr>
                  <w:tcW w:w="315" w:type="dxa"/>
                  <w:vMerge w:val="restart"/>
                  <w:tcBorders>
                    <w:tl2br w:val="nil"/>
                    <w:tr2bl w:val="nil"/>
                  </w:tcBorders>
                  <w:vAlign w:val="center"/>
                </w:tcPr>
                <w:p w14:paraId="4E4C094A">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Z</w:t>
                  </w:r>
                </w:p>
              </w:tc>
              <w:tc>
                <w:tcPr>
                  <w:tcW w:w="450" w:type="dxa"/>
                  <w:vMerge w:val="restart"/>
                  <w:tcBorders>
                    <w:tl2br w:val="nil"/>
                    <w:tr2bl w:val="nil"/>
                  </w:tcBorders>
                  <w:vAlign w:val="center"/>
                </w:tcPr>
                <w:p w14:paraId="499D2F6F">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b w:val="0"/>
                      <w:bCs/>
                      <w:color w:val="auto"/>
                      <w:spacing w:val="0"/>
                      <w:sz w:val="21"/>
                      <w:szCs w:val="18"/>
                      <w:highlight w:val="none"/>
                      <w:lang w:val="en-US" w:eastAsia="zh-CN"/>
                    </w:rPr>
                    <w:t>北侧</w:t>
                  </w:r>
                </w:p>
              </w:tc>
              <w:tc>
                <w:tcPr>
                  <w:tcW w:w="450" w:type="dxa"/>
                  <w:vMerge w:val="restart"/>
                  <w:tcBorders>
                    <w:tl2br w:val="nil"/>
                    <w:tr2bl w:val="nil"/>
                  </w:tcBorders>
                  <w:vAlign w:val="center"/>
                </w:tcPr>
                <w:p w14:paraId="3791E059">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南侧</w:t>
                  </w:r>
                </w:p>
              </w:tc>
              <w:tc>
                <w:tcPr>
                  <w:tcW w:w="645" w:type="dxa"/>
                  <w:vMerge w:val="restart"/>
                  <w:tcBorders>
                    <w:tl2br w:val="nil"/>
                    <w:tr2bl w:val="nil"/>
                  </w:tcBorders>
                  <w:vAlign w:val="center"/>
                </w:tcPr>
                <w:p w14:paraId="28E2A81D">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b w:val="0"/>
                      <w:bCs/>
                      <w:color w:val="auto"/>
                      <w:spacing w:val="0"/>
                      <w:sz w:val="21"/>
                      <w:szCs w:val="18"/>
                      <w:highlight w:val="none"/>
                      <w:lang w:val="en-US" w:eastAsia="zh-CN"/>
                    </w:rPr>
                    <w:t>北</w:t>
                  </w:r>
                  <w:r>
                    <w:rPr>
                      <w:rFonts w:hint="eastAsia" w:ascii="Times New Roman" w:hAnsi="Times New Roman" w:eastAsia="宋体"/>
                      <w:b w:val="0"/>
                      <w:bCs/>
                      <w:color w:val="auto"/>
                      <w:spacing w:val="0"/>
                      <w:sz w:val="21"/>
                      <w:szCs w:val="18"/>
                      <w:highlight w:val="none"/>
                      <w:lang w:val="en-US" w:eastAsia="zh-CN"/>
                    </w:rPr>
                    <w:t>侧</w:t>
                  </w:r>
                </w:p>
              </w:tc>
              <w:tc>
                <w:tcPr>
                  <w:tcW w:w="645" w:type="dxa"/>
                  <w:vMerge w:val="restart"/>
                  <w:tcBorders>
                    <w:tl2br w:val="nil"/>
                    <w:tr2bl w:val="nil"/>
                  </w:tcBorders>
                  <w:vAlign w:val="center"/>
                </w:tcPr>
                <w:p w14:paraId="7A6C566A">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南侧</w:t>
                  </w:r>
                </w:p>
              </w:tc>
              <w:tc>
                <w:tcPr>
                  <w:tcW w:w="390" w:type="dxa"/>
                  <w:vMerge w:val="continue"/>
                  <w:tcBorders>
                    <w:tl2br w:val="nil"/>
                    <w:tr2bl w:val="nil"/>
                  </w:tcBorders>
                  <w:vAlign w:val="center"/>
                </w:tcPr>
                <w:p w14:paraId="380A8284">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615" w:type="dxa"/>
                  <w:vMerge w:val="continue"/>
                  <w:tcBorders>
                    <w:tl2br w:val="nil"/>
                    <w:tr2bl w:val="nil"/>
                  </w:tcBorders>
                  <w:vAlign w:val="center"/>
                </w:tcPr>
                <w:p w14:paraId="79183683">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1252" w:type="dxa"/>
                  <w:gridSpan w:val="2"/>
                  <w:tcBorders>
                    <w:tl2br w:val="nil"/>
                    <w:tr2bl w:val="nil"/>
                  </w:tcBorders>
                  <w:vAlign w:val="center"/>
                </w:tcPr>
                <w:p w14:paraId="1826064E">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声压级</w:t>
                  </w:r>
                </w:p>
              </w:tc>
              <w:tc>
                <w:tcPr>
                  <w:tcW w:w="578" w:type="dxa"/>
                  <w:vMerge w:val="restart"/>
                  <w:tcBorders>
                    <w:tl2br w:val="nil"/>
                    <w:tr2bl w:val="nil"/>
                  </w:tcBorders>
                  <w:vAlign w:val="center"/>
                </w:tcPr>
                <w:p w14:paraId="554CD080">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建筑物外距离（m）</w:t>
                  </w:r>
                </w:p>
              </w:tc>
            </w:tr>
            <w:tr w14:paraId="1C7630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 w:type="dxa"/>
                  <w:vMerge w:val="continue"/>
                  <w:tcBorders>
                    <w:tl2br w:val="nil"/>
                    <w:tr2bl w:val="nil"/>
                  </w:tcBorders>
                  <w:vAlign w:val="center"/>
                </w:tcPr>
                <w:p w14:paraId="476F8F32">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11" w:type="dxa"/>
                  <w:vMerge w:val="continue"/>
                  <w:tcBorders>
                    <w:tl2br w:val="nil"/>
                    <w:tr2bl w:val="nil"/>
                  </w:tcBorders>
                  <w:vAlign w:val="center"/>
                </w:tcPr>
                <w:p w14:paraId="77AACDB8">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84" w:type="dxa"/>
                  <w:vMerge w:val="continue"/>
                  <w:tcBorders>
                    <w:tl2br w:val="nil"/>
                    <w:tr2bl w:val="nil"/>
                  </w:tcBorders>
                  <w:vAlign w:val="center"/>
                </w:tcPr>
                <w:p w14:paraId="42900FC0">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945" w:type="dxa"/>
                  <w:vMerge w:val="continue"/>
                  <w:tcBorders>
                    <w:tl2br w:val="nil"/>
                    <w:tr2bl w:val="nil"/>
                  </w:tcBorders>
                  <w:vAlign w:val="center"/>
                </w:tcPr>
                <w:p w14:paraId="7C0698D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510" w:type="dxa"/>
                  <w:vMerge w:val="continue"/>
                  <w:tcBorders>
                    <w:tl2br w:val="nil"/>
                    <w:tr2bl w:val="nil"/>
                  </w:tcBorders>
                  <w:vAlign w:val="center"/>
                </w:tcPr>
                <w:p w14:paraId="05DFBB96">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75" w:type="dxa"/>
                  <w:vMerge w:val="continue"/>
                  <w:tcBorders>
                    <w:tl2br w:val="nil"/>
                    <w:tr2bl w:val="nil"/>
                  </w:tcBorders>
                  <w:vAlign w:val="center"/>
                </w:tcPr>
                <w:p w14:paraId="784CFEF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15" w:type="dxa"/>
                  <w:vMerge w:val="continue"/>
                  <w:tcBorders>
                    <w:tl2br w:val="nil"/>
                    <w:tr2bl w:val="nil"/>
                  </w:tcBorders>
                  <w:vAlign w:val="center"/>
                </w:tcPr>
                <w:p w14:paraId="16F295FA">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15" w:type="dxa"/>
                  <w:vMerge w:val="continue"/>
                  <w:tcBorders>
                    <w:tl2br w:val="nil"/>
                    <w:tr2bl w:val="nil"/>
                  </w:tcBorders>
                  <w:vAlign w:val="center"/>
                </w:tcPr>
                <w:p w14:paraId="411F135C">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450" w:type="dxa"/>
                  <w:vMerge w:val="continue"/>
                  <w:tcBorders>
                    <w:tl2br w:val="nil"/>
                    <w:tr2bl w:val="nil"/>
                  </w:tcBorders>
                  <w:vAlign w:val="center"/>
                </w:tcPr>
                <w:p w14:paraId="45104CD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450" w:type="dxa"/>
                  <w:vMerge w:val="continue"/>
                  <w:tcBorders>
                    <w:tl2br w:val="nil"/>
                    <w:tr2bl w:val="nil"/>
                  </w:tcBorders>
                  <w:vAlign w:val="center"/>
                </w:tcPr>
                <w:p w14:paraId="0E024E3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645" w:type="dxa"/>
                  <w:vMerge w:val="continue"/>
                  <w:tcBorders>
                    <w:tl2br w:val="nil"/>
                    <w:tr2bl w:val="nil"/>
                  </w:tcBorders>
                  <w:vAlign w:val="center"/>
                </w:tcPr>
                <w:p w14:paraId="2BBE74FA">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645" w:type="dxa"/>
                  <w:vMerge w:val="continue"/>
                  <w:tcBorders>
                    <w:tl2br w:val="nil"/>
                    <w:tr2bl w:val="nil"/>
                  </w:tcBorders>
                  <w:vAlign w:val="center"/>
                </w:tcPr>
                <w:p w14:paraId="354B965C">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90" w:type="dxa"/>
                  <w:vMerge w:val="continue"/>
                  <w:tcBorders>
                    <w:tl2br w:val="nil"/>
                    <w:tr2bl w:val="nil"/>
                  </w:tcBorders>
                  <w:vAlign w:val="center"/>
                </w:tcPr>
                <w:p w14:paraId="4554A26A">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615" w:type="dxa"/>
                  <w:vMerge w:val="continue"/>
                  <w:tcBorders>
                    <w:tl2br w:val="nil"/>
                    <w:tr2bl w:val="nil"/>
                  </w:tcBorders>
                  <w:vAlign w:val="center"/>
                </w:tcPr>
                <w:p w14:paraId="456CF9F0">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600" w:type="dxa"/>
                  <w:tcBorders>
                    <w:tl2br w:val="nil"/>
                    <w:tr2bl w:val="nil"/>
                  </w:tcBorders>
                  <w:vAlign w:val="center"/>
                </w:tcPr>
                <w:p w14:paraId="20A3D42D">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b w:val="0"/>
                      <w:bCs/>
                      <w:color w:val="auto"/>
                      <w:spacing w:val="0"/>
                      <w:sz w:val="21"/>
                      <w:szCs w:val="18"/>
                      <w:highlight w:val="none"/>
                      <w:lang w:val="en-US" w:eastAsia="zh-CN"/>
                    </w:rPr>
                    <w:t>北</w:t>
                  </w:r>
                  <w:r>
                    <w:rPr>
                      <w:rFonts w:hint="eastAsia" w:ascii="Times New Roman" w:hAnsi="Times New Roman" w:eastAsia="宋体"/>
                      <w:b w:val="0"/>
                      <w:bCs/>
                      <w:color w:val="auto"/>
                      <w:spacing w:val="0"/>
                      <w:sz w:val="21"/>
                      <w:szCs w:val="18"/>
                      <w:highlight w:val="none"/>
                      <w:lang w:val="en-US" w:eastAsia="zh-CN"/>
                    </w:rPr>
                    <w:t>侧</w:t>
                  </w:r>
                </w:p>
              </w:tc>
              <w:tc>
                <w:tcPr>
                  <w:tcW w:w="652" w:type="dxa"/>
                  <w:tcBorders>
                    <w:tl2br w:val="nil"/>
                    <w:tr2bl w:val="nil"/>
                  </w:tcBorders>
                  <w:vAlign w:val="center"/>
                </w:tcPr>
                <w:p w14:paraId="490526AE">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南侧</w:t>
                  </w:r>
                </w:p>
              </w:tc>
              <w:tc>
                <w:tcPr>
                  <w:tcW w:w="578" w:type="dxa"/>
                  <w:vMerge w:val="continue"/>
                  <w:tcBorders>
                    <w:tl2br w:val="nil"/>
                    <w:tr2bl w:val="nil"/>
                  </w:tcBorders>
                  <w:vAlign w:val="center"/>
                </w:tcPr>
                <w:p w14:paraId="118DBC5F">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r>
            <w:tr w14:paraId="6D69A0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 w:type="dxa"/>
                  <w:tcBorders>
                    <w:tl2br w:val="nil"/>
                    <w:tr2bl w:val="nil"/>
                  </w:tcBorders>
                  <w:vAlign w:val="center"/>
                </w:tcPr>
                <w:p w14:paraId="5028C236">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1</w:t>
                  </w:r>
                </w:p>
              </w:tc>
              <w:tc>
                <w:tcPr>
                  <w:tcW w:w="311" w:type="dxa"/>
                  <w:tcBorders>
                    <w:tl2br w:val="nil"/>
                    <w:tr2bl w:val="nil"/>
                  </w:tcBorders>
                  <w:vAlign w:val="center"/>
                </w:tcPr>
                <w:p w14:paraId="7BC4496C">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犬住院室</w:t>
                  </w:r>
                </w:p>
              </w:tc>
              <w:tc>
                <w:tcPr>
                  <w:tcW w:w="384" w:type="dxa"/>
                  <w:vMerge w:val="restart"/>
                  <w:tcBorders>
                    <w:tl2br w:val="nil"/>
                    <w:tr2bl w:val="nil"/>
                  </w:tcBorders>
                  <w:shd w:val="clear" w:color="auto" w:fill="auto"/>
                  <w:vAlign w:val="center"/>
                </w:tcPr>
                <w:p w14:paraId="365FBEA2">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color w:val="auto"/>
                      <w:spacing w:val="0"/>
                      <w:sz w:val="21"/>
                      <w:szCs w:val="18"/>
                      <w:highlight w:val="none"/>
                      <w:lang w:val="en-US" w:eastAsia="zh-CN"/>
                    </w:rPr>
                  </w:pPr>
                  <w:r>
                    <w:rPr>
                      <w:rFonts w:hint="eastAsia" w:ascii="Times New Roman" w:hAnsi="Times New Roman" w:eastAsia="宋体" w:cs="Times New Roman"/>
                      <w:b w:val="0"/>
                      <w:bCs/>
                      <w:color w:val="auto"/>
                      <w:spacing w:val="0"/>
                      <w:sz w:val="21"/>
                      <w:szCs w:val="18"/>
                      <w:highlight w:val="none"/>
                      <w:lang w:val="en-US" w:eastAsia="zh-CN"/>
                    </w:rPr>
                    <w:t>宠物</w:t>
                  </w:r>
                </w:p>
                <w:p w14:paraId="40CC5770">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color w:val="auto"/>
                      <w:spacing w:val="0"/>
                      <w:sz w:val="21"/>
                      <w:szCs w:val="18"/>
                      <w:highlight w:val="none"/>
                      <w:lang w:val="en-US" w:eastAsia="zh-CN"/>
                    </w:rPr>
                  </w:pPr>
                  <w:r>
                    <w:rPr>
                      <w:rFonts w:hint="eastAsia" w:ascii="Times New Roman" w:hAnsi="Times New Roman" w:eastAsia="宋体" w:cs="Times New Roman"/>
                      <w:b w:val="0"/>
                      <w:bCs/>
                      <w:color w:val="auto"/>
                      <w:spacing w:val="0"/>
                      <w:sz w:val="21"/>
                      <w:szCs w:val="18"/>
                      <w:highlight w:val="none"/>
                      <w:lang w:val="en-US" w:eastAsia="zh-CN"/>
                    </w:rPr>
                    <w:t>吼叫</w:t>
                  </w:r>
                </w:p>
              </w:tc>
              <w:tc>
                <w:tcPr>
                  <w:tcW w:w="945" w:type="dxa"/>
                  <w:tcBorders>
                    <w:tl2br w:val="nil"/>
                    <w:tr2bl w:val="nil"/>
                  </w:tcBorders>
                  <w:vAlign w:val="center"/>
                </w:tcPr>
                <w:p w14:paraId="14F8459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b w:val="0"/>
                      <w:bCs/>
                      <w:color w:val="auto"/>
                      <w:spacing w:val="0"/>
                      <w:sz w:val="21"/>
                      <w:szCs w:val="18"/>
                      <w:highlight w:val="none"/>
                      <w:lang w:val="en-US" w:eastAsia="zh-CN"/>
                    </w:rPr>
                  </w:pPr>
                  <w:r>
                    <w:rPr>
                      <w:rFonts w:hint="eastAsia"/>
                      <w:b w:val="0"/>
                      <w:bCs/>
                      <w:color w:val="auto"/>
                      <w:spacing w:val="0"/>
                      <w:sz w:val="21"/>
                      <w:szCs w:val="18"/>
                      <w:highlight w:val="none"/>
                      <w:lang w:val="en-US" w:eastAsia="zh-CN"/>
                    </w:rPr>
                    <w:t>70</w:t>
                  </w:r>
                  <w:r>
                    <w:rPr>
                      <w:rFonts w:hint="eastAsia" w:ascii="Times New Roman" w:hAnsi="Times New Roman" w:eastAsia="宋体"/>
                      <w:b w:val="0"/>
                      <w:bCs/>
                      <w:color w:val="auto"/>
                      <w:spacing w:val="0"/>
                      <w:sz w:val="21"/>
                      <w:szCs w:val="18"/>
                      <w:highlight w:val="none"/>
                      <w:lang w:val="en-US" w:eastAsia="zh-CN"/>
                    </w:rPr>
                    <w:t>/1</w:t>
                  </w:r>
                </w:p>
              </w:tc>
              <w:tc>
                <w:tcPr>
                  <w:tcW w:w="510" w:type="dxa"/>
                  <w:vMerge w:val="restart"/>
                  <w:tcBorders>
                    <w:tl2br w:val="nil"/>
                    <w:tr2bl w:val="nil"/>
                  </w:tcBorders>
                  <w:vAlign w:val="center"/>
                </w:tcPr>
                <w:p w14:paraId="35852A48">
                  <w:pPr>
                    <w:pStyle w:val="5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建筑隔声、加强管理</w:t>
                  </w:r>
                </w:p>
              </w:tc>
              <w:tc>
                <w:tcPr>
                  <w:tcW w:w="375" w:type="dxa"/>
                  <w:tcBorders>
                    <w:tl2br w:val="nil"/>
                    <w:tr2bl w:val="nil"/>
                  </w:tcBorders>
                  <w:vAlign w:val="center"/>
                </w:tcPr>
                <w:p w14:paraId="7A340864">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cs="Times New Roman"/>
                      <w:b w:val="0"/>
                      <w:bCs/>
                      <w:snapToGrid w:val="0"/>
                      <w:color w:val="auto"/>
                      <w:spacing w:val="0"/>
                      <w:kern w:val="2"/>
                      <w:sz w:val="21"/>
                      <w:szCs w:val="18"/>
                      <w:highlight w:val="none"/>
                      <w:lang w:val="en-US" w:eastAsia="zh-CN" w:bidi="ar-SA"/>
                    </w:rPr>
                    <w:t>-3</w:t>
                  </w:r>
                </w:p>
              </w:tc>
              <w:tc>
                <w:tcPr>
                  <w:tcW w:w="315" w:type="dxa"/>
                  <w:tcBorders>
                    <w:tl2br w:val="nil"/>
                    <w:tr2bl w:val="nil"/>
                  </w:tcBorders>
                  <w:vAlign w:val="center"/>
                </w:tcPr>
                <w:p w14:paraId="0943014D">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cs="Times New Roman"/>
                      <w:b w:val="0"/>
                      <w:bCs/>
                      <w:snapToGrid w:val="0"/>
                      <w:color w:val="auto"/>
                      <w:spacing w:val="0"/>
                      <w:kern w:val="2"/>
                      <w:sz w:val="21"/>
                      <w:szCs w:val="18"/>
                      <w:highlight w:val="none"/>
                      <w:lang w:val="en-US" w:eastAsia="zh-CN" w:bidi="ar-SA"/>
                    </w:rPr>
                    <w:t>-5</w:t>
                  </w:r>
                </w:p>
              </w:tc>
              <w:tc>
                <w:tcPr>
                  <w:tcW w:w="315" w:type="dxa"/>
                  <w:tcBorders>
                    <w:tl2br w:val="nil"/>
                    <w:tr2bl w:val="nil"/>
                  </w:tcBorders>
                  <w:vAlign w:val="center"/>
                </w:tcPr>
                <w:p w14:paraId="6899666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1</w:t>
                  </w:r>
                </w:p>
              </w:tc>
              <w:tc>
                <w:tcPr>
                  <w:tcW w:w="450" w:type="dxa"/>
                  <w:tcBorders>
                    <w:tl2br w:val="nil"/>
                    <w:tr2bl w:val="nil"/>
                  </w:tcBorders>
                  <w:vAlign w:val="center"/>
                </w:tcPr>
                <w:p w14:paraId="37C2A5CE">
                  <w:pPr>
                    <w:keepNext w:val="0"/>
                    <w:keepLines w:val="0"/>
                    <w:widowControl/>
                    <w:suppressLineNumbers w:val="0"/>
                    <w:jc w:val="center"/>
                    <w:textAlignment w:val="bottom"/>
                    <w:rPr>
                      <w:rFonts w:hint="default" w:ascii="Times New Roman" w:hAnsi="Times New Roman" w:eastAsia="宋体" w:cs="Times New Roman"/>
                      <w:b w:val="0"/>
                      <w:bCs/>
                      <w:snapToGrid w:val="0"/>
                      <w:color w:val="auto"/>
                      <w:spacing w:val="0"/>
                      <w:kern w:val="2"/>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13</w:t>
                  </w:r>
                </w:p>
              </w:tc>
              <w:tc>
                <w:tcPr>
                  <w:tcW w:w="450" w:type="dxa"/>
                  <w:tcBorders>
                    <w:tl2br w:val="nil"/>
                    <w:tr2bl w:val="nil"/>
                  </w:tcBorders>
                  <w:vAlign w:val="center"/>
                </w:tcPr>
                <w:p w14:paraId="0A113B63">
                  <w:pPr>
                    <w:keepNext w:val="0"/>
                    <w:keepLines w:val="0"/>
                    <w:widowControl/>
                    <w:suppressLineNumbers w:val="0"/>
                    <w:jc w:val="center"/>
                    <w:textAlignment w:val="bottom"/>
                    <w:rPr>
                      <w:rFonts w:hint="default" w:ascii="Times New Roman" w:hAnsi="Times New Roman" w:eastAsia="宋体" w:cs="Times New Roman"/>
                      <w:b w:val="0"/>
                      <w:bCs/>
                      <w:snapToGrid w:val="0"/>
                      <w:color w:val="auto"/>
                      <w:spacing w:val="0"/>
                      <w:kern w:val="2"/>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2</w:t>
                  </w:r>
                </w:p>
              </w:tc>
              <w:tc>
                <w:tcPr>
                  <w:tcW w:w="645" w:type="dxa"/>
                  <w:tcBorders>
                    <w:tl2br w:val="nil"/>
                    <w:tr2bl w:val="nil"/>
                  </w:tcBorders>
                  <w:shd w:val="clear" w:color="auto" w:fill="auto"/>
                  <w:vAlign w:val="center"/>
                </w:tcPr>
                <w:p w14:paraId="00153DDB">
                  <w:pPr>
                    <w:keepNext w:val="0"/>
                    <w:keepLines w:val="0"/>
                    <w:widowControl/>
                    <w:suppressLineNumbers w:val="0"/>
                    <w:jc w:val="center"/>
                    <w:textAlignment w:val="bottom"/>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24.7</w:t>
                  </w:r>
                </w:p>
              </w:tc>
              <w:tc>
                <w:tcPr>
                  <w:tcW w:w="645" w:type="dxa"/>
                  <w:tcBorders>
                    <w:tl2br w:val="nil"/>
                    <w:tr2bl w:val="nil"/>
                  </w:tcBorders>
                  <w:shd w:val="clear" w:color="auto" w:fill="auto"/>
                  <w:vAlign w:val="center"/>
                </w:tcPr>
                <w:p w14:paraId="364A9772">
                  <w:pPr>
                    <w:keepNext w:val="0"/>
                    <w:keepLines w:val="0"/>
                    <w:widowControl/>
                    <w:suppressLineNumbers w:val="0"/>
                    <w:jc w:val="center"/>
                    <w:textAlignment w:val="bottom"/>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41.0</w:t>
                  </w:r>
                </w:p>
              </w:tc>
              <w:tc>
                <w:tcPr>
                  <w:tcW w:w="390" w:type="dxa"/>
                  <w:vMerge w:val="restart"/>
                  <w:tcBorders>
                    <w:tl2br w:val="nil"/>
                    <w:tr2bl w:val="nil"/>
                  </w:tcBorders>
                  <w:vAlign w:val="center"/>
                </w:tcPr>
                <w:p w14:paraId="383A1C2F">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昼、</w:t>
                  </w:r>
                </w:p>
                <w:p w14:paraId="321EF34D">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夜间</w:t>
                  </w:r>
                </w:p>
              </w:tc>
              <w:tc>
                <w:tcPr>
                  <w:tcW w:w="615" w:type="dxa"/>
                  <w:vMerge w:val="restart"/>
                  <w:tcBorders>
                    <w:tl2br w:val="nil"/>
                    <w:tr2bl w:val="nil"/>
                  </w:tcBorders>
                  <w:vAlign w:val="center"/>
                </w:tcPr>
                <w:p w14:paraId="646861F0">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20</w:t>
                  </w:r>
                </w:p>
              </w:tc>
              <w:tc>
                <w:tcPr>
                  <w:tcW w:w="600" w:type="dxa"/>
                  <w:vMerge w:val="restart"/>
                  <w:tcBorders>
                    <w:tl2br w:val="nil"/>
                    <w:tr2bl w:val="nil"/>
                  </w:tcBorders>
                  <w:shd w:val="clear" w:color="auto" w:fill="auto"/>
                  <w:vAlign w:val="center"/>
                </w:tcPr>
                <w:p w14:paraId="478C5D9D">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30.0</w:t>
                  </w:r>
                </w:p>
              </w:tc>
              <w:tc>
                <w:tcPr>
                  <w:tcW w:w="652" w:type="dxa"/>
                  <w:vMerge w:val="restart"/>
                  <w:tcBorders>
                    <w:tl2br w:val="nil"/>
                    <w:tr2bl w:val="nil"/>
                  </w:tcBorders>
                  <w:shd w:val="clear" w:color="auto" w:fill="auto"/>
                  <w:vAlign w:val="center"/>
                </w:tcPr>
                <w:p w14:paraId="1AEDC252">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44.5</w:t>
                  </w:r>
                </w:p>
              </w:tc>
              <w:tc>
                <w:tcPr>
                  <w:tcW w:w="578" w:type="dxa"/>
                  <w:vMerge w:val="restart"/>
                  <w:tcBorders>
                    <w:tl2br w:val="nil"/>
                    <w:tr2bl w:val="nil"/>
                  </w:tcBorders>
                  <w:vAlign w:val="center"/>
                </w:tcPr>
                <w:p w14:paraId="47DB1029">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1</w:t>
                  </w:r>
                </w:p>
              </w:tc>
            </w:tr>
            <w:tr w14:paraId="67C1F4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 w:type="dxa"/>
                  <w:tcBorders>
                    <w:tl2br w:val="nil"/>
                    <w:tr2bl w:val="nil"/>
                  </w:tcBorders>
                  <w:vAlign w:val="center"/>
                </w:tcPr>
                <w:p w14:paraId="55C12459">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default"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2</w:t>
                  </w:r>
                </w:p>
              </w:tc>
              <w:tc>
                <w:tcPr>
                  <w:tcW w:w="311" w:type="dxa"/>
                  <w:tcBorders>
                    <w:tl2br w:val="nil"/>
                    <w:tr2bl w:val="nil"/>
                  </w:tcBorders>
                  <w:vAlign w:val="center"/>
                </w:tcPr>
                <w:p w14:paraId="16D2319D">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猫住院室</w:t>
                  </w:r>
                </w:p>
              </w:tc>
              <w:tc>
                <w:tcPr>
                  <w:tcW w:w="384" w:type="dxa"/>
                  <w:vMerge w:val="continue"/>
                  <w:tcBorders>
                    <w:tl2br w:val="nil"/>
                    <w:tr2bl w:val="nil"/>
                  </w:tcBorders>
                  <w:shd w:val="clear" w:color="auto" w:fill="auto"/>
                  <w:vAlign w:val="center"/>
                </w:tcPr>
                <w:p w14:paraId="0278C8EA">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color w:val="auto"/>
                      <w:spacing w:val="0"/>
                      <w:sz w:val="21"/>
                      <w:szCs w:val="18"/>
                      <w:highlight w:val="none"/>
                      <w:lang w:val="en-US" w:eastAsia="zh-CN"/>
                    </w:rPr>
                  </w:pPr>
                </w:p>
              </w:tc>
              <w:tc>
                <w:tcPr>
                  <w:tcW w:w="945" w:type="dxa"/>
                  <w:tcBorders>
                    <w:tl2br w:val="nil"/>
                    <w:tr2bl w:val="nil"/>
                  </w:tcBorders>
                  <w:vAlign w:val="center"/>
                </w:tcPr>
                <w:p w14:paraId="3EAD238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b w:val="0"/>
                      <w:bCs/>
                      <w:color w:val="auto"/>
                      <w:spacing w:val="0"/>
                      <w:sz w:val="21"/>
                      <w:szCs w:val="18"/>
                      <w:highlight w:val="none"/>
                      <w:lang w:val="en-US" w:eastAsia="zh-CN"/>
                    </w:rPr>
                    <w:t>70</w:t>
                  </w:r>
                  <w:r>
                    <w:rPr>
                      <w:rFonts w:hint="eastAsia" w:ascii="Times New Roman" w:hAnsi="Times New Roman" w:eastAsia="宋体"/>
                      <w:b w:val="0"/>
                      <w:bCs/>
                      <w:color w:val="auto"/>
                      <w:spacing w:val="0"/>
                      <w:sz w:val="21"/>
                      <w:szCs w:val="18"/>
                      <w:highlight w:val="none"/>
                      <w:lang w:val="en-US" w:eastAsia="zh-CN"/>
                    </w:rPr>
                    <w:t>/1</w:t>
                  </w:r>
                </w:p>
              </w:tc>
              <w:tc>
                <w:tcPr>
                  <w:tcW w:w="510" w:type="dxa"/>
                  <w:vMerge w:val="continue"/>
                  <w:tcBorders>
                    <w:tl2br w:val="nil"/>
                    <w:tr2bl w:val="nil"/>
                  </w:tcBorders>
                  <w:vAlign w:val="center"/>
                </w:tcPr>
                <w:p w14:paraId="0C0D7FC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75" w:type="dxa"/>
                  <w:tcBorders>
                    <w:tl2br w:val="nil"/>
                    <w:tr2bl w:val="nil"/>
                  </w:tcBorders>
                  <w:vAlign w:val="center"/>
                </w:tcPr>
                <w:p w14:paraId="5337C5E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cs="Times New Roman"/>
                      <w:b w:val="0"/>
                      <w:bCs/>
                      <w:snapToGrid w:val="0"/>
                      <w:color w:val="auto"/>
                      <w:spacing w:val="0"/>
                      <w:kern w:val="2"/>
                      <w:sz w:val="21"/>
                      <w:szCs w:val="18"/>
                      <w:highlight w:val="none"/>
                      <w:lang w:val="en-US" w:eastAsia="zh-CN" w:bidi="ar-SA"/>
                    </w:rPr>
                    <w:t>-5</w:t>
                  </w:r>
                </w:p>
              </w:tc>
              <w:tc>
                <w:tcPr>
                  <w:tcW w:w="315" w:type="dxa"/>
                  <w:tcBorders>
                    <w:tl2br w:val="nil"/>
                    <w:tr2bl w:val="nil"/>
                  </w:tcBorders>
                  <w:vAlign w:val="center"/>
                </w:tcPr>
                <w:p w14:paraId="119328A9">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cs="Times New Roman"/>
                      <w:b w:val="0"/>
                      <w:bCs/>
                      <w:snapToGrid w:val="0"/>
                      <w:color w:val="auto"/>
                      <w:spacing w:val="0"/>
                      <w:kern w:val="2"/>
                      <w:sz w:val="21"/>
                      <w:szCs w:val="18"/>
                      <w:highlight w:val="none"/>
                      <w:lang w:val="en-US" w:eastAsia="zh-CN" w:bidi="ar-SA"/>
                    </w:rPr>
                    <w:t>-3</w:t>
                  </w:r>
                </w:p>
              </w:tc>
              <w:tc>
                <w:tcPr>
                  <w:tcW w:w="315" w:type="dxa"/>
                  <w:tcBorders>
                    <w:tl2br w:val="nil"/>
                    <w:tr2bl w:val="nil"/>
                  </w:tcBorders>
                  <w:vAlign w:val="center"/>
                </w:tcPr>
                <w:p w14:paraId="57A19CB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1</w:t>
                  </w:r>
                </w:p>
              </w:tc>
              <w:tc>
                <w:tcPr>
                  <w:tcW w:w="450" w:type="dxa"/>
                  <w:tcBorders>
                    <w:tl2br w:val="nil"/>
                    <w:tr2bl w:val="nil"/>
                  </w:tcBorders>
                  <w:vAlign w:val="center"/>
                </w:tcPr>
                <w:p w14:paraId="16F56CA7">
                  <w:pPr>
                    <w:keepNext w:val="0"/>
                    <w:keepLines w:val="0"/>
                    <w:widowControl/>
                    <w:suppressLineNumbers w:val="0"/>
                    <w:jc w:val="center"/>
                    <w:textAlignment w:val="bottom"/>
                    <w:rPr>
                      <w:rFonts w:hint="default" w:ascii="Times New Roman" w:hAnsi="Times New Roman" w:eastAsia="宋体" w:cs="Times New Roman"/>
                      <w:b w:val="0"/>
                      <w:bCs/>
                      <w:snapToGrid w:val="0"/>
                      <w:color w:val="auto"/>
                      <w:spacing w:val="0"/>
                      <w:kern w:val="2"/>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11</w:t>
                  </w:r>
                </w:p>
              </w:tc>
              <w:tc>
                <w:tcPr>
                  <w:tcW w:w="450" w:type="dxa"/>
                  <w:tcBorders>
                    <w:tl2br w:val="nil"/>
                    <w:tr2bl w:val="nil"/>
                  </w:tcBorders>
                  <w:vAlign w:val="center"/>
                </w:tcPr>
                <w:p w14:paraId="5626B7C9">
                  <w:pPr>
                    <w:keepNext w:val="0"/>
                    <w:keepLines w:val="0"/>
                    <w:widowControl/>
                    <w:suppressLineNumbers w:val="0"/>
                    <w:jc w:val="center"/>
                    <w:textAlignment w:val="bottom"/>
                    <w:rPr>
                      <w:rFonts w:hint="default" w:ascii="Times New Roman" w:hAnsi="Times New Roman" w:eastAsia="宋体" w:cs="Times New Roman"/>
                      <w:b w:val="0"/>
                      <w:bCs/>
                      <w:snapToGrid w:val="0"/>
                      <w:color w:val="auto"/>
                      <w:spacing w:val="0"/>
                      <w:kern w:val="2"/>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4</w:t>
                  </w:r>
                </w:p>
              </w:tc>
              <w:tc>
                <w:tcPr>
                  <w:tcW w:w="645" w:type="dxa"/>
                  <w:tcBorders>
                    <w:tl2br w:val="nil"/>
                    <w:tr2bl w:val="nil"/>
                  </w:tcBorders>
                  <w:shd w:val="clear" w:color="auto" w:fill="auto"/>
                  <w:vAlign w:val="center"/>
                </w:tcPr>
                <w:p w14:paraId="77566BA4">
                  <w:pPr>
                    <w:keepNext w:val="0"/>
                    <w:keepLines w:val="0"/>
                    <w:widowControl/>
                    <w:suppressLineNumbers w:val="0"/>
                    <w:jc w:val="center"/>
                    <w:textAlignment w:val="bottom"/>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26.2</w:t>
                  </w:r>
                </w:p>
              </w:tc>
              <w:tc>
                <w:tcPr>
                  <w:tcW w:w="645" w:type="dxa"/>
                  <w:tcBorders>
                    <w:tl2br w:val="nil"/>
                    <w:tr2bl w:val="nil"/>
                  </w:tcBorders>
                  <w:shd w:val="clear" w:color="auto" w:fill="auto"/>
                  <w:vAlign w:val="center"/>
                </w:tcPr>
                <w:p w14:paraId="5BE6AD11">
                  <w:pPr>
                    <w:keepNext w:val="0"/>
                    <w:keepLines w:val="0"/>
                    <w:widowControl/>
                    <w:suppressLineNumbers w:val="0"/>
                    <w:jc w:val="center"/>
                    <w:textAlignment w:val="bottom"/>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35.0</w:t>
                  </w:r>
                </w:p>
              </w:tc>
              <w:tc>
                <w:tcPr>
                  <w:tcW w:w="390" w:type="dxa"/>
                  <w:vMerge w:val="continue"/>
                  <w:tcBorders>
                    <w:tl2br w:val="nil"/>
                    <w:tr2bl w:val="nil"/>
                  </w:tcBorders>
                  <w:vAlign w:val="center"/>
                </w:tcPr>
                <w:p w14:paraId="0C9C02E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b w:val="0"/>
                      <w:bCs/>
                      <w:snapToGrid w:val="0"/>
                      <w:color w:val="auto"/>
                      <w:spacing w:val="0"/>
                      <w:kern w:val="2"/>
                      <w:sz w:val="21"/>
                      <w:szCs w:val="18"/>
                      <w:highlight w:val="none"/>
                      <w:lang w:val="en-US" w:eastAsia="zh-CN" w:bidi="ar-SA"/>
                    </w:rPr>
                  </w:pPr>
                </w:p>
              </w:tc>
              <w:tc>
                <w:tcPr>
                  <w:tcW w:w="615" w:type="dxa"/>
                  <w:vMerge w:val="continue"/>
                  <w:tcBorders>
                    <w:tl2br w:val="nil"/>
                    <w:tr2bl w:val="nil"/>
                  </w:tcBorders>
                  <w:vAlign w:val="center"/>
                </w:tcPr>
                <w:p w14:paraId="260396B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c>
                <w:tcPr>
                  <w:tcW w:w="600" w:type="dxa"/>
                  <w:vMerge w:val="continue"/>
                  <w:tcBorders>
                    <w:tl2br w:val="nil"/>
                    <w:tr2bl w:val="nil"/>
                  </w:tcBorders>
                  <w:shd w:val="clear" w:color="auto" w:fill="auto"/>
                  <w:vAlign w:val="center"/>
                </w:tcPr>
                <w:p w14:paraId="2BEBD10B">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c>
                <w:tcPr>
                  <w:tcW w:w="652" w:type="dxa"/>
                  <w:vMerge w:val="continue"/>
                  <w:tcBorders>
                    <w:tl2br w:val="nil"/>
                    <w:tr2bl w:val="nil"/>
                  </w:tcBorders>
                  <w:shd w:val="clear" w:color="auto" w:fill="auto"/>
                  <w:vAlign w:val="center"/>
                </w:tcPr>
                <w:p w14:paraId="4C195C34">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c>
                <w:tcPr>
                  <w:tcW w:w="578" w:type="dxa"/>
                  <w:vMerge w:val="continue"/>
                  <w:tcBorders>
                    <w:tl2br w:val="nil"/>
                    <w:tr2bl w:val="nil"/>
                  </w:tcBorders>
                  <w:vAlign w:val="center"/>
                </w:tcPr>
                <w:p w14:paraId="3AB258B8">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r>
            <w:tr w14:paraId="64A30E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 w:type="dxa"/>
                  <w:tcBorders>
                    <w:tl2br w:val="nil"/>
                    <w:tr2bl w:val="nil"/>
                  </w:tcBorders>
                  <w:vAlign w:val="center"/>
                </w:tcPr>
                <w:p w14:paraId="796B3B98">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default" w:ascii="Times New Roman" w:hAnsi="Times New Roman" w:eastAsia="宋体"/>
                      <w:b w:val="0"/>
                      <w:bCs/>
                      <w:color w:val="auto"/>
                      <w:spacing w:val="0"/>
                      <w:sz w:val="21"/>
                      <w:szCs w:val="18"/>
                      <w:highlight w:val="none"/>
                      <w:lang w:val="en-US" w:eastAsia="zh-CN"/>
                    </w:rPr>
                  </w:pPr>
                  <w:r>
                    <w:rPr>
                      <w:rFonts w:hint="eastAsia"/>
                      <w:b w:val="0"/>
                      <w:bCs/>
                      <w:color w:val="auto"/>
                      <w:spacing w:val="0"/>
                      <w:sz w:val="21"/>
                      <w:szCs w:val="18"/>
                      <w:highlight w:val="none"/>
                      <w:lang w:val="en-US" w:eastAsia="zh-CN"/>
                    </w:rPr>
                    <w:t>3</w:t>
                  </w:r>
                </w:p>
              </w:tc>
              <w:tc>
                <w:tcPr>
                  <w:tcW w:w="311" w:type="dxa"/>
                  <w:tcBorders>
                    <w:tl2br w:val="nil"/>
                    <w:tr2bl w:val="nil"/>
                  </w:tcBorders>
                  <w:vAlign w:val="center"/>
                </w:tcPr>
                <w:p w14:paraId="00D150A8">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隔离室</w:t>
                  </w:r>
                </w:p>
              </w:tc>
              <w:tc>
                <w:tcPr>
                  <w:tcW w:w="384" w:type="dxa"/>
                  <w:vMerge w:val="continue"/>
                  <w:tcBorders>
                    <w:tl2br w:val="nil"/>
                    <w:tr2bl w:val="nil"/>
                  </w:tcBorders>
                  <w:shd w:val="clear" w:color="auto" w:fill="auto"/>
                  <w:vAlign w:val="center"/>
                </w:tcPr>
                <w:p w14:paraId="1453D93A">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color w:val="auto"/>
                      <w:spacing w:val="0"/>
                      <w:sz w:val="21"/>
                      <w:szCs w:val="18"/>
                      <w:highlight w:val="none"/>
                      <w:lang w:val="en-US" w:eastAsia="zh-CN"/>
                    </w:rPr>
                  </w:pPr>
                </w:p>
              </w:tc>
              <w:tc>
                <w:tcPr>
                  <w:tcW w:w="945" w:type="dxa"/>
                  <w:tcBorders>
                    <w:tl2br w:val="nil"/>
                    <w:tr2bl w:val="nil"/>
                  </w:tcBorders>
                  <w:vAlign w:val="center"/>
                </w:tcPr>
                <w:p w14:paraId="72083E21">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7</w:t>
                  </w:r>
                  <w:r>
                    <w:rPr>
                      <w:rFonts w:hint="eastAsia"/>
                      <w:b w:val="0"/>
                      <w:bCs/>
                      <w:color w:val="auto"/>
                      <w:spacing w:val="0"/>
                      <w:sz w:val="21"/>
                      <w:szCs w:val="18"/>
                      <w:highlight w:val="none"/>
                      <w:lang w:val="en-US" w:eastAsia="zh-CN"/>
                    </w:rPr>
                    <w:t>0</w:t>
                  </w:r>
                  <w:r>
                    <w:rPr>
                      <w:rFonts w:hint="eastAsia" w:ascii="Times New Roman" w:hAnsi="Times New Roman" w:eastAsia="宋体"/>
                      <w:b w:val="0"/>
                      <w:bCs/>
                      <w:color w:val="auto"/>
                      <w:spacing w:val="0"/>
                      <w:sz w:val="21"/>
                      <w:szCs w:val="18"/>
                      <w:highlight w:val="none"/>
                      <w:lang w:val="en-US" w:eastAsia="zh-CN"/>
                    </w:rPr>
                    <w:t>/1</w:t>
                  </w:r>
                </w:p>
              </w:tc>
              <w:tc>
                <w:tcPr>
                  <w:tcW w:w="510" w:type="dxa"/>
                  <w:vMerge w:val="continue"/>
                  <w:tcBorders>
                    <w:tl2br w:val="nil"/>
                    <w:tr2bl w:val="nil"/>
                  </w:tcBorders>
                  <w:vAlign w:val="center"/>
                </w:tcPr>
                <w:p w14:paraId="3A4A6EDE">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b w:val="0"/>
                      <w:bCs/>
                      <w:color w:val="auto"/>
                      <w:spacing w:val="0"/>
                      <w:sz w:val="21"/>
                      <w:szCs w:val="18"/>
                      <w:highlight w:val="none"/>
                      <w:lang w:val="en-US" w:eastAsia="zh-CN"/>
                    </w:rPr>
                  </w:pPr>
                </w:p>
              </w:tc>
              <w:tc>
                <w:tcPr>
                  <w:tcW w:w="375" w:type="dxa"/>
                  <w:tcBorders>
                    <w:tl2br w:val="nil"/>
                    <w:tr2bl w:val="nil"/>
                  </w:tcBorders>
                  <w:vAlign w:val="center"/>
                </w:tcPr>
                <w:p w14:paraId="051233A0">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w:t>
                  </w:r>
                  <w:r>
                    <w:rPr>
                      <w:rFonts w:hint="eastAsia" w:cs="Times New Roman"/>
                      <w:b w:val="0"/>
                      <w:bCs/>
                      <w:snapToGrid w:val="0"/>
                      <w:color w:val="auto"/>
                      <w:spacing w:val="0"/>
                      <w:kern w:val="2"/>
                      <w:sz w:val="21"/>
                      <w:szCs w:val="18"/>
                      <w:highlight w:val="none"/>
                      <w:lang w:val="en-US" w:eastAsia="zh-CN" w:bidi="ar-SA"/>
                    </w:rPr>
                    <w:t>1</w:t>
                  </w:r>
                </w:p>
              </w:tc>
              <w:tc>
                <w:tcPr>
                  <w:tcW w:w="315" w:type="dxa"/>
                  <w:tcBorders>
                    <w:tl2br w:val="nil"/>
                    <w:tr2bl w:val="nil"/>
                  </w:tcBorders>
                  <w:vAlign w:val="center"/>
                </w:tcPr>
                <w:p w14:paraId="2F5EA496">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cs="Times New Roman"/>
                      <w:b w:val="0"/>
                      <w:bCs/>
                      <w:snapToGrid w:val="0"/>
                      <w:color w:val="auto"/>
                      <w:spacing w:val="0"/>
                      <w:kern w:val="2"/>
                      <w:sz w:val="21"/>
                      <w:szCs w:val="18"/>
                      <w:highlight w:val="none"/>
                      <w:lang w:val="en-US" w:eastAsia="zh-CN" w:bidi="ar-SA"/>
                    </w:rPr>
                    <w:t>-5</w:t>
                  </w:r>
                </w:p>
              </w:tc>
              <w:tc>
                <w:tcPr>
                  <w:tcW w:w="315" w:type="dxa"/>
                  <w:tcBorders>
                    <w:tl2br w:val="nil"/>
                    <w:tr2bl w:val="nil"/>
                  </w:tcBorders>
                  <w:vAlign w:val="center"/>
                </w:tcPr>
                <w:p w14:paraId="395D3B4F">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r>
                    <w:rPr>
                      <w:rFonts w:hint="eastAsia" w:ascii="Times New Roman" w:hAnsi="Times New Roman" w:eastAsia="宋体" w:cs="Times New Roman"/>
                      <w:b w:val="0"/>
                      <w:bCs/>
                      <w:snapToGrid w:val="0"/>
                      <w:color w:val="auto"/>
                      <w:spacing w:val="0"/>
                      <w:kern w:val="2"/>
                      <w:sz w:val="21"/>
                      <w:szCs w:val="18"/>
                      <w:highlight w:val="none"/>
                      <w:lang w:val="en-US" w:eastAsia="zh-CN" w:bidi="ar-SA"/>
                    </w:rPr>
                    <w:t>1</w:t>
                  </w:r>
                </w:p>
              </w:tc>
              <w:tc>
                <w:tcPr>
                  <w:tcW w:w="450" w:type="dxa"/>
                  <w:tcBorders>
                    <w:tl2br w:val="nil"/>
                    <w:tr2bl w:val="nil"/>
                  </w:tcBorders>
                  <w:vAlign w:val="center"/>
                </w:tcPr>
                <w:p w14:paraId="333786E2">
                  <w:pPr>
                    <w:keepNext w:val="0"/>
                    <w:keepLines w:val="0"/>
                    <w:widowControl/>
                    <w:suppressLineNumbers w:val="0"/>
                    <w:jc w:val="center"/>
                    <w:textAlignment w:val="bottom"/>
                    <w:rPr>
                      <w:rFonts w:hint="default" w:ascii="Times New Roman" w:hAnsi="Times New Roman" w:eastAsia="宋体" w:cs="Times New Roman"/>
                      <w:b w:val="0"/>
                      <w:bCs/>
                      <w:snapToGrid w:val="0"/>
                      <w:color w:val="auto"/>
                      <w:spacing w:val="0"/>
                      <w:kern w:val="2"/>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13</w:t>
                  </w:r>
                </w:p>
              </w:tc>
              <w:tc>
                <w:tcPr>
                  <w:tcW w:w="450" w:type="dxa"/>
                  <w:tcBorders>
                    <w:tl2br w:val="nil"/>
                    <w:tr2bl w:val="nil"/>
                  </w:tcBorders>
                  <w:vAlign w:val="center"/>
                </w:tcPr>
                <w:p w14:paraId="5270137E">
                  <w:pPr>
                    <w:keepNext w:val="0"/>
                    <w:keepLines w:val="0"/>
                    <w:widowControl/>
                    <w:suppressLineNumbers w:val="0"/>
                    <w:jc w:val="center"/>
                    <w:textAlignment w:val="bottom"/>
                    <w:rPr>
                      <w:rFonts w:hint="default" w:ascii="Times New Roman" w:hAnsi="Times New Roman" w:eastAsia="宋体" w:cs="Times New Roman"/>
                      <w:b w:val="0"/>
                      <w:bCs/>
                      <w:snapToGrid w:val="0"/>
                      <w:color w:val="auto"/>
                      <w:spacing w:val="0"/>
                      <w:kern w:val="2"/>
                      <w:sz w:val="21"/>
                      <w:szCs w:val="21"/>
                      <w:highlight w:val="none"/>
                      <w:lang w:val="en-US" w:eastAsia="zh-CN" w:bidi="ar-SA"/>
                    </w:rPr>
                  </w:pPr>
                  <w:r>
                    <w:rPr>
                      <w:rFonts w:hint="default" w:ascii="Times New Roman" w:hAnsi="Times New Roman" w:eastAsia="宋体" w:cs="Times New Roman"/>
                      <w:b w:val="0"/>
                      <w:bCs/>
                      <w:i w:val="0"/>
                      <w:iCs w:val="0"/>
                      <w:color w:val="auto"/>
                      <w:kern w:val="0"/>
                      <w:sz w:val="21"/>
                      <w:szCs w:val="21"/>
                      <w:u w:val="none"/>
                      <w:lang w:val="en-US" w:eastAsia="zh-CN" w:bidi="ar"/>
                    </w:rPr>
                    <w:t>2</w:t>
                  </w:r>
                </w:p>
              </w:tc>
              <w:tc>
                <w:tcPr>
                  <w:tcW w:w="645" w:type="dxa"/>
                  <w:tcBorders>
                    <w:tl2br w:val="nil"/>
                    <w:tr2bl w:val="nil"/>
                  </w:tcBorders>
                  <w:shd w:val="clear" w:color="auto" w:fill="auto"/>
                  <w:vAlign w:val="center"/>
                </w:tcPr>
                <w:p w14:paraId="5314DBA4">
                  <w:pPr>
                    <w:keepNext w:val="0"/>
                    <w:keepLines w:val="0"/>
                    <w:widowControl/>
                    <w:suppressLineNumbers w:val="0"/>
                    <w:jc w:val="center"/>
                    <w:textAlignment w:val="bottom"/>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24.7</w:t>
                  </w:r>
                </w:p>
              </w:tc>
              <w:tc>
                <w:tcPr>
                  <w:tcW w:w="645" w:type="dxa"/>
                  <w:tcBorders>
                    <w:tl2br w:val="nil"/>
                    <w:tr2bl w:val="nil"/>
                  </w:tcBorders>
                  <w:shd w:val="clear" w:color="auto" w:fill="auto"/>
                  <w:vAlign w:val="center"/>
                </w:tcPr>
                <w:p w14:paraId="238B46F7">
                  <w:pPr>
                    <w:keepNext w:val="0"/>
                    <w:keepLines w:val="0"/>
                    <w:widowControl/>
                    <w:suppressLineNumbers w:val="0"/>
                    <w:jc w:val="center"/>
                    <w:textAlignment w:val="bottom"/>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i w:val="0"/>
                      <w:iCs w:val="0"/>
                      <w:color w:val="auto"/>
                      <w:kern w:val="0"/>
                      <w:sz w:val="21"/>
                      <w:szCs w:val="21"/>
                      <w:u w:val="none"/>
                      <w:lang w:val="en-US" w:eastAsia="zh-CN" w:bidi="ar"/>
                    </w:rPr>
                    <w:t>41.0</w:t>
                  </w:r>
                </w:p>
              </w:tc>
              <w:tc>
                <w:tcPr>
                  <w:tcW w:w="390" w:type="dxa"/>
                  <w:vMerge w:val="continue"/>
                  <w:tcBorders>
                    <w:tl2br w:val="nil"/>
                    <w:tr2bl w:val="nil"/>
                  </w:tcBorders>
                  <w:vAlign w:val="center"/>
                </w:tcPr>
                <w:p w14:paraId="6D37C907">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b w:val="0"/>
                      <w:bCs/>
                      <w:snapToGrid w:val="0"/>
                      <w:color w:val="auto"/>
                      <w:spacing w:val="0"/>
                      <w:kern w:val="2"/>
                      <w:sz w:val="21"/>
                      <w:szCs w:val="18"/>
                      <w:highlight w:val="none"/>
                      <w:lang w:val="en-US" w:eastAsia="zh-CN" w:bidi="ar-SA"/>
                    </w:rPr>
                  </w:pPr>
                </w:p>
              </w:tc>
              <w:tc>
                <w:tcPr>
                  <w:tcW w:w="615" w:type="dxa"/>
                  <w:vMerge w:val="continue"/>
                  <w:tcBorders>
                    <w:tl2br w:val="nil"/>
                    <w:tr2bl w:val="nil"/>
                  </w:tcBorders>
                  <w:vAlign w:val="center"/>
                </w:tcPr>
                <w:p w14:paraId="2FE927B3">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c>
                <w:tcPr>
                  <w:tcW w:w="600" w:type="dxa"/>
                  <w:vMerge w:val="continue"/>
                  <w:tcBorders>
                    <w:tl2br w:val="nil"/>
                    <w:tr2bl w:val="nil"/>
                  </w:tcBorders>
                  <w:shd w:val="clear" w:color="auto" w:fill="auto"/>
                  <w:vAlign w:val="center"/>
                </w:tcPr>
                <w:p w14:paraId="2B72E7F8">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c>
                <w:tcPr>
                  <w:tcW w:w="652" w:type="dxa"/>
                  <w:vMerge w:val="continue"/>
                  <w:tcBorders>
                    <w:tl2br w:val="nil"/>
                    <w:tr2bl w:val="nil"/>
                  </w:tcBorders>
                  <w:shd w:val="clear" w:color="auto" w:fill="auto"/>
                  <w:vAlign w:val="center"/>
                </w:tcPr>
                <w:p w14:paraId="4ACB1B75">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c>
                <w:tcPr>
                  <w:tcW w:w="578" w:type="dxa"/>
                  <w:vMerge w:val="continue"/>
                  <w:tcBorders>
                    <w:tl2br w:val="nil"/>
                    <w:tr2bl w:val="nil"/>
                  </w:tcBorders>
                  <w:vAlign w:val="center"/>
                </w:tcPr>
                <w:p w14:paraId="18AF56F4">
                  <w:pPr>
                    <w:pStyle w:val="52"/>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b w:val="0"/>
                      <w:bCs/>
                      <w:snapToGrid w:val="0"/>
                      <w:color w:val="auto"/>
                      <w:spacing w:val="0"/>
                      <w:kern w:val="2"/>
                      <w:sz w:val="21"/>
                      <w:szCs w:val="18"/>
                      <w:highlight w:val="none"/>
                      <w:lang w:val="en-US" w:eastAsia="zh-CN" w:bidi="ar-SA"/>
                    </w:rPr>
                  </w:pPr>
                </w:p>
              </w:tc>
            </w:tr>
            <w:tr w14:paraId="70E396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402" w:type="dxa"/>
                  <w:gridSpan w:val="17"/>
                  <w:tcBorders>
                    <w:tl2br w:val="nil"/>
                    <w:tr2bl w:val="nil"/>
                  </w:tcBorders>
                  <w:vAlign w:val="center"/>
                </w:tcPr>
                <w:p w14:paraId="04012147">
                  <w:pPr>
                    <w:pStyle w:val="5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rPr>
                      <w:rFonts w:hint="eastAsia" w:ascii="Times New Roman" w:hAnsi="Times New Roman" w:eastAsia="宋体"/>
                      <w:b w:val="0"/>
                      <w:bCs/>
                      <w:color w:val="auto"/>
                      <w:spacing w:val="0"/>
                      <w:sz w:val="21"/>
                      <w:szCs w:val="18"/>
                      <w:highlight w:val="none"/>
                      <w:lang w:val="en-US" w:eastAsia="zh-CN"/>
                    </w:rPr>
                  </w:pPr>
                  <w:r>
                    <w:rPr>
                      <w:rFonts w:hint="eastAsia" w:ascii="Times New Roman" w:hAnsi="Times New Roman" w:eastAsia="宋体"/>
                      <w:b w:val="0"/>
                      <w:bCs/>
                      <w:color w:val="auto"/>
                      <w:spacing w:val="0"/>
                      <w:sz w:val="21"/>
                      <w:szCs w:val="18"/>
                      <w:highlight w:val="none"/>
                      <w:lang w:val="en-US" w:eastAsia="zh-CN"/>
                    </w:rPr>
                    <w:t>注：①以医院中心（</w:t>
                  </w:r>
                  <w:r>
                    <w:rPr>
                      <w:rFonts w:hint="eastAsia"/>
                      <w:b w:val="0"/>
                      <w:bCs/>
                      <w:color w:val="auto"/>
                      <w:spacing w:val="0"/>
                      <w:sz w:val="21"/>
                      <w:szCs w:val="18"/>
                      <w:highlight w:val="none"/>
                      <w:lang w:val="en-US" w:eastAsia="zh-CN"/>
                    </w:rPr>
                    <w:t>106.437147720,29.452424365</w:t>
                  </w:r>
                  <w:r>
                    <w:rPr>
                      <w:rFonts w:hint="eastAsia" w:ascii="Times New Roman" w:hAnsi="Times New Roman" w:eastAsia="宋体"/>
                      <w:b w:val="0"/>
                      <w:bCs/>
                      <w:color w:val="auto"/>
                      <w:spacing w:val="0"/>
                      <w:sz w:val="21"/>
                      <w:szCs w:val="18"/>
                      <w:highlight w:val="none"/>
                      <w:lang w:val="en-US" w:eastAsia="zh-CN"/>
                    </w:rPr>
                    <w:t>）为坐标原点（0，0），正东向为X轴正方向，正北向为Y轴正方向。</w:t>
                  </w:r>
                </w:p>
                <w:p w14:paraId="1A86BB23">
                  <w:pPr>
                    <w:pStyle w:val="5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rPr>
                      <w:rFonts w:hint="default" w:ascii="Times New Roman" w:hAnsi="Times New Roman" w:eastAsia="宋体"/>
                      <w:b w:val="0"/>
                      <w:bCs/>
                      <w:color w:val="auto"/>
                      <w:spacing w:val="0"/>
                      <w:sz w:val="21"/>
                      <w:szCs w:val="18"/>
                      <w:highlight w:val="none"/>
                      <w:lang w:val="en-US" w:eastAsia="zh-CN"/>
                    </w:rPr>
                  </w:pPr>
                  <w:r>
                    <w:rPr>
                      <w:rFonts w:hint="default" w:ascii="Times New Roman" w:hAnsi="Times New Roman" w:eastAsia="宋体"/>
                      <w:b w:val="0"/>
                      <w:bCs/>
                      <w:color w:val="auto"/>
                      <w:spacing w:val="0"/>
                      <w:sz w:val="21"/>
                      <w:szCs w:val="18"/>
                      <w:highlight w:val="none"/>
                      <w:lang w:val="en-US" w:eastAsia="zh-CN"/>
                    </w:rPr>
                    <w:t>②</w:t>
                  </w:r>
                  <w:r>
                    <w:rPr>
                      <w:rFonts w:hint="default" w:ascii="Times New Roman" w:hAnsi="Times New Roman" w:cs="Times New Roman"/>
                      <w:b w:val="0"/>
                      <w:bCs/>
                      <w:color w:val="auto"/>
                      <w:kern w:val="0"/>
                      <w:sz w:val="21"/>
                      <w:szCs w:val="21"/>
                      <w:highlight w:val="none"/>
                      <w:vertAlign w:val="baseline"/>
                      <w:lang w:eastAsia="zh-CN"/>
                    </w:rPr>
                    <w:t>项目</w:t>
                  </w:r>
                  <w:r>
                    <w:rPr>
                      <w:rFonts w:hint="eastAsia" w:cs="Times New Roman"/>
                      <w:b w:val="0"/>
                      <w:bCs/>
                      <w:color w:val="auto"/>
                      <w:kern w:val="0"/>
                      <w:sz w:val="21"/>
                      <w:szCs w:val="21"/>
                      <w:highlight w:val="none"/>
                      <w:vertAlign w:val="baseline"/>
                      <w:lang w:val="en-US" w:eastAsia="zh-CN"/>
                    </w:rPr>
                    <w:t>东、西侧</w:t>
                  </w:r>
                  <w:r>
                    <w:rPr>
                      <w:rFonts w:hint="eastAsia" w:cs="Times New Roman"/>
                      <w:b w:val="0"/>
                      <w:bCs/>
                      <w:color w:val="auto"/>
                      <w:kern w:val="0"/>
                      <w:sz w:val="21"/>
                      <w:szCs w:val="21"/>
                      <w:highlight w:val="none"/>
                      <w:vertAlign w:val="baseline"/>
                      <w:lang w:eastAsia="zh-CN"/>
                    </w:rPr>
                    <w:t>厂界</w:t>
                  </w:r>
                  <w:r>
                    <w:rPr>
                      <w:rFonts w:hint="default" w:ascii="Times New Roman" w:hAnsi="Times New Roman" w:cs="Times New Roman"/>
                      <w:b w:val="0"/>
                      <w:bCs/>
                      <w:color w:val="auto"/>
                      <w:kern w:val="0"/>
                      <w:sz w:val="21"/>
                      <w:szCs w:val="21"/>
                      <w:highlight w:val="none"/>
                      <w:vertAlign w:val="baseline"/>
                      <w:lang w:eastAsia="zh-CN"/>
                    </w:rPr>
                    <w:t>与隔壁商户共用</w:t>
                  </w:r>
                  <w:r>
                    <w:rPr>
                      <w:rFonts w:hint="eastAsia" w:cs="Times New Roman"/>
                      <w:b w:val="0"/>
                      <w:bCs/>
                      <w:color w:val="auto"/>
                      <w:kern w:val="0"/>
                      <w:sz w:val="21"/>
                      <w:szCs w:val="21"/>
                      <w:highlight w:val="none"/>
                      <w:vertAlign w:val="baseline"/>
                      <w:lang w:val="en-US" w:eastAsia="zh-CN"/>
                    </w:rPr>
                    <w:t>隔墙</w:t>
                  </w:r>
                  <w:r>
                    <w:rPr>
                      <w:rFonts w:hint="default" w:ascii="Times New Roman" w:hAnsi="Times New Roman" w:cs="Times New Roman"/>
                      <w:b w:val="0"/>
                      <w:bCs/>
                      <w:color w:val="auto"/>
                      <w:kern w:val="0"/>
                      <w:sz w:val="21"/>
                      <w:szCs w:val="21"/>
                      <w:highlight w:val="none"/>
                      <w:vertAlign w:val="baseline"/>
                      <w:lang w:eastAsia="zh-CN"/>
                    </w:rPr>
                    <w:t>，因此本评价不对项目</w:t>
                  </w:r>
                  <w:r>
                    <w:rPr>
                      <w:rFonts w:hint="eastAsia" w:cs="Times New Roman"/>
                      <w:b w:val="0"/>
                      <w:bCs/>
                      <w:color w:val="auto"/>
                      <w:kern w:val="0"/>
                      <w:sz w:val="21"/>
                      <w:szCs w:val="21"/>
                      <w:highlight w:val="none"/>
                      <w:vertAlign w:val="baseline"/>
                      <w:lang w:val="en-US" w:eastAsia="zh-CN"/>
                    </w:rPr>
                    <w:t>东、西侧厂界</w:t>
                  </w:r>
                  <w:r>
                    <w:rPr>
                      <w:rFonts w:hint="default" w:ascii="Times New Roman" w:hAnsi="Times New Roman" w:cs="Times New Roman"/>
                      <w:b w:val="0"/>
                      <w:bCs/>
                      <w:color w:val="auto"/>
                      <w:kern w:val="0"/>
                      <w:sz w:val="21"/>
                      <w:szCs w:val="21"/>
                      <w:highlight w:val="none"/>
                      <w:vertAlign w:val="baseline"/>
                      <w:lang w:eastAsia="zh-CN"/>
                    </w:rPr>
                    <w:t>进行预测。</w:t>
                  </w:r>
                </w:p>
              </w:tc>
            </w:tr>
          </w:tbl>
          <w:p w14:paraId="1E8A70D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eastAsia" w:ascii="Times New Roman" w:hAnsi="Times New Roman" w:cs="Times New Roman"/>
                <w:b/>
                <w:bCs w:val="0"/>
                <w:color w:val="auto"/>
                <w:kern w:val="0"/>
                <w:sz w:val="24"/>
                <w:szCs w:val="24"/>
                <w:vertAlign w:val="baseline"/>
                <w:lang w:eastAsia="zh-CN"/>
              </w:rPr>
            </w:pPr>
            <w:r>
              <w:rPr>
                <w:rFonts w:hint="eastAsia" w:ascii="Times New Roman" w:hAnsi="Times New Roman" w:cs="Times New Roman"/>
                <w:b/>
                <w:bCs w:val="0"/>
                <w:color w:val="auto"/>
                <w:kern w:val="0"/>
                <w:sz w:val="24"/>
                <w:szCs w:val="24"/>
                <w:vertAlign w:val="baseline"/>
                <w:lang w:eastAsia="zh-CN"/>
              </w:rPr>
              <w:t>4.2.3.2 噪声预测</w:t>
            </w:r>
          </w:p>
          <w:p w14:paraId="680FFC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预测方法和模式</w:t>
            </w:r>
            <w:r>
              <w:rPr>
                <w:rFonts w:hint="eastAsia" w:cs="Times New Roman"/>
                <w:b w:val="0"/>
                <w:bCs/>
                <w:color w:val="auto"/>
                <w:sz w:val="24"/>
                <w:szCs w:val="24"/>
                <w:lang w:val="en-US" w:eastAsia="zh-CN"/>
              </w:rPr>
              <w:t>：</w:t>
            </w:r>
          </w:p>
          <w:p w14:paraId="425BE7AD">
            <w:pPr>
              <w:spacing w:line="360" w:lineRule="auto"/>
              <w:ind w:firstLine="480" w:firstLineChars="200"/>
              <w:rPr>
                <w:b w:val="0"/>
                <w:bCs/>
                <w:color w:val="auto"/>
                <w:sz w:val="24"/>
              </w:rPr>
            </w:pPr>
            <w:r>
              <w:rPr>
                <w:b w:val="0"/>
                <w:bCs/>
                <w:color w:val="auto"/>
                <w:sz w:val="24"/>
              </w:rPr>
              <w:t>根据</w:t>
            </w:r>
            <w:r>
              <w:rPr>
                <w:rStyle w:val="24"/>
                <w:b w:val="0"/>
                <w:bCs/>
                <w:color w:val="auto"/>
                <w:sz w:val="24"/>
              </w:rPr>
              <w:t>《环境影响评价技术导则—声环境》</w:t>
            </w:r>
            <w:r>
              <w:rPr>
                <w:rStyle w:val="24"/>
                <w:rFonts w:hint="eastAsia"/>
                <w:b w:val="0"/>
                <w:bCs/>
                <w:color w:val="auto"/>
                <w:sz w:val="24"/>
                <w:lang w:eastAsia="zh-CN"/>
              </w:rPr>
              <w:t>（</w:t>
            </w:r>
            <w:r>
              <w:rPr>
                <w:rStyle w:val="24"/>
                <w:b w:val="0"/>
                <w:bCs/>
                <w:color w:val="auto"/>
                <w:sz w:val="24"/>
              </w:rPr>
              <w:t>HJ</w:t>
            </w:r>
            <w:r>
              <w:rPr>
                <w:rStyle w:val="24"/>
                <w:rFonts w:hint="eastAsia"/>
                <w:b w:val="0"/>
                <w:bCs/>
                <w:color w:val="auto"/>
                <w:sz w:val="24"/>
                <w:lang w:val="en-US" w:eastAsia="zh-CN"/>
              </w:rPr>
              <w:t xml:space="preserve"> </w:t>
            </w:r>
            <w:r>
              <w:rPr>
                <w:rStyle w:val="24"/>
                <w:b w:val="0"/>
                <w:bCs/>
                <w:color w:val="auto"/>
                <w:sz w:val="24"/>
              </w:rPr>
              <w:t>2.4-2021</w:t>
            </w:r>
            <w:r>
              <w:rPr>
                <w:rStyle w:val="24"/>
                <w:rFonts w:hint="eastAsia"/>
                <w:b w:val="0"/>
                <w:bCs/>
                <w:color w:val="auto"/>
                <w:sz w:val="24"/>
                <w:lang w:eastAsia="zh-CN"/>
              </w:rPr>
              <w:t>）</w:t>
            </w:r>
            <w:r>
              <w:rPr>
                <w:rStyle w:val="24"/>
                <w:b w:val="0"/>
                <w:bCs/>
                <w:color w:val="auto"/>
                <w:sz w:val="24"/>
              </w:rPr>
              <w:t>，本项目采用预测模式如下：</w:t>
            </w:r>
          </w:p>
          <w:p w14:paraId="55A7A7A2">
            <w:pPr>
              <w:spacing w:line="360" w:lineRule="auto"/>
              <w:ind w:firstLine="480" w:firstLineChars="200"/>
              <w:textAlignment w:val="baseline"/>
              <w:rPr>
                <w:rFonts w:hint="eastAsia"/>
                <w:b w:val="0"/>
                <w:bCs/>
                <w:color w:val="auto"/>
                <w:sz w:val="24"/>
              </w:rPr>
            </w:pPr>
            <w:r>
              <w:rPr>
                <w:rFonts w:hint="eastAsia" w:ascii="宋体" w:hAnsi="宋体" w:cs="宋体"/>
                <w:b w:val="0"/>
                <w:bCs/>
                <w:color w:val="auto"/>
                <w:sz w:val="24"/>
              </w:rPr>
              <w:t>①</w:t>
            </w:r>
            <w:r>
              <w:rPr>
                <w:b w:val="0"/>
                <w:bCs/>
                <w:color w:val="auto"/>
                <w:sz w:val="24"/>
              </w:rPr>
              <w:t>室外声源</w:t>
            </w:r>
          </w:p>
          <w:p w14:paraId="20B9999F">
            <w:pPr>
              <w:spacing w:line="360" w:lineRule="auto"/>
              <w:ind w:firstLine="480" w:firstLineChars="200"/>
              <w:rPr>
                <w:b w:val="0"/>
                <w:bCs/>
                <w:color w:val="auto"/>
                <w:sz w:val="24"/>
              </w:rPr>
            </w:pPr>
            <w:r>
              <w:rPr>
                <w:b w:val="0"/>
                <w:bCs/>
                <w:color w:val="auto"/>
                <w:sz w:val="24"/>
              </w:rPr>
              <w:t>采用《环境影响评价技术导则 声环境》（HJ</w:t>
            </w:r>
            <w:r>
              <w:rPr>
                <w:rFonts w:hint="eastAsia"/>
                <w:b w:val="0"/>
                <w:bCs/>
                <w:color w:val="auto"/>
                <w:sz w:val="24"/>
              </w:rPr>
              <w:t xml:space="preserve"> </w:t>
            </w:r>
            <w:r>
              <w:rPr>
                <w:b w:val="0"/>
                <w:bCs/>
                <w:color w:val="auto"/>
                <w:sz w:val="24"/>
              </w:rPr>
              <w:t>2.4-2021）中推荐的室外声源计算方法的点声源的几何发散衰减公式。对于工业企业稳态机械设备，当声源处于自由空间且仅考虑声源的几何发散衰减，则距离点声源r处的声压级为：</w:t>
            </w:r>
          </w:p>
          <w:p w14:paraId="4F876442">
            <w:pPr>
              <w:spacing w:line="360" w:lineRule="auto"/>
              <w:ind w:firstLine="480" w:firstLineChars="200"/>
              <w:jc w:val="center"/>
              <w:rPr>
                <w:b w:val="0"/>
                <w:bCs/>
                <w:color w:val="auto"/>
                <w:kern w:val="0"/>
                <w:sz w:val="24"/>
              </w:rPr>
            </w:pPr>
            <w:r>
              <w:rPr>
                <w:b w:val="0"/>
                <w:bCs/>
                <w:color w:val="auto"/>
                <w:sz w:val="24"/>
                <w:szCs w:val="22"/>
              </w:rPr>
              <w:drawing>
                <wp:inline distT="0" distB="0" distL="114300" distR="114300">
                  <wp:extent cx="1988820" cy="350520"/>
                  <wp:effectExtent l="0" t="0" r="0"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1988820" cy="350520"/>
                          </a:xfrm>
                          <a:prstGeom prst="rect">
                            <a:avLst/>
                          </a:prstGeom>
                          <a:noFill/>
                          <a:ln>
                            <a:noFill/>
                          </a:ln>
                        </pic:spPr>
                      </pic:pic>
                    </a:graphicData>
                  </a:graphic>
                </wp:inline>
              </w:drawing>
            </w:r>
          </w:p>
          <w:p w14:paraId="22C7A0BE">
            <w:pPr>
              <w:spacing w:line="360" w:lineRule="auto"/>
              <w:ind w:firstLine="480" w:firstLineChars="200"/>
              <w:rPr>
                <w:b w:val="0"/>
                <w:bCs/>
                <w:color w:val="auto"/>
                <w:sz w:val="24"/>
              </w:rPr>
            </w:pPr>
            <w:r>
              <w:rPr>
                <w:b w:val="0"/>
                <w:bCs/>
                <w:color w:val="auto"/>
                <w:sz w:val="24"/>
              </w:rPr>
              <w:t>式中：L</w:t>
            </w:r>
            <w:r>
              <w:rPr>
                <w:b w:val="0"/>
                <w:bCs/>
                <w:color w:val="auto"/>
                <w:sz w:val="24"/>
                <w:vertAlign w:val="subscript"/>
              </w:rPr>
              <w:t>A</w:t>
            </w:r>
            <w:r>
              <w:rPr>
                <w:b w:val="0"/>
                <w:bCs/>
                <w:color w:val="auto"/>
                <w:sz w:val="24"/>
              </w:rPr>
              <w:t>（r）——距离声源r处的A声级，dB</w:t>
            </w:r>
            <w:r>
              <w:rPr>
                <w:rFonts w:hint="eastAsia"/>
                <w:b w:val="0"/>
                <w:bCs/>
                <w:color w:val="auto"/>
                <w:sz w:val="24"/>
                <w:lang w:eastAsia="zh-CN"/>
              </w:rPr>
              <w:t>（</w:t>
            </w:r>
            <w:r>
              <w:rPr>
                <w:b w:val="0"/>
                <w:bCs/>
                <w:color w:val="auto"/>
                <w:sz w:val="24"/>
              </w:rPr>
              <w:t>A</w:t>
            </w:r>
            <w:r>
              <w:rPr>
                <w:rFonts w:hint="eastAsia"/>
                <w:b w:val="0"/>
                <w:bCs/>
                <w:color w:val="auto"/>
                <w:sz w:val="24"/>
                <w:lang w:eastAsia="zh-CN"/>
              </w:rPr>
              <w:t>）</w:t>
            </w:r>
            <w:r>
              <w:rPr>
                <w:b w:val="0"/>
                <w:bCs/>
                <w:color w:val="auto"/>
                <w:sz w:val="24"/>
              </w:rPr>
              <w:t>；</w:t>
            </w:r>
          </w:p>
          <w:p w14:paraId="547D6430">
            <w:pPr>
              <w:spacing w:line="360" w:lineRule="auto"/>
              <w:ind w:firstLine="1200" w:firstLineChars="500"/>
              <w:jc w:val="left"/>
              <w:rPr>
                <w:b w:val="0"/>
                <w:bCs/>
                <w:color w:val="auto"/>
                <w:sz w:val="24"/>
              </w:rPr>
            </w:pPr>
            <w:r>
              <w:rPr>
                <w:b w:val="0"/>
                <w:bCs/>
                <w:color w:val="auto"/>
                <w:sz w:val="24"/>
              </w:rPr>
              <w:t>L</w:t>
            </w:r>
            <w:r>
              <w:rPr>
                <w:b w:val="0"/>
                <w:bCs/>
                <w:color w:val="auto"/>
                <w:sz w:val="24"/>
                <w:vertAlign w:val="subscript"/>
              </w:rPr>
              <w:t>A</w:t>
            </w:r>
            <w:r>
              <w:rPr>
                <w:b w:val="0"/>
                <w:bCs/>
                <w:color w:val="auto"/>
                <w:sz w:val="24"/>
              </w:rPr>
              <w:t>（r</w:t>
            </w:r>
            <w:r>
              <w:rPr>
                <w:b w:val="0"/>
                <w:bCs/>
                <w:color w:val="auto"/>
                <w:sz w:val="24"/>
                <w:vertAlign w:val="subscript"/>
              </w:rPr>
              <w:t>o</w:t>
            </w:r>
            <w:r>
              <w:rPr>
                <w:b w:val="0"/>
                <w:bCs/>
                <w:color w:val="auto"/>
                <w:sz w:val="24"/>
              </w:rPr>
              <w:t>）——距声源r</w:t>
            </w:r>
            <w:r>
              <w:rPr>
                <w:b w:val="0"/>
                <w:bCs/>
                <w:color w:val="auto"/>
                <w:sz w:val="24"/>
                <w:vertAlign w:val="subscript"/>
              </w:rPr>
              <w:t>o</w:t>
            </w:r>
            <w:r>
              <w:rPr>
                <w:b w:val="0"/>
                <w:bCs/>
                <w:color w:val="auto"/>
                <w:sz w:val="24"/>
              </w:rPr>
              <w:t>处的A声级，dB</w:t>
            </w:r>
            <w:r>
              <w:rPr>
                <w:rFonts w:hint="eastAsia"/>
                <w:b w:val="0"/>
                <w:bCs/>
                <w:color w:val="auto"/>
                <w:sz w:val="24"/>
                <w:lang w:eastAsia="zh-CN"/>
              </w:rPr>
              <w:t>（</w:t>
            </w:r>
            <w:r>
              <w:rPr>
                <w:b w:val="0"/>
                <w:bCs/>
                <w:color w:val="auto"/>
                <w:sz w:val="24"/>
              </w:rPr>
              <w:t>A</w:t>
            </w:r>
            <w:r>
              <w:rPr>
                <w:rFonts w:hint="eastAsia"/>
                <w:b w:val="0"/>
                <w:bCs/>
                <w:color w:val="auto"/>
                <w:sz w:val="24"/>
                <w:lang w:eastAsia="zh-CN"/>
              </w:rPr>
              <w:t>）</w:t>
            </w:r>
            <w:r>
              <w:rPr>
                <w:b w:val="0"/>
                <w:bCs/>
                <w:color w:val="auto"/>
                <w:sz w:val="24"/>
              </w:rPr>
              <w:t>；</w:t>
            </w:r>
          </w:p>
          <w:p w14:paraId="2631F510">
            <w:pPr>
              <w:spacing w:line="360" w:lineRule="auto"/>
              <w:ind w:firstLine="1200" w:firstLineChars="500"/>
              <w:jc w:val="left"/>
              <w:rPr>
                <w:b w:val="0"/>
                <w:bCs/>
                <w:color w:val="auto"/>
                <w:sz w:val="24"/>
              </w:rPr>
            </w:pPr>
            <w:r>
              <w:rPr>
                <w:b w:val="0"/>
                <w:bCs/>
                <w:color w:val="auto"/>
                <w:sz w:val="24"/>
              </w:rPr>
              <w:t>r</w:t>
            </w:r>
            <w:r>
              <w:rPr>
                <w:b w:val="0"/>
                <w:bCs/>
                <w:color w:val="auto"/>
                <w:sz w:val="24"/>
                <w:vertAlign w:val="subscript"/>
              </w:rPr>
              <w:t>o</w:t>
            </w:r>
            <w:r>
              <w:rPr>
                <w:b w:val="0"/>
                <w:bCs/>
                <w:color w:val="auto"/>
                <w:sz w:val="24"/>
              </w:rPr>
              <w:t>、r——距声源的距离，m；</w:t>
            </w:r>
          </w:p>
          <w:p w14:paraId="179A8E82">
            <w:pPr>
              <w:spacing w:line="360" w:lineRule="auto"/>
              <w:ind w:firstLine="480" w:firstLineChars="200"/>
              <w:rPr>
                <w:b w:val="0"/>
                <w:bCs/>
                <w:color w:val="auto"/>
                <w:sz w:val="24"/>
              </w:rPr>
            </w:pPr>
            <w:r>
              <w:rPr>
                <w:rFonts w:hint="eastAsia"/>
                <w:b w:val="0"/>
                <w:bCs/>
                <w:color w:val="auto"/>
                <w:sz w:val="24"/>
              </w:rPr>
              <w:t>②室内声源</w:t>
            </w:r>
          </w:p>
          <w:p w14:paraId="701C6830">
            <w:pPr>
              <w:spacing w:line="360" w:lineRule="auto"/>
              <w:ind w:firstLine="480" w:firstLineChars="200"/>
              <w:rPr>
                <w:b w:val="0"/>
                <w:bCs/>
                <w:color w:val="auto"/>
                <w:sz w:val="24"/>
              </w:rPr>
            </w:pPr>
            <w:r>
              <w:rPr>
                <w:rFonts w:hint="eastAsia"/>
                <w:b w:val="0"/>
                <w:bCs/>
                <w:color w:val="auto"/>
                <w:sz w:val="24"/>
              </w:rPr>
              <w:t>若声源位于室内，室内声源可采用等效室外声源声功率级法进行计算。具体方法如下：</w:t>
            </w:r>
          </w:p>
          <w:p w14:paraId="30F150DC">
            <w:pPr>
              <w:spacing w:line="360" w:lineRule="auto"/>
              <w:ind w:firstLine="480" w:firstLineChars="200"/>
              <w:rPr>
                <w:b w:val="0"/>
                <w:bCs/>
                <w:color w:val="auto"/>
                <w:sz w:val="24"/>
              </w:rPr>
            </w:pPr>
            <w:r>
              <w:rPr>
                <w:rFonts w:hint="eastAsia"/>
                <w:b w:val="0"/>
                <w:bCs/>
                <w:color w:val="auto"/>
                <w:sz w:val="24"/>
              </w:rPr>
              <w:t>利用</w:t>
            </w:r>
            <w:r>
              <w:rPr>
                <w:b w:val="0"/>
                <w:bCs/>
                <w:color w:val="auto"/>
                <w:sz w:val="24"/>
              </w:rPr>
              <w:t>室外声源计算方法的点声源的几何发散衰减公式</w:t>
            </w:r>
            <w:r>
              <w:rPr>
                <w:rFonts w:hint="eastAsia"/>
                <w:b w:val="0"/>
                <w:bCs/>
                <w:color w:val="auto"/>
                <w:sz w:val="24"/>
              </w:rPr>
              <w:t>计算设备声源到靠近开口处（或窗户）室内某倍频带的声压级</w:t>
            </w:r>
            <w:r>
              <w:rPr>
                <w:b w:val="0"/>
                <w:bCs/>
                <w:color w:val="auto"/>
                <w:sz w:val="24"/>
              </w:rPr>
              <w:t>。对于工业企业稳态机械设备，当声源处于自由空间且仅考虑声源的几何发散衰减，则距离点声源r处的声压级为：</w:t>
            </w:r>
          </w:p>
          <w:p w14:paraId="11AE11BB">
            <w:pPr>
              <w:pStyle w:val="6"/>
              <w:jc w:val="center"/>
              <w:rPr>
                <w:b w:val="0"/>
                <w:bCs/>
                <w:color w:val="auto"/>
                <w:kern w:val="0"/>
                <w:sz w:val="24"/>
                <w:szCs w:val="24"/>
              </w:rPr>
            </w:pPr>
            <w:r>
              <w:rPr>
                <w:rFonts w:hint="eastAsia"/>
                <w:b w:val="0"/>
                <w:bCs/>
                <w:color w:val="auto"/>
                <w:position w:val="-30"/>
              </w:rPr>
              <w:object>
                <v:shape id="_x0000_i1025" o:spt="75" type="#_x0000_t75" style="height:34pt;width:121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14:paraId="041A32FC">
            <w:pPr>
              <w:spacing w:line="360" w:lineRule="auto"/>
              <w:ind w:firstLine="480" w:firstLineChars="200"/>
              <w:rPr>
                <w:b w:val="0"/>
                <w:bCs/>
                <w:color w:val="auto"/>
                <w:sz w:val="24"/>
              </w:rPr>
            </w:pPr>
            <w:r>
              <w:rPr>
                <w:b w:val="0"/>
                <w:bCs/>
                <w:color w:val="auto"/>
                <w:sz w:val="24"/>
              </w:rPr>
              <w:t>式中：L</w:t>
            </w:r>
            <w:r>
              <w:rPr>
                <w:rFonts w:hint="eastAsia"/>
                <w:b w:val="0"/>
                <w:bCs/>
                <w:color w:val="auto"/>
                <w:sz w:val="24"/>
                <w:vertAlign w:val="subscript"/>
              </w:rPr>
              <w:t>p1</w:t>
            </w:r>
            <w:r>
              <w:rPr>
                <w:rFonts w:hint="eastAsia"/>
                <w:b w:val="0"/>
                <w:bCs/>
                <w:color w:val="auto"/>
                <w:sz w:val="24"/>
              </w:rPr>
              <w:t>（r）</w:t>
            </w:r>
            <w:r>
              <w:rPr>
                <w:b w:val="0"/>
                <w:bCs/>
                <w:color w:val="auto"/>
                <w:sz w:val="24"/>
              </w:rPr>
              <w:t>——距离声源r处的A声级，dB</w:t>
            </w:r>
            <w:r>
              <w:rPr>
                <w:rFonts w:hint="eastAsia"/>
                <w:b w:val="0"/>
                <w:bCs/>
                <w:color w:val="auto"/>
                <w:sz w:val="24"/>
                <w:lang w:eastAsia="zh-CN"/>
              </w:rPr>
              <w:t>（</w:t>
            </w:r>
            <w:r>
              <w:rPr>
                <w:b w:val="0"/>
                <w:bCs/>
                <w:color w:val="auto"/>
                <w:sz w:val="24"/>
              </w:rPr>
              <w:t>A</w:t>
            </w:r>
            <w:r>
              <w:rPr>
                <w:rFonts w:hint="eastAsia"/>
                <w:b w:val="0"/>
                <w:bCs/>
                <w:color w:val="auto"/>
                <w:sz w:val="24"/>
                <w:lang w:eastAsia="zh-CN"/>
              </w:rPr>
              <w:t>）</w:t>
            </w:r>
            <w:r>
              <w:rPr>
                <w:b w:val="0"/>
                <w:bCs/>
                <w:color w:val="auto"/>
                <w:sz w:val="24"/>
              </w:rPr>
              <w:t>；</w:t>
            </w:r>
          </w:p>
          <w:p w14:paraId="75C5F68F">
            <w:pPr>
              <w:spacing w:line="360" w:lineRule="auto"/>
              <w:ind w:firstLine="1200" w:firstLineChars="500"/>
              <w:jc w:val="left"/>
              <w:rPr>
                <w:b w:val="0"/>
                <w:bCs/>
                <w:color w:val="auto"/>
                <w:sz w:val="24"/>
              </w:rPr>
            </w:pPr>
            <w:r>
              <w:rPr>
                <w:b w:val="0"/>
                <w:bCs/>
                <w:color w:val="auto"/>
                <w:sz w:val="24"/>
              </w:rPr>
              <w:t>L</w:t>
            </w:r>
            <w:r>
              <w:rPr>
                <w:rFonts w:hint="eastAsia"/>
                <w:b w:val="0"/>
                <w:bCs/>
                <w:color w:val="auto"/>
                <w:sz w:val="24"/>
                <w:vertAlign w:val="subscript"/>
              </w:rPr>
              <w:t>p1</w:t>
            </w:r>
            <w:r>
              <w:rPr>
                <w:b w:val="0"/>
                <w:bCs/>
                <w:color w:val="auto"/>
                <w:sz w:val="24"/>
              </w:rPr>
              <w:t>（r</w:t>
            </w:r>
            <w:r>
              <w:rPr>
                <w:b w:val="0"/>
                <w:bCs/>
                <w:color w:val="auto"/>
                <w:sz w:val="24"/>
                <w:vertAlign w:val="subscript"/>
              </w:rPr>
              <w:t>o</w:t>
            </w:r>
            <w:r>
              <w:rPr>
                <w:b w:val="0"/>
                <w:bCs/>
                <w:color w:val="auto"/>
                <w:sz w:val="24"/>
              </w:rPr>
              <w:t>）——距声源r</w:t>
            </w:r>
            <w:r>
              <w:rPr>
                <w:b w:val="0"/>
                <w:bCs/>
                <w:color w:val="auto"/>
                <w:sz w:val="24"/>
                <w:vertAlign w:val="subscript"/>
              </w:rPr>
              <w:t>o</w:t>
            </w:r>
            <w:r>
              <w:rPr>
                <w:b w:val="0"/>
                <w:bCs/>
                <w:color w:val="auto"/>
                <w:sz w:val="24"/>
              </w:rPr>
              <w:t>处的A声级，dB</w:t>
            </w:r>
            <w:r>
              <w:rPr>
                <w:rFonts w:hint="eastAsia"/>
                <w:b w:val="0"/>
                <w:bCs/>
                <w:color w:val="auto"/>
                <w:sz w:val="24"/>
                <w:lang w:eastAsia="zh-CN"/>
              </w:rPr>
              <w:t>（</w:t>
            </w:r>
            <w:r>
              <w:rPr>
                <w:b w:val="0"/>
                <w:bCs/>
                <w:color w:val="auto"/>
                <w:sz w:val="24"/>
              </w:rPr>
              <w:t>A</w:t>
            </w:r>
            <w:r>
              <w:rPr>
                <w:rFonts w:hint="eastAsia"/>
                <w:b w:val="0"/>
                <w:bCs/>
                <w:color w:val="auto"/>
                <w:sz w:val="24"/>
                <w:lang w:eastAsia="zh-CN"/>
              </w:rPr>
              <w:t>）</w:t>
            </w:r>
            <w:r>
              <w:rPr>
                <w:b w:val="0"/>
                <w:bCs/>
                <w:color w:val="auto"/>
                <w:sz w:val="24"/>
              </w:rPr>
              <w:t>；</w:t>
            </w:r>
          </w:p>
          <w:p w14:paraId="297E2182">
            <w:pPr>
              <w:spacing w:line="360" w:lineRule="auto"/>
              <w:ind w:firstLine="1200" w:firstLineChars="500"/>
              <w:jc w:val="left"/>
              <w:rPr>
                <w:b w:val="0"/>
                <w:bCs/>
                <w:color w:val="auto"/>
                <w:sz w:val="24"/>
              </w:rPr>
            </w:pPr>
            <w:r>
              <w:rPr>
                <w:b w:val="0"/>
                <w:bCs/>
                <w:color w:val="auto"/>
                <w:sz w:val="24"/>
              </w:rPr>
              <w:t>r</w:t>
            </w:r>
            <w:r>
              <w:rPr>
                <w:b w:val="0"/>
                <w:bCs/>
                <w:color w:val="auto"/>
                <w:sz w:val="24"/>
                <w:vertAlign w:val="subscript"/>
              </w:rPr>
              <w:t>o</w:t>
            </w:r>
            <w:r>
              <w:rPr>
                <w:b w:val="0"/>
                <w:bCs/>
                <w:color w:val="auto"/>
                <w:sz w:val="24"/>
              </w:rPr>
              <w:t>、r——距声源的距离，m；</w:t>
            </w:r>
          </w:p>
          <w:p w14:paraId="3B8877CF">
            <w:pPr>
              <w:spacing w:line="360" w:lineRule="auto"/>
              <w:ind w:firstLine="480" w:firstLineChars="200"/>
              <w:rPr>
                <w:rFonts w:hint="eastAsia"/>
                <w:b w:val="0"/>
                <w:bCs/>
                <w:color w:val="auto"/>
                <w:sz w:val="24"/>
              </w:rPr>
            </w:pPr>
            <w:r>
              <w:rPr>
                <w:rFonts w:hint="eastAsia"/>
                <w:b w:val="0"/>
                <w:bCs/>
                <w:color w:val="auto"/>
                <w:sz w:val="24"/>
              </w:rPr>
              <w:t xml:space="preserve">按下式计算出所有室内声源在围护结构处产生的 </w:t>
            </w:r>
            <w:r>
              <w:rPr>
                <w:b w:val="0"/>
                <w:bCs/>
                <w:color w:val="auto"/>
                <w:sz w:val="24"/>
              </w:rPr>
              <w:t xml:space="preserve">i </w:t>
            </w:r>
            <w:r>
              <w:rPr>
                <w:rFonts w:hint="eastAsia"/>
                <w:b w:val="0"/>
                <w:bCs/>
                <w:color w:val="auto"/>
                <w:sz w:val="24"/>
              </w:rPr>
              <w:t>倍频带叠加</w:t>
            </w:r>
            <w:r>
              <w:rPr>
                <w:b w:val="0"/>
                <w:bCs/>
                <w:color w:val="auto"/>
                <w:sz w:val="24"/>
              </w:rPr>
              <w:t>A声级</w:t>
            </w:r>
            <w:r>
              <w:rPr>
                <w:rFonts w:hint="eastAsia"/>
                <w:b w:val="0"/>
                <w:bCs/>
                <w:color w:val="auto"/>
                <w:sz w:val="24"/>
              </w:rPr>
              <w:t xml:space="preserve">： </w:t>
            </w:r>
          </w:p>
          <w:p w14:paraId="6E18C779">
            <w:pPr>
              <w:spacing w:line="360" w:lineRule="auto"/>
              <w:ind w:firstLine="480" w:firstLineChars="200"/>
              <w:jc w:val="center"/>
              <w:rPr>
                <w:b w:val="0"/>
                <w:bCs/>
                <w:color w:val="auto"/>
                <w:sz w:val="24"/>
              </w:rPr>
            </w:pPr>
            <w:r>
              <w:rPr>
                <w:b w:val="0"/>
                <w:bCs/>
                <w:color w:val="auto"/>
                <w:sz w:val="24"/>
              </w:rPr>
              <w:drawing>
                <wp:inline distT="0" distB="0" distL="114300" distR="114300">
                  <wp:extent cx="1967230" cy="499745"/>
                  <wp:effectExtent l="0" t="0" r="13970" b="14605"/>
                  <wp:docPr id="8" name="图片 7" descr="631330799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313307991439279977312"/>
                          <pic:cNvPicPr>
                            <a:picLocks noChangeAspect="1"/>
                          </pic:cNvPicPr>
                        </pic:nvPicPr>
                        <pic:blipFill>
                          <a:blip r:embed="rId17"/>
                          <a:stretch>
                            <a:fillRect/>
                          </a:stretch>
                        </pic:blipFill>
                        <pic:spPr>
                          <a:xfrm>
                            <a:off x="0" y="0"/>
                            <a:ext cx="1967230" cy="499745"/>
                          </a:xfrm>
                          <a:prstGeom prst="rect">
                            <a:avLst/>
                          </a:prstGeom>
                          <a:noFill/>
                          <a:ln>
                            <a:noFill/>
                          </a:ln>
                        </pic:spPr>
                      </pic:pic>
                    </a:graphicData>
                  </a:graphic>
                </wp:inline>
              </w:drawing>
            </w:r>
          </w:p>
          <w:p w14:paraId="7C1C24FA">
            <w:pPr>
              <w:spacing w:line="360" w:lineRule="auto"/>
              <w:ind w:firstLine="480" w:firstLineChars="200"/>
              <w:rPr>
                <w:b w:val="0"/>
                <w:bCs/>
                <w:color w:val="auto"/>
                <w:sz w:val="24"/>
              </w:rPr>
            </w:pPr>
            <w:r>
              <w:rPr>
                <w:rFonts w:hint="eastAsia"/>
                <w:b w:val="0"/>
                <w:bCs/>
                <w:color w:val="auto"/>
                <w:sz w:val="24"/>
              </w:rPr>
              <w:t>式中：</w:t>
            </w:r>
          </w:p>
          <w:p w14:paraId="6C76816D">
            <w:pPr>
              <w:spacing w:line="360" w:lineRule="auto"/>
              <w:ind w:firstLine="480" w:firstLineChars="200"/>
              <w:rPr>
                <w:b w:val="0"/>
                <w:bCs/>
                <w:color w:val="auto"/>
                <w:sz w:val="24"/>
              </w:rPr>
            </w:pPr>
            <w:r>
              <w:rPr>
                <w:b w:val="0"/>
                <w:bCs/>
                <w:color w:val="auto"/>
                <w:sz w:val="24"/>
              </w:rPr>
              <w:drawing>
                <wp:inline distT="0" distB="0" distL="114300" distR="114300">
                  <wp:extent cx="510540" cy="233680"/>
                  <wp:effectExtent l="0" t="0" r="3810" b="13970"/>
                  <wp:docPr id="9" name="图片 8" descr="992992344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929923441439279977312"/>
                          <pic:cNvPicPr>
                            <a:picLocks noChangeAspect="1"/>
                          </pic:cNvPicPr>
                        </pic:nvPicPr>
                        <pic:blipFill>
                          <a:blip r:embed="rId18"/>
                          <a:stretch>
                            <a:fillRect/>
                          </a:stretch>
                        </pic:blipFill>
                        <pic:spPr>
                          <a:xfrm>
                            <a:off x="0" y="0"/>
                            <a:ext cx="510540" cy="233680"/>
                          </a:xfrm>
                          <a:prstGeom prst="rect">
                            <a:avLst/>
                          </a:prstGeom>
                          <a:noFill/>
                          <a:ln>
                            <a:noFill/>
                          </a:ln>
                        </pic:spPr>
                      </pic:pic>
                    </a:graphicData>
                  </a:graphic>
                </wp:inline>
              </w:drawing>
            </w:r>
            <w:r>
              <w:rPr>
                <w:b w:val="0"/>
                <w:bCs/>
                <w:color w:val="auto"/>
                <w:sz w:val="24"/>
              </w:rPr>
              <w:t>—</w:t>
            </w:r>
            <w:r>
              <w:rPr>
                <w:rFonts w:hint="eastAsia"/>
                <w:b w:val="0"/>
                <w:bCs/>
                <w:color w:val="auto"/>
                <w:sz w:val="24"/>
              </w:rPr>
              <w:t>靠近围护结构处室内</w:t>
            </w:r>
            <w:r>
              <w:rPr>
                <w:b w:val="0"/>
                <w:bCs/>
                <w:color w:val="auto"/>
                <w:sz w:val="24"/>
              </w:rPr>
              <w:t>N</w:t>
            </w:r>
            <w:r>
              <w:rPr>
                <w:rFonts w:hint="eastAsia"/>
                <w:b w:val="0"/>
                <w:bCs/>
                <w:color w:val="auto"/>
                <w:sz w:val="24"/>
              </w:rPr>
              <w:t>个声源</w:t>
            </w:r>
            <w:r>
              <w:rPr>
                <w:b w:val="0"/>
                <w:bCs/>
                <w:color w:val="auto"/>
                <w:sz w:val="24"/>
              </w:rPr>
              <w:t>i</w:t>
            </w:r>
            <w:r>
              <w:rPr>
                <w:rFonts w:hint="eastAsia"/>
                <w:b w:val="0"/>
                <w:bCs/>
                <w:color w:val="auto"/>
                <w:sz w:val="24"/>
              </w:rPr>
              <w:t>倍频带的叠加</w:t>
            </w:r>
            <w:r>
              <w:rPr>
                <w:b w:val="0"/>
                <w:bCs/>
                <w:color w:val="auto"/>
                <w:sz w:val="24"/>
              </w:rPr>
              <w:t>A声级</w:t>
            </w:r>
            <w:r>
              <w:rPr>
                <w:rFonts w:hint="eastAsia"/>
                <w:b w:val="0"/>
                <w:bCs/>
                <w:color w:val="auto"/>
                <w:sz w:val="24"/>
              </w:rPr>
              <w:t>，</w:t>
            </w:r>
            <w:r>
              <w:rPr>
                <w:b w:val="0"/>
                <w:bCs/>
                <w:color w:val="auto"/>
                <w:sz w:val="24"/>
              </w:rPr>
              <w:t>dB</w:t>
            </w:r>
            <w:r>
              <w:rPr>
                <w:rFonts w:hint="eastAsia"/>
                <w:b w:val="0"/>
                <w:bCs/>
                <w:color w:val="auto"/>
                <w:sz w:val="24"/>
              </w:rPr>
              <w:t>（A）；</w:t>
            </w:r>
          </w:p>
          <w:p w14:paraId="0EE693B8">
            <w:pPr>
              <w:spacing w:line="360" w:lineRule="auto"/>
              <w:ind w:firstLine="480" w:firstLineChars="200"/>
              <w:rPr>
                <w:b w:val="0"/>
                <w:bCs/>
                <w:color w:val="auto"/>
                <w:sz w:val="24"/>
              </w:rPr>
            </w:pPr>
            <w:r>
              <w:rPr>
                <w:b w:val="0"/>
                <w:bCs/>
                <w:color w:val="auto"/>
                <w:sz w:val="24"/>
              </w:rPr>
              <w:drawing>
                <wp:inline distT="0" distB="0" distL="114300" distR="114300">
                  <wp:extent cx="276225" cy="233680"/>
                  <wp:effectExtent l="0" t="0" r="9525" b="13970"/>
                  <wp:docPr id="10" name="图片 9" descr="216519381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165193811439279977328"/>
                          <pic:cNvPicPr>
                            <a:picLocks noChangeAspect="1"/>
                          </pic:cNvPicPr>
                        </pic:nvPicPr>
                        <pic:blipFill>
                          <a:blip r:embed="rId19"/>
                          <a:stretch>
                            <a:fillRect/>
                          </a:stretch>
                        </pic:blipFill>
                        <pic:spPr>
                          <a:xfrm>
                            <a:off x="0" y="0"/>
                            <a:ext cx="276225" cy="233680"/>
                          </a:xfrm>
                          <a:prstGeom prst="rect">
                            <a:avLst/>
                          </a:prstGeom>
                          <a:noFill/>
                          <a:ln>
                            <a:noFill/>
                          </a:ln>
                        </pic:spPr>
                      </pic:pic>
                    </a:graphicData>
                  </a:graphic>
                </wp:inline>
              </w:drawing>
            </w:r>
            <w:r>
              <w:rPr>
                <w:b w:val="0"/>
                <w:bCs/>
                <w:color w:val="auto"/>
                <w:sz w:val="24"/>
              </w:rPr>
              <w:t>—</w:t>
            </w:r>
            <w:r>
              <w:rPr>
                <w:rFonts w:hint="eastAsia"/>
                <w:b w:val="0"/>
                <w:bCs/>
                <w:color w:val="auto"/>
                <w:sz w:val="24"/>
              </w:rPr>
              <w:t>室内</w:t>
            </w:r>
            <w:r>
              <w:rPr>
                <w:rFonts w:hint="eastAsia"/>
                <w:b w:val="0"/>
                <w:bCs/>
                <w:color w:val="auto"/>
                <w:sz w:val="24"/>
                <w:lang w:val="en-US" w:eastAsia="zh-CN"/>
              </w:rPr>
              <w:t>j</w:t>
            </w:r>
            <w:r>
              <w:rPr>
                <w:rFonts w:hint="eastAsia"/>
                <w:b w:val="0"/>
                <w:bCs/>
                <w:color w:val="auto"/>
                <w:sz w:val="24"/>
              </w:rPr>
              <w:t>声源</w:t>
            </w:r>
            <w:r>
              <w:rPr>
                <w:rFonts w:hint="eastAsia"/>
                <w:b w:val="0"/>
                <w:bCs/>
                <w:color w:val="auto"/>
                <w:sz w:val="24"/>
                <w:lang w:val="en-US" w:eastAsia="zh-CN"/>
              </w:rPr>
              <w:t>i</w:t>
            </w:r>
            <w:r>
              <w:rPr>
                <w:rFonts w:hint="eastAsia"/>
                <w:b w:val="0"/>
                <w:bCs/>
                <w:color w:val="auto"/>
                <w:sz w:val="24"/>
              </w:rPr>
              <w:t>倍频带的</w:t>
            </w:r>
            <w:r>
              <w:rPr>
                <w:b w:val="0"/>
                <w:bCs/>
                <w:color w:val="auto"/>
                <w:sz w:val="24"/>
              </w:rPr>
              <w:t>A声级</w:t>
            </w:r>
            <w:r>
              <w:rPr>
                <w:rFonts w:hint="eastAsia"/>
                <w:b w:val="0"/>
                <w:bCs/>
                <w:color w:val="auto"/>
                <w:sz w:val="24"/>
              </w:rPr>
              <w:t>，</w:t>
            </w:r>
            <w:r>
              <w:rPr>
                <w:b w:val="0"/>
                <w:bCs/>
                <w:color w:val="auto"/>
                <w:sz w:val="24"/>
              </w:rPr>
              <w:t>dB</w:t>
            </w:r>
            <w:r>
              <w:rPr>
                <w:rFonts w:hint="eastAsia"/>
                <w:b w:val="0"/>
                <w:bCs/>
                <w:color w:val="auto"/>
                <w:sz w:val="24"/>
              </w:rPr>
              <w:t>（A）；</w:t>
            </w:r>
          </w:p>
          <w:p w14:paraId="7D7C260B">
            <w:pPr>
              <w:spacing w:line="360" w:lineRule="auto"/>
              <w:ind w:firstLine="480" w:firstLineChars="200"/>
              <w:rPr>
                <w:b w:val="0"/>
                <w:bCs/>
                <w:color w:val="auto"/>
                <w:sz w:val="24"/>
              </w:rPr>
            </w:pPr>
            <w:r>
              <w:rPr>
                <w:b w:val="0"/>
                <w:bCs/>
                <w:color w:val="auto"/>
                <w:sz w:val="24"/>
              </w:rPr>
              <w:t>N—</w:t>
            </w:r>
            <w:r>
              <w:rPr>
                <w:rFonts w:hint="eastAsia"/>
                <w:b w:val="0"/>
                <w:bCs/>
                <w:color w:val="auto"/>
                <w:sz w:val="24"/>
              </w:rPr>
              <w:t>室内声源总数。</w:t>
            </w:r>
          </w:p>
          <w:p w14:paraId="33153C9B">
            <w:pPr>
              <w:spacing w:line="360" w:lineRule="auto"/>
              <w:ind w:firstLine="480" w:firstLineChars="200"/>
              <w:rPr>
                <w:b w:val="0"/>
                <w:bCs/>
                <w:color w:val="auto"/>
                <w:sz w:val="24"/>
              </w:rPr>
            </w:pPr>
            <w:r>
              <w:rPr>
                <w:rFonts w:hint="eastAsia"/>
                <w:b w:val="0"/>
                <w:bCs/>
                <w:color w:val="auto"/>
                <w:sz w:val="24"/>
              </w:rPr>
              <w:t>在室内近似为扩散声场时，按公式计算出靠近室外围护结构处的A声级：</w:t>
            </w:r>
          </w:p>
          <w:p w14:paraId="5C79EB03">
            <w:pPr>
              <w:spacing w:line="360" w:lineRule="auto"/>
              <w:ind w:firstLine="480" w:firstLineChars="200"/>
              <w:jc w:val="center"/>
              <w:rPr>
                <w:b w:val="0"/>
                <w:bCs/>
                <w:color w:val="auto"/>
                <w:sz w:val="24"/>
              </w:rPr>
            </w:pPr>
            <w:r>
              <w:rPr>
                <w:b w:val="0"/>
                <w:bCs/>
                <w:color w:val="auto"/>
                <w:sz w:val="24"/>
              </w:rPr>
              <w:drawing>
                <wp:inline distT="0" distB="0" distL="114300" distR="114300">
                  <wp:extent cx="1797050" cy="223520"/>
                  <wp:effectExtent l="0" t="0" r="12700" b="5080"/>
                  <wp:docPr id="13" name="图片 12" descr="624506594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245065941439279977328"/>
                          <pic:cNvPicPr>
                            <a:picLocks noChangeAspect="1"/>
                          </pic:cNvPicPr>
                        </pic:nvPicPr>
                        <pic:blipFill>
                          <a:blip r:embed="rId20"/>
                          <a:stretch>
                            <a:fillRect/>
                          </a:stretch>
                        </pic:blipFill>
                        <pic:spPr>
                          <a:xfrm>
                            <a:off x="0" y="0"/>
                            <a:ext cx="1797050" cy="223520"/>
                          </a:xfrm>
                          <a:prstGeom prst="rect">
                            <a:avLst/>
                          </a:prstGeom>
                          <a:noFill/>
                          <a:ln>
                            <a:noFill/>
                          </a:ln>
                        </pic:spPr>
                      </pic:pic>
                    </a:graphicData>
                  </a:graphic>
                </wp:inline>
              </w:drawing>
            </w:r>
          </w:p>
          <w:p w14:paraId="79BBABA0">
            <w:pPr>
              <w:spacing w:line="360" w:lineRule="auto"/>
              <w:ind w:firstLine="480" w:firstLineChars="200"/>
              <w:rPr>
                <w:b w:val="0"/>
                <w:bCs/>
                <w:color w:val="auto"/>
                <w:sz w:val="24"/>
              </w:rPr>
            </w:pPr>
            <w:r>
              <w:rPr>
                <w:rFonts w:hint="eastAsia"/>
                <w:b w:val="0"/>
                <w:bCs/>
                <w:color w:val="auto"/>
                <w:sz w:val="24"/>
              </w:rPr>
              <w:t>式中：</w:t>
            </w:r>
          </w:p>
          <w:p w14:paraId="4EC77EAB">
            <w:pPr>
              <w:spacing w:line="360" w:lineRule="auto"/>
              <w:ind w:firstLine="480" w:firstLineChars="200"/>
              <w:rPr>
                <w:b w:val="0"/>
                <w:bCs/>
                <w:color w:val="auto"/>
                <w:sz w:val="24"/>
              </w:rPr>
            </w:pPr>
            <w:r>
              <w:rPr>
                <w:b w:val="0"/>
                <w:bCs/>
                <w:color w:val="auto"/>
                <w:sz w:val="24"/>
              </w:rPr>
              <w:drawing>
                <wp:inline distT="0" distB="0" distL="114300" distR="114300">
                  <wp:extent cx="563245" cy="233680"/>
                  <wp:effectExtent l="0" t="0" r="8255" b="13970"/>
                  <wp:docPr id="14" name="图片 13" descr="131241889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312418891439279977328"/>
                          <pic:cNvPicPr>
                            <a:picLocks noChangeAspect="1"/>
                          </pic:cNvPicPr>
                        </pic:nvPicPr>
                        <pic:blipFill>
                          <a:blip r:embed="rId21"/>
                          <a:stretch>
                            <a:fillRect/>
                          </a:stretch>
                        </pic:blipFill>
                        <pic:spPr>
                          <a:xfrm>
                            <a:off x="0" y="0"/>
                            <a:ext cx="563245" cy="233680"/>
                          </a:xfrm>
                          <a:prstGeom prst="rect">
                            <a:avLst/>
                          </a:prstGeom>
                          <a:noFill/>
                          <a:ln>
                            <a:noFill/>
                          </a:ln>
                        </pic:spPr>
                      </pic:pic>
                    </a:graphicData>
                  </a:graphic>
                </wp:inline>
              </w:drawing>
            </w:r>
            <w:r>
              <w:rPr>
                <w:rFonts w:hint="eastAsia"/>
                <w:b w:val="0"/>
                <w:bCs/>
                <w:color w:val="auto"/>
                <w:sz w:val="24"/>
              </w:rPr>
              <w:t>靠近围护结构处室外</w:t>
            </w:r>
            <w:r>
              <w:rPr>
                <w:b w:val="0"/>
                <w:bCs/>
                <w:color w:val="auto"/>
                <w:sz w:val="24"/>
              </w:rPr>
              <w:t>N</w:t>
            </w:r>
            <w:r>
              <w:rPr>
                <w:rFonts w:hint="eastAsia"/>
                <w:b w:val="0"/>
                <w:bCs/>
                <w:color w:val="auto"/>
                <w:sz w:val="24"/>
              </w:rPr>
              <w:t>个声源</w:t>
            </w:r>
            <w:r>
              <w:rPr>
                <w:b w:val="0"/>
                <w:bCs/>
                <w:color w:val="auto"/>
                <w:sz w:val="24"/>
              </w:rPr>
              <w:t>i</w:t>
            </w:r>
            <w:r>
              <w:rPr>
                <w:rFonts w:hint="eastAsia"/>
                <w:b w:val="0"/>
                <w:bCs/>
                <w:color w:val="auto"/>
                <w:sz w:val="24"/>
              </w:rPr>
              <w:t>倍频带的叠加声压级，</w:t>
            </w:r>
            <w:r>
              <w:rPr>
                <w:b w:val="0"/>
                <w:bCs/>
                <w:color w:val="auto"/>
                <w:sz w:val="24"/>
              </w:rPr>
              <w:t>dB</w:t>
            </w:r>
            <w:r>
              <w:rPr>
                <w:rFonts w:hint="eastAsia"/>
                <w:b w:val="0"/>
                <w:bCs/>
                <w:color w:val="auto"/>
                <w:sz w:val="24"/>
              </w:rPr>
              <w:t>（A）；</w:t>
            </w:r>
          </w:p>
          <w:p w14:paraId="7E852881">
            <w:pPr>
              <w:spacing w:line="360" w:lineRule="auto"/>
              <w:ind w:firstLine="480" w:firstLineChars="200"/>
              <w:rPr>
                <w:b w:val="0"/>
                <w:bCs/>
                <w:color w:val="auto"/>
                <w:sz w:val="24"/>
              </w:rPr>
            </w:pPr>
            <w:r>
              <w:rPr>
                <w:b w:val="0"/>
                <w:bCs/>
                <w:color w:val="auto"/>
                <w:sz w:val="24"/>
              </w:rPr>
              <w:drawing>
                <wp:inline distT="0" distB="0" distL="114300" distR="114300">
                  <wp:extent cx="191135" cy="223520"/>
                  <wp:effectExtent l="0" t="0" r="18415" b="5080"/>
                  <wp:docPr id="15" name="图片 14" descr="49071726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490717261439279977328"/>
                          <pic:cNvPicPr>
                            <a:picLocks noChangeAspect="1"/>
                          </pic:cNvPicPr>
                        </pic:nvPicPr>
                        <pic:blipFill>
                          <a:blip r:embed="rId22"/>
                          <a:stretch>
                            <a:fillRect/>
                          </a:stretch>
                        </pic:blipFill>
                        <pic:spPr>
                          <a:xfrm>
                            <a:off x="0" y="0"/>
                            <a:ext cx="191135" cy="223520"/>
                          </a:xfrm>
                          <a:prstGeom prst="rect">
                            <a:avLst/>
                          </a:prstGeom>
                          <a:noFill/>
                          <a:ln>
                            <a:noFill/>
                          </a:ln>
                        </pic:spPr>
                      </pic:pic>
                    </a:graphicData>
                  </a:graphic>
                </wp:inline>
              </w:drawing>
            </w:r>
            <w:r>
              <w:rPr>
                <w:b w:val="0"/>
                <w:bCs/>
                <w:color w:val="auto"/>
                <w:sz w:val="24"/>
              </w:rPr>
              <w:t>—</w:t>
            </w:r>
            <w:r>
              <w:rPr>
                <w:rFonts w:hint="eastAsia"/>
                <w:b w:val="0"/>
                <w:bCs/>
                <w:color w:val="auto"/>
                <w:sz w:val="24"/>
              </w:rPr>
              <w:t>围护结构</w:t>
            </w:r>
            <w:r>
              <w:rPr>
                <w:b w:val="0"/>
                <w:bCs/>
                <w:color w:val="auto"/>
                <w:sz w:val="24"/>
              </w:rPr>
              <w:t>i</w:t>
            </w:r>
            <w:r>
              <w:rPr>
                <w:rFonts w:hint="eastAsia"/>
                <w:b w:val="0"/>
                <w:bCs/>
                <w:color w:val="auto"/>
                <w:sz w:val="24"/>
              </w:rPr>
              <w:t>倍频带的隔声量，</w:t>
            </w:r>
            <w:r>
              <w:rPr>
                <w:b w:val="0"/>
                <w:bCs/>
                <w:color w:val="auto"/>
                <w:sz w:val="24"/>
              </w:rPr>
              <w:t>dB</w:t>
            </w:r>
            <w:r>
              <w:rPr>
                <w:rFonts w:hint="eastAsia"/>
                <w:b w:val="0"/>
                <w:bCs/>
                <w:color w:val="auto"/>
                <w:sz w:val="24"/>
              </w:rPr>
              <w:t>（A）。</w:t>
            </w:r>
          </w:p>
          <w:p w14:paraId="1862CDDA">
            <w:pPr>
              <w:spacing w:line="360" w:lineRule="auto"/>
              <w:ind w:firstLine="480" w:firstLineChars="200"/>
              <w:jc w:val="left"/>
              <w:rPr>
                <w:b w:val="0"/>
                <w:bCs/>
                <w:color w:val="auto"/>
                <w:sz w:val="24"/>
              </w:rPr>
            </w:pPr>
            <w:r>
              <w:rPr>
                <w:b w:val="0"/>
                <w:bCs/>
                <w:color w:val="auto"/>
                <w:sz w:val="24"/>
              </w:rPr>
              <w:t>③</w:t>
            </w:r>
            <w:r>
              <w:rPr>
                <w:rFonts w:hint="eastAsia"/>
                <w:b w:val="0"/>
                <w:bCs/>
                <w:color w:val="auto"/>
                <w:sz w:val="24"/>
                <w:szCs w:val="24"/>
                <w:highlight w:val="none"/>
                <w:lang w:val="en-US" w:eastAsia="zh-CN"/>
              </w:rPr>
              <w:t>厂界</w:t>
            </w:r>
            <w:r>
              <w:rPr>
                <w:b w:val="0"/>
                <w:bCs/>
                <w:color w:val="auto"/>
                <w:sz w:val="24"/>
              </w:rPr>
              <w:t>预测点贡献值计算：</w:t>
            </w:r>
          </w:p>
          <w:p w14:paraId="17EEB9D8">
            <w:pPr>
              <w:spacing w:line="360" w:lineRule="auto"/>
              <w:jc w:val="center"/>
              <w:rPr>
                <w:b w:val="0"/>
                <w:bCs/>
                <w:color w:val="auto"/>
                <w:sz w:val="24"/>
                <w:szCs w:val="22"/>
              </w:rPr>
            </w:pPr>
            <w:r>
              <w:rPr>
                <w:b w:val="0"/>
                <w:bCs/>
                <w:color w:val="auto"/>
                <w:position w:val="-34"/>
                <w:sz w:val="24"/>
              </w:rPr>
              <w:object>
                <v:shape id="_x0000_i1026" o:spt="75" type="#_x0000_t75" style="height:43.25pt;width:205.1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p>
          <w:p w14:paraId="6974EE33">
            <w:pPr>
              <w:spacing w:line="360" w:lineRule="auto"/>
              <w:ind w:firstLine="480" w:firstLineChars="200"/>
              <w:jc w:val="left"/>
              <w:rPr>
                <w:b w:val="0"/>
                <w:bCs/>
                <w:color w:val="auto"/>
                <w:sz w:val="24"/>
              </w:rPr>
            </w:pPr>
            <w:r>
              <w:rPr>
                <w:b w:val="0"/>
                <w:bCs/>
                <w:color w:val="auto"/>
                <w:sz w:val="24"/>
              </w:rPr>
              <w:t>式中：L</w:t>
            </w:r>
            <w:r>
              <w:rPr>
                <w:b w:val="0"/>
                <w:bCs/>
                <w:color w:val="auto"/>
                <w:sz w:val="24"/>
                <w:vertAlign w:val="subscript"/>
              </w:rPr>
              <w:t>eqg</w:t>
            </w:r>
            <w:r>
              <w:rPr>
                <w:b w:val="0"/>
                <w:bCs/>
                <w:color w:val="auto"/>
                <w:sz w:val="24"/>
              </w:rPr>
              <w:t>——建设项目声源在预测点产生的噪声贡献值，dB</w:t>
            </w:r>
            <w:r>
              <w:rPr>
                <w:rFonts w:hint="eastAsia"/>
                <w:b w:val="0"/>
                <w:bCs/>
                <w:color w:val="auto"/>
                <w:sz w:val="24"/>
              </w:rPr>
              <w:t>（A）</w:t>
            </w:r>
            <w:r>
              <w:rPr>
                <w:b w:val="0"/>
                <w:bCs/>
                <w:color w:val="auto"/>
                <w:sz w:val="24"/>
              </w:rPr>
              <w:t>；</w:t>
            </w:r>
          </w:p>
          <w:p w14:paraId="4EAF85C9">
            <w:pPr>
              <w:spacing w:line="360" w:lineRule="auto"/>
              <w:ind w:firstLine="1200" w:firstLineChars="500"/>
              <w:jc w:val="left"/>
              <w:rPr>
                <w:b w:val="0"/>
                <w:bCs/>
                <w:color w:val="auto"/>
                <w:sz w:val="24"/>
              </w:rPr>
            </w:pPr>
            <w:r>
              <w:rPr>
                <w:b w:val="0"/>
                <w:bCs/>
                <w:color w:val="auto"/>
                <w:sz w:val="24"/>
              </w:rPr>
              <w:t>T——用于计算等效声级的时间，s；</w:t>
            </w:r>
          </w:p>
          <w:p w14:paraId="6ADBB75D">
            <w:pPr>
              <w:spacing w:line="360" w:lineRule="auto"/>
              <w:ind w:firstLine="1200" w:firstLineChars="500"/>
              <w:rPr>
                <w:b w:val="0"/>
                <w:bCs/>
                <w:color w:val="auto"/>
                <w:sz w:val="24"/>
              </w:rPr>
            </w:pPr>
            <w:r>
              <w:rPr>
                <w:b w:val="0"/>
                <w:bCs/>
                <w:color w:val="auto"/>
                <w:sz w:val="24"/>
              </w:rPr>
              <w:t>N——室外声源个数；</w:t>
            </w:r>
          </w:p>
          <w:p w14:paraId="00D2C199">
            <w:pPr>
              <w:spacing w:line="360" w:lineRule="auto"/>
              <w:ind w:firstLine="1200" w:firstLineChars="500"/>
              <w:rPr>
                <w:b w:val="0"/>
                <w:bCs/>
                <w:color w:val="auto"/>
                <w:sz w:val="24"/>
              </w:rPr>
            </w:pPr>
            <w:r>
              <w:rPr>
                <w:b w:val="0"/>
                <w:bCs/>
                <w:color w:val="auto"/>
                <w:sz w:val="24"/>
              </w:rPr>
              <w:t>t</w:t>
            </w:r>
            <w:r>
              <w:rPr>
                <w:b w:val="0"/>
                <w:bCs/>
                <w:color w:val="auto"/>
                <w:sz w:val="24"/>
                <w:vertAlign w:val="subscript"/>
              </w:rPr>
              <w:t>i</w:t>
            </w:r>
            <w:r>
              <w:rPr>
                <w:b w:val="0"/>
                <w:bCs/>
                <w:color w:val="auto"/>
                <w:sz w:val="24"/>
              </w:rPr>
              <w:t>——在T时间内i声源工作时间，s；</w:t>
            </w:r>
          </w:p>
          <w:p w14:paraId="67B780C8">
            <w:pPr>
              <w:spacing w:line="360" w:lineRule="auto"/>
              <w:ind w:firstLine="1200" w:firstLineChars="500"/>
              <w:rPr>
                <w:b w:val="0"/>
                <w:bCs/>
                <w:color w:val="auto"/>
                <w:sz w:val="24"/>
              </w:rPr>
            </w:pPr>
            <w:r>
              <w:rPr>
                <w:b w:val="0"/>
                <w:bCs/>
                <w:color w:val="auto"/>
                <w:sz w:val="24"/>
              </w:rPr>
              <w:t>M——等效室外声源个数；</w:t>
            </w:r>
          </w:p>
          <w:p w14:paraId="17913D83">
            <w:pPr>
              <w:spacing w:line="360" w:lineRule="auto"/>
              <w:ind w:firstLine="1200" w:firstLineChars="500"/>
              <w:rPr>
                <w:b w:val="0"/>
                <w:bCs/>
                <w:color w:val="auto"/>
                <w:kern w:val="0"/>
                <w:sz w:val="24"/>
              </w:rPr>
            </w:pPr>
            <w:r>
              <w:rPr>
                <w:b w:val="0"/>
                <w:bCs/>
                <w:color w:val="auto"/>
                <w:sz w:val="24"/>
              </w:rPr>
              <w:t>t</w:t>
            </w:r>
            <w:r>
              <w:rPr>
                <w:b w:val="0"/>
                <w:bCs/>
                <w:color w:val="auto"/>
                <w:sz w:val="24"/>
                <w:vertAlign w:val="subscript"/>
              </w:rPr>
              <w:t>j</w:t>
            </w:r>
            <w:r>
              <w:rPr>
                <w:b w:val="0"/>
                <w:bCs/>
                <w:color w:val="auto"/>
                <w:sz w:val="24"/>
              </w:rPr>
              <w:t>——在T时间内j声源工作时间，s。</w:t>
            </w:r>
          </w:p>
          <w:p w14:paraId="04869D82">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imes New Roman" w:hAnsi="Times New Roman" w:cs="Times New Roman"/>
                <w:b/>
                <w:bCs w:val="0"/>
                <w:color w:val="auto"/>
                <w:kern w:val="0"/>
                <w:sz w:val="24"/>
                <w:szCs w:val="24"/>
                <w:vertAlign w:val="baseline"/>
                <w:lang w:eastAsia="zh-CN"/>
              </w:rPr>
            </w:pPr>
            <w:r>
              <w:rPr>
                <w:rFonts w:hint="eastAsia" w:ascii="Times New Roman" w:hAnsi="Times New Roman" w:cs="Times New Roman"/>
                <w:b/>
                <w:bCs w:val="0"/>
                <w:color w:val="auto"/>
                <w:kern w:val="0"/>
                <w:sz w:val="24"/>
                <w:szCs w:val="24"/>
                <w:vertAlign w:val="baseline"/>
                <w:lang w:eastAsia="zh-CN"/>
              </w:rPr>
              <w:t>4.2.3.3 噪声影响预测结果</w:t>
            </w:r>
          </w:p>
          <w:p w14:paraId="2019C8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本项目仅白天营业（营业时间为9</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00-</w:t>
            </w:r>
            <w:r>
              <w:rPr>
                <w:rFonts w:hint="eastAsia" w:cs="Times New Roman"/>
                <w:b w:val="0"/>
                <w:bCs/>
                <w:color w:val="auto"/>
                <w:sz w:val="24"/>
                <w:highlight w:val="none"/>
                <w:lang w:val="en-US" w:eastAsia="zh-CN"/>
              </w:rPr>
              <w:t>20:</w:t>
            </w:r>
            <w:r>
              <w:rPr>
                <w:rFonts w:hint="default" w:ascii="Times New Roman" w:hAnsi="Times New Roman" w:cs="Times New Roman"/>
                <w:b w:val="0"/>
                <w:bCs/>
                <w:color w:val="auto"/>
                <w:sz w:val="24"/>
                <w:highlight w:val="none"/>
                <w:lang w:eastAsia="zh-CN"/>
              </w:rPr>
              <w:t>00），夜间不营业，</w:t>
            </w:r>
            <w:r>
              <w:rPr>
                <w:rFonts w:hint="eastAsia" w:cs="Times New Roman"/>
                <w:b w:val="0"/>
                <w:bCs/>
                <w:color w:val="auto"/>
                <w:sz w:val="24"/>
                <w:highlight w:val="none"/>
                <w:lang w:val="en-US" w:eastAsia="zh-CN"/>
              </w:rPr>
              <w:t>但</w:t>
            </w:r>
            <w:r>
              <w:rPr>
                <w:rFonts w:hint="default" w:ascii="Times New Roman" w:hAnsi="Times New Roman" w:cs="Times New Roman"/>
                <w:b w:val="0"/>
                <w:bCs/>
                <w:color w:val="auto"/>
                <w:sz w:val="24"/>
                <w:highlight w:val="none"/>
                <w:lang w:eastAsia="zh-CN"/>
              </w:rPr>
              <w:t>住院宠物夜间</w:t>
            </w:r>
            <w:r>
              <w:rPr>
                <w:rFonts w:hint="eastAsia" w:cs="Times New Roman"/>
                <w:b w:val="0"/>
                <w:bCs/>
                <w:color w:val="auto"/>
                <w:sz w:val="24"/>
                <w:highlight w:val="none"/>
                <w:lang w:val="en-US" w:eastAsia="zh-CN"/>
              </w:rPr>
              <w:t>仍存在</w:t>
            </w:r>
            <w:r>
              <w:rPr>
                <w:rFonts w:hint="default" w:ascii="Times New Roman" w:hAnsi="Times New Roman" w:cs="Times New Roman"/>
                <w:b w:val="0"/>
                <w:bCs/>
                <w:color w:val="auto"/>
                <w:kern w:val="0"/>
                <w:sz w:val="24"/>
                <w:szCs w:val="24"/>
                <w:vertAlign w:val="baseline"/>
                <w:lang w:eastAsia="zh-CN"/>
              </w:rPr>
              <w:t>偶发吼叫噪声</w:t>
            </w:r>
            <w:r>
              <w:rPr>
                <w:rFonts w:hint="default" w:ascii="Times New Roman" w:hAnsi="Times New Roman" w:cs="Times New Roman"/>
                <w:b w:val="0"/>
                <w:bCs/>
                <w:color w:val="auto"/>
                <w:sz w:val="24"/>
                <w:highlight w:val="none"/>
                <w:lang w:eastAsia="zh-CN"/>
              </w:rPr>
              <w:t>等，</w:t>
            </w:r>
            <w:r>
              <w:rPr>
                <w:rFonts w:hint="eastAsia" w:cs="Times New Roman"/>
                <w:b w:val="0"/>
                <w:bCs/>
                <w:color w:val="auto"/>
                <w:sz w:val="24"/>
                <w:highlight w:val="none"/>
                <w:lang w:val="en-US" w:eastAsia="zh-CN"/>
              </w:rPr>
              <w:t>本</w:t>
            </w:r>
            <w:r>
              <w:rPr>
                <w:rFonts w:hint="default" w:ascii="Times New Roman" w:hAnsi="Times New Roman" w:cs="Times New Roman"/>
                <w:b w:val="0"/>
                <w:bCs/>
                <w:color w:val="auto"/>
                <w:sz w:val="24"/>
                <w:highlight w:val="none"/>
                <w:lang w:eastAsia="zh-CN"/>
              </w:rPr>
              <w:t>项目厂界噪声结果预测结果见下表。</w:t>
            </w:r>
          </w:p>
          <w:p w14:paraId="15EE65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lang w:eastAsia="zh-CN"/>
              </w:rPr>
              <w:t>表4.2-</w:t>
            </w:r>
            <w:r>
              <w:rPr>
                <w:rFonts w:hint="eastAsia" w:cs="Times New Roman"/>
                <w:b w:val="0"/>
                <w:bCs/>
                <w:color w:val="auto"/>
                <w:sz w:val="21"/>
                <w:szCs w:val="21"/>
                <w:highlight w:val="none"/>
                <w:lang w:val="en-US" w:eastAsia="zh-CN"/>
              </w:rPr>
              <w:t xml:space="preserve">9 </w:t>
            </w:r>
            <w:r>
              <w:rPr>
                <w:rFonts w:hint="default" w:ascii="Times New Roman" w:hAnsi="Times New Roman" w:cs="Times New Roman"/>
                <w:b w:val="0"/>
                <w:bCs/>
                <w:color w:val="auto"/>
                <w:sz w:val="21"/>
                <w:szCs w:val="21"/>
                <w:highlight w:val="none"/>
                <w:lang w:eastAsia="zh-CN"/>
              </w:rPr>
              <w:t>项目厂界噪声预测结果表</w:t>
            </w:r>
          </w:p>
          <w:tbl>
            <w:tblPr>
              <w:tblStyle w:val="22"/>
              <w:tblW w:w="82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2357"/>
              <w:gridCol w:w="956"/>
              <w:gridCol w:w="834"/>
              <w:gridCol w:w="836"/>
              <w:gridCol w:w="1665"/>
            </w:tblGrid>
            <w:tr w14:paraId="6F7F3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7" w:type="dxa"/>
                  <w:vMerge w:val="restart"/>
                  <w:tcBorders>
                    <w:tl2br w:val="nil"/>
                    <w:tr2bl w:val="nil"/>
                  </w:tcBorders>
                  <w:vAlign w:val="center"/>
                </w:tcPr>
                <w:p w14:paraId="1C950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预测点位置</w:t>
                  </w:r>
                </w:p>
              </w:tc>
              <w:tc>
                <w:tcPr>
                  <w:tcW w:w="2357" w:type="dxa"/>
                  <w:tcBorders>
                    <w:tl2br w:val="nil"/>
                    <w:tr2bl w:val="nil"/>
                  </w:tcBorders>
                  <w:vAlign w:val="center"/>
                </w:tcPr>
                <w:p w14:paraId="58ACA6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val="en-US" w:eastAsia="zh-CN"/>
                    </w:rPr>
                    <w:t>设备噪声贡献值</w:t>
                  </w:r>
                  <w:r>
                    <w:rPr>
                      <w:rFonts w:hint="default" w:ascii="Times New Roman" w:hAnsi="Times New Roman" w:cs="Times New Roman"/>
                      <w:b w:val="0"/>
                      <w:bCs/>
                      <w:color w:val="auto"/>
                      <w:kern w:val="0"/>
                      <w:sz w:val="21"/>
                      <w:szCs w:val="21"/>
                      <w:highlight w:val="none"/>
                      <w:vertAlign w:val="baseline"/>
                      <w:lang w:val="en-US" w:eastAsia="zh-CN"/>
                    </w:rPr>
                    <w:t>/dB（A）</w:t>
                  </w:r>
                </w:p>
              </w:tc>
              <w:tc>
                <w:tcPr>
                  <w:tcW w:w="2626" w:type="dxa"/>
                  <w:gridSpan w:val="3"/>
                  <w:tcBorders>
                    <w:tl2br w:val="nil"/>
                    <w:tr2bl w:val="nil"/>
                  </w:tcBorders>
                  <w:vAlign w:val="center"/>
                </w:tcPr>
                <w:p w14:paraId="5BC00D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标准值</w:t>
                  </w:r>
                  <w:r>
                    <w:rPr>
                      <w:rFonts w:hint="default" w:ascii="Times New Roman" w:hAnsi="Times New Roman" w:cs="Times New Roman"/>
                      <w:b w:val="0"/>
                      <w:bCs/>
                      <w:color w:val="auto"/>
                      <w:kern w:val="0"/>
                      <w:sz w:val="21"/>
                      <w:szCs w:val="21"/>
                      <w:highlight w:val="none"/>
                      <w:vertAlign w:val="baseline"/>
                      <w:lang w:val="en-US" w:eastAsia="zh-CN"/>
                    </w:rPr>
                    <w:t>/dB（A）</w:t>
                  </w:r>
                </w:p>
              </w:tc>
              <w:tc>
                <w:tcPr>
                  <w:tcW w:w="1665" w:type="dxa"/>
                  <w:vMerge w:val="restart"/>
                  <w:tcBorders>
                    <w:tl2br w:val="nil"/>
                    <w:tr2bl w:val="nil"/>
                  </w:tcBorders>
                  <w:vAlign w:val="center"/>
                </w:tcPr>
                <w:p w14:paraId="2A04C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达标情况</w:t>
                  </w:r>
                </w:p>
              </w:tc>
            </w:tr>
            <w:tr w14:paraId="706DF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7" w:type="dxa"/>
                  <w:vMerge w:val="continue"/>
                  <w:tcBorders>
                    <w:tl2br w:val="nil"/>
                    <w:tr2bl w:val="nil"/>
                  </w:tcBorders>
                  <w:vAlign w:val="center"/>
                </w:tcPr>
                <w:p w14:paraId="14B22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2357" w:type="dxa"/>
                  <w:tcBorders>
                    <w:tl2br w:val="nil"/>
                    <w:tr2bl w:val="nil"/>
                  </w:tcBorders>
                  <w:vAlign w:val="center"/>
                </w:tcPr>
                <w:p w14:paraId="2AD227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昼间</w:t>
                  </w:r>
                </w:p>
              </w:tc>
              <w:tc>
                <w:tcPr>
                  <w:tcW w:w="956" w:type="dxa"/>
                  <w:tcBorders>
                    <w:tl2br w:val="nil"/>
                    <w:tr2bl w:val="nil"/>
                  </w:tcBorders>
                  <w:vAlign w:val="center"/>
                </w:tcPr>
                <w:p w14:paraId="3ABED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标准</w:t>
                  </w:r>
                </w:p>
              </w:tc>
              <w:tc>
                <w:tcPr>
                  <w:tcW w:w="834" w:type="dxa"/>
                  <w:tcBorders>
                    <w:tl2br w:val="nil"/>
                    <w:tr2bl w:val="nil"/>
                  </w:tcBorders>
                  <w:shd w:val="clear" w:color="auto" w:fill="auto"/>
                  <w:vAlign w:val="center"/>
                </w:tcPr>
                <w:p w14:paraId="504814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昼间</w:t>
                  </w:r>
                </w:p>
              </w:tc>
              <w:tc>
                <w:tcPr>
                  <w:tcW w:w="836" w:type="dxa"/>
                  <w:tcBorders>
                    <w:tl2br w:val="nil"/>
                    <w:tr2bl w:val="nil"/>
                  </w:tcBorders>
                  <w:shd w:val="clear" w:color="auto" w:fill="auto"/>
                  <w:vAlign w:val="center"/>
                </w:tcPr>
                <w:p w14:paraId="13ED9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夜间</w:t>
                  </w:r>
                </w:p>
              </w:tc>
              <w:tc>
                <w:tcPr>
                  <w:tcW w:w="1665" w:type="dxa"/>
                  <w:vMerge w:val="continue"/>
                  <w:tcBorders>
                    <w:tl2br w:val="nil"/>
                    <w:tr2bl w:val="nil"/>
                  </w:tcBorders>
                  <w:vAlign w:val="center"/>
                </w:tcPr>
                <w:p w14:paraId="5009F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p>
              </w:tc>
            </w:tr>
            <w:tr w14:paraId="51DA5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7" w:type="dxa"/>
                  <w:tcBorders>
                    <w:tl2br w:val="nil"/>
                    <w:tr2bl w:val="nil"/>
                  </w:tcBorders>
                  <w:vAlign w:val="center"/>
                </w:tcPr>
                <w:p w14:paraId="1C050C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北厂界</w:t>
                  </w:r>
                </w:p>
              </w:tc>
              <w:tc>
                <w:tcPr>
                  <w:tcW w:w="2357" w:type="dxa"/>
                  <w:tcBorders>
                    <w:tl2br w:val="nil"/>
                    <w:tr2bl w:val="nil"/>
                  </w:tcBorders>
                  <w:vAlign w:val="center"/>
                </w:tcPr>
                <w:p w14:paraId="228E88FB">
                  <w:pPr>
                    <w:keepNext w:val="0"/>
                    <w:keepLines w:val="0"/>
                    <w:widowControl/>
                    <w:suppressLineNumbers w:val="0"/>
                    <w:jc w:val="center"/>
                    <w:textAlignment w:val="bottom"/>
                    <w:rPr>
                      <w:rFonts w:hint="default" w:cs="Times New Roman"/>
                      <w:b w:val="0"/>
                      <w:bCs/>
                      <w:color w:val="auto"/>
                      <w:sz w:val="21"/>
                      <w:szCs w:val="21"/>
                      <w:highlight w:val="none"/>
                      <w:vertAlign w:val="baseline"/>
                      <w:lang w:val="en-US" w:eastAsia="zh-CN"/>
                    </w:rPr>
                  </w:pPr>
                  <w:r>
                    <w:rPr>
                      <w:rFonts w:hint="eastAsia" w:cs="宋体"/>
                      <w:b w:val="0"/>
                      <w:bCs/>
                      <w:i w:val="0"/>
                      <w:iCs w:val="0"/>
                      <w:color w:val="auto"/>
                      <w:kern w:val="0"/>
                      <w:sz w:val="21"/>
                      <w:szCs w:val="24"/>
                      <w:u w:val="none"/>
                      <w:lang w:val="en-US" w:eastAsia="zh-CN" w:bidi="ar"/>
                    </w:rPr>
                    <w:t>30.0</w:t>
                  </w:r>
                </w:p>
              </w:tc>
              <w:tc>
                <w:tcPr>
                  <w:tcW w:w="956" w:type="dxa"/>
                  <w:vMerge w:val="restart"/>
                  <w:tcBorders>
                    <w:tl2br w:val="nil"/>
                    <w:tr2bl w:val="nil"/>
                  </w:tcBorders>
                  <w:vAlign w:val="center"/>
                </w:tcPr>
                <w:p w14:paraId="40D975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1类</w:t>
                  </w:r>
                </w:p>
              </w:tc>
              <w:tc>
                <w:tcPr>
                  <w:tcW w:w="834" w:type="dxa"/>
                  <w:vMerge w:val="restart"/>
                  <w:tcBorders>
                    <w:tl2br w:val="nil"/>
                    <w:tr2bl w:val="nil"/>
                  </w:tcBorders>
                  <w:vAlign w:val="center"/>
                </w:tcPr>
                <w:p w14:paraId="61B7A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55</w:t>
                  </w:r>
                </w:p>
              </w:tc>
              <w:tc>
                <w:tcPr>
                  <w:tcW w:w="836" w:type="dxa"/>
                  <w:vMerge w:val="restart"/>
                  <w:tcBorders>
                    <w:tl2br w:val="nil"/>
                    <w:tr2bl w:val="nil"/>
                  </w:tcBorders>
                  <w:vAlign w:val="center"/>
                </w:tcPr>
                <w:p w14:paraId="68ED6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45</w:t>
                  </w:r>
                </w:p>
              </w:tc>
              <w:tc>
                <w:tcPr>
                  <w:tcW w:w="1665" w:type="dxa"/>
                  <w:tcBorders>
                    <w:tl2br w:val="nil"/>
                    <w:tr2bl w:val="nil"/>
                  </w:tcBorders>
                  <w:vAlign w:val="center"/>
                </w:tcPr>
                <w:p w14:paraId="633C05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达标</w:t>
                  </w:r>
                </w:p>
              </w:tc>
            </w:tr>
            <w:tr w14:paraId="6FE05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7" w:type="dxa"/>
                  <w:tcBorders>
                    <w:tl2br w:val="nil"/>
                    <w:tr2bl w:val="nil"/>
                  </w:tcBorders>
                  <w:shd w:val="clear" w:color="auto" w:fill="auto"/>
                  <w:vAlign w:val="center"/>
                </w:tcPr>
                <w:p w14:paraId="2F8EBA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南厂界</w:t>
                  </w:r>
                </w:p>
              </w:tc>
              <w:tc>
                <w:tcPr>
                  <w:tcW w:w="2357" w:type="dxa"/>
                  <w:tcBorders>
                    <w:tl2br w:val="nil"/>
                    <w:tr2bl w:val="nil"/>
                  </w:tcBorders>
                  <w:shd w:val="clear" w:color="auto" w:fill="auto"/>
                  <w:vAlign w:val="center"/>
                </w:tcPr>
                <w:p w14:paraId="448A50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宋体"/>
                      <w:b w:val="0"/>
                      <w:bCs/>
                      <w:i w:val="0"/>
                      <w:iCs w:val="0"/>
                      <w:color w:val="auto"/>
                      <w:kern w:val="0"/>
                      <w:sz w:val="21"/>
                      <w:szCs w:val="24"/>
                      <w:u w:val="none"/>
                      <w:lang w:val="en-US" w:eastAsia="zh-CN" w:bidi="ar"/>
                    </w:rPr>
                    <w:t>44.5</w:t>
                  </w:r>
                </w:p>
              </w:tc>
              <w:tc>
                <w:tcPr>
                  <w:tcW w:w="956" w:type="dxa"/>
                  <w:vMerge w:val="continue"/>
                  <w:tcBorders>
                    <w:tl2br w:val="nil"/>
                    <w:tr2bl w:val="nil"/>
                  </w:tcBorders>
                  <w:vAlign w:val="center"/>
                </w:tcPr>
                <w:p w14:paraId="2083FC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834" w:type="dxa"/>
                  <w:vMerge w:val="continue"/>
                  <w:tcBorders>
                    <w:tl2br w:val="nil"/>
                    <w:tr2bl w:val="nil"/>
                  </w:tcBorders>
                  <w:vAlign w:val="center"/>
                </w:tcPr>
                <w:p w14:paraId="787665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836" w:type="dxa"/>
                  <w:vMerge w:val="continue"/>
                  <w:tcBorders>
                    <w:tl2br w:val="nil"/>
                    <w:tr2bl w:val="nil"/>
                  </w:tcBorders>
                  <w:vAlign w:val="center"/>
                </w:tcPr>
                <w:p w14:paraId="3C7430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665" w:type="dxa"/>
                  <w:tcBorders>
                    <w:tl2br w:val="nil"/>
                    <w:tr2bl w:val="nil"/>
                  </w:tcBorders>
                  <w:vAlign w:val="center"/>
                </w:tcPr>
                <w:p w14:paraId="298C41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达标</w:t>
                  </w:r>
                </w:p>
              </w:tc>
            </w:tr>
            <w:tr w14:paraId="6BA6A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5" w:type="dxa"/>
                  <w:gridSpan w:val="6"/>
                  <w:tcBorders>
                    <w:tl2br w:val="nil"/>
                    <w:tr2bl w:val="nil"/>
                  </w:tcBorders>
                  <w:vAlign w:val="center"/>
                </w:tcPr>
                <w:p w14:paraId="44ABB49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注：项目</w:t>
                  </w:r>
                  <w:r>
                    <w:rPr>
                      <w:rFonts w:hint="eastAsia" w:cs="Times New Roman"/>
                      <w:b w:val="0"/>
                      <w:bCs/>
                      <w:color w:val="auto"/>
                      <w:sz w:val="21"/>
                      <w:szCs w:val="21"/>
                      <w:highlight w:val="none"/>
                      <w:vertAlign w:val="baseline"/>
                      <w:lang w:val="en-US" w:eastAsia="zh-CN"/>
                    </w:rPr>
                    <w:t>东、西</w:t>
                  </w:r>
                  <w:r>
                    <w:rPr>
                      <w:rFonts w:hint="default" w:ascii="Times New Roman" w:hAnsi="Times New Roman" w:cs="Times New Roman"/>
                      <w:b w:val="0"/>
                      <w:bCs/>
                      <w:color w:val="auto"/>
                      <w:sz w:val="21"/>
                      <w:szCs w:val="21"/>
                      <w:highlight w:val="none"/>
                      <w:vertAlign w:val="baseline"/>
                      <w:lang w:val="en-US" w:eastAsia="zh-CN"/>
                    </w:rPr>
                    <w:t>侧</w:t>
                  </w:r>
                  <w:r>
                    <w:rPr>
                      <w:rFonts w:hint="eastAsia" w:cs="Times New Roman"/>
                      <w:b w:val="0"/>
                      <w:bCs/>
                      <w:color w:val="auto"/>
                      <w:sz w:val="21"/>
                      <w:szCs w:val="21"/>
                      <w:highlight w:val="none"/>
                      <w:vertAlign w:val="baseline"/>
                      <w:lang w:val="en-US" w:eastAsia="zh-CN"/>
                    </w:rPr>
                    <w:t>厂界</w:t>
                  </w:r>
                  <w:r>
                    <w:rPr>
                      <w:rFonts w:hint="default" w:ascii="Times New Roman" w:hAnsi="Times New Roman" w:cs="Times New Roman"/>
                      <w:b w:val="0"/>
                      <w:bCs/>
                      <w:color w:val="auto"/>
                      <w:sz w:val="21"/>
                      <w:szCs w:val="21"/>
                      <w:highlight w:val="none"/>
                      <w:vertAlign w:val="baseline"/>
                      <w:lang w:val="en-US" w:eastAsia="zh-CN"/>
                    </w:rPr>
                    <w:t>与隔壁商户共用隔墙，因此本评价不对项目</w:t>
                  </w:r>
                  <w:r>
                    <w:rPr>
                      <w:rFonts w:hint="eastAsia" w:cs="Times New Roman"/>
                      <w:b w:val="0"/>
                      <w:bCs/>
                      <w:color w:val="auto"/>
                      <w:sz w:val="21"/>
                      <w:szCs w:val="21"/>
                      <w:highlight w:val="none"/>
                      <w:vertAlign w:val="baseline"/>
                      <w:lang w:val="en-US" w:eastAsia="zh-CN"/>
                    </w:rPr>
                    <w:t>东、西</w:t>
                  </w:r>
                  <w:r>
                    <w:rPr>
                      <w:rFonts w:hint="default" w:ascii="Times New Roman" w:hAnsi="Times New Roman" w:cs="Times New Roman"/>
                      <w:b w:val="0"/>
                      <w:bCs/>
                      <w:color w:val="auto"/>
                      <w:sz w:val="21"/>
                      <w:szCs w:val="21"/>
                      <w:highlight w:val="none"/>
                      <w:vertAlign w:val="baseline"/>
                      <w:lang w:val="en-US" w:eastAsia="zh-CN"/>
                    </w:rPr>
                    <w:t>侧</w:t>
                  </w:r>
                  <w:r>
                    <w:rPr>
                      <w:rFonts w:hint="eastAsia" w:cs="Times New Roman"/>
                      <w:b w:val="0"/>
                      <w:bCs/>
                      <w:color w:val="auto"/>
                      <w:sz w:val="21"/>
                      <w:szCs w:val="21"/>
                      <w:highlight w:val="none"/>
                      <w:vertAlign w:val="baseline"/>
                      <w:lang w:val="en-US" w:eastAsia="zh-CN"/>
                    </w:rPr>
                    <w:t>厂界</w:t>
                  </w:r>
                  <w:r>
                    <w:rPr>
                      <w:rFonts w:hint="default" w:ascii="Times New Roman" w:hAnsi="Times New Roman" w:cs="Times New Roman"/>
                      <w:b w:val="0"/>
                      <w:bCs/>
                      <w:color w:val="auto"/>
                      <w:sz w:val="21"/>
                      <w:szCs w:val="21"/>
                      <w:highlight w:val="none"/>
                      <w:vertAlign w:val="baseline"/>
                      <w:lang w:val="en-US" w:eastAsia="zh-CN"/>
                    </w:rPr>
                    <w:t>进行预测。</w:t>
                  </w:r>
                </w:p>
              </w:tc>
            </w:tr>
          </w:tbl>
          <w:p w14:paraId="5D5FD11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b w:val="0"/>
                <w:bCs/>
                <w:color w:val="auto"/>
                <w:sz w:val="24"/>
                <w:lang w:eastAsia="zh-CN"/>
              </w:rPr>
            </w:pPr>
            <w:r>
              <w:rPr>
                <w:rFonts w:hint="default" w:ascii="Times New Roman" w:hAnsi="Times New Roman" w:cs="Times New Roman"/>
                <w:b w:val="0"/>
                <w:bCs/>
                <w:color w:val="auto"/>
                <w:sz w:val="24"/>
                <w:highlight w:val="none"/>
                <w:lang w:eastAsia="zh-CN"/>
              </w:rPr>
              <w:t>由上表可知：项目运营期间</w:t>
            </w:r>
            <w:r>
              <w:rPr>
                <w:rFonts w:hint="eastAsia" w:cs="Times New Roman"/>
                <w:b w:val="0"/>
                <w:bCs/>
                <w:color w:val="auto"/>
                <w:sz w:val="24"/>
                <w:highlight w:val="none"/>
                <w:lang w:val="en-US" w:eastAsia="zh-CN"/>
              </w:rPr>
              <w:t>北</w:t>
            </w:r>
            <w:r>
              <w:rPr>
                <w:rFonts w:hint="default" w:ascii="Times New Roman" w:hAnsi="Times New Roman" w:cs="Times New Roman"/>
                <w:b w:val="0"/>
                <w:bCs/>
                <w:color w:val="auto"/>
                <w:sz w:val="24"/>
                <w:highlight w:val="none"/>
                <w:lang w:eastAsia="zh-CN"/>
              </w:rPr>
              <w:t>厂界</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南厂界昼、夜间噪声</w:t>
            </w:r>
            <w:r>
              <w:rPr>
                <w:rFonts w:hint="default" w:ascii="Times New Roman" w:hAnsi="Times New Roman" w:cs="Times New Roman"/>
                <w:b w:val="0"/>
                <w:bCs/>
                <w:color w:val="auto"/>
                <w:sz w:val="24"/>
                <w:highlight w:val="none"/>
                <w:lang w:eastAsia="zh-CN"/>
              </w:rPr>
              <w:t>能满足《工业企业厂界环境噪声排放标准》中</w:t>
            </w:r>
            <w:r>
              <w:rPr>
                <w:rFonts w:hint="eastAsia" w:cs="Times New Roman"/>
                <w:b w:val="0"/>
                <w:bCs/>
                <w:color w:val="auto"/>
                <w:sz w:val="24"/>
                <w:highlight w:val="none"/>
                <w:lang w:val="en-US" w:eastAsia="zh-CN"/>
              </w:rPr>
              <w:t>1类标准</w:t>
            </w:r>
            <w:r>
              <w:rPr>
                <w:rFonts w:hint="default" w:ascii="Times New Roman" w:hAnsi="Times New Roman" w:cs="Times New Roman"/>
                <w:b w:val="0"/>
                <w:bCs/>
                <w:color w:val="auto"/>
                <w:sz w:val="24"/>
                <w:highlight w:val="none"/>
                <w:lang w:eastAsia="zh-CN"/>
              </w:rPr>
              <w:t>。</w:t>
            </w:r>
            <w:r>
              <w:rPr>
                <w:rFonts w:hint="eastAsia"/>
                <w:b w:val="0"/>
                <w:bCs/>
                <w:color w:val="auto"/>
                <w:sz w:val="24"/>
                <w:lang w:eastAsia="zh-CN"/>
              </w:rPr>
              <w:t>项目周边主要为居民、商业区，通过采取上述噪声防治措施，</w:t>
            </w:r>
            <w:r>
              <w:rPr>
                <w:rFonts w:hint="eastAsia"/>
                <w:b w:val="0"/>
                <w:bCs/>
                <w:color w:val="auto"/>
                <w:sz w:val="24"/>
                <w:szCs w:val="24"/>
                <w:highlight w:val="none"/>
                <w:lang w:val="en-US" w:eastAsia="zh-CN"/>
              </w:rPr>
              <w:t>厂界</w:t>
            </w:r>
            <w:r>
              <w:rPr>
                <w:rFonts w:hint="eastAsia"/>
                <w:b w:val="0"/>
                <w:bCs/>
                <w:color w:val="auto"/>
                <w:sz w:val="24"/>
                <w:lang w:eastAsia="zh-CN"/>
              </w:rPr>
              <w:t>噪声可实现达标排放，</w:t>
            </w:r>
            <w:r>
              <w:rPr>
                <w:rFonts w:hint="eastAsia"/>
                <w:b w:val="0"/>
                <w:bCs/>
                <w:color w:val="auto"/>
                <w:sz w:val="24"/>
                <w:lang w:val="en-US" w:eastAsia="zh-CN"/>
              </w:rPr>
              <w:t>对周围环境影响较小</w:t>
            </w:r>
            <w:r>
              <w:rPr>
                <w:rFonts w:hint="eastAsia"/>
                <w:b w:val="0"/>
                <w:bCs/>
                <w:color w:val="auto"/>
                <w:sz w:val="24"/>
                <w:lang w:eastAsia="zh-CN"/>
              </w:rPr>
              <w:t>。</w:t>
            </w:r>
          </w:p>
          <w:p w14:paraId="2D50C6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现状监测时噪声结果已包括本项目贡献值，故不必再叠加项目贡献值预测项目50m范围内声环境保护目标的噪声。根据监测结果可知，</w:t>
            </w:r>
            <w:r>
              <w:rPr>
                <w:rFonts w:hint="eastAsia"/>
                <w:b w:val="0"/>
                <w:bCs/>
                <w:color w:val="auto"/>
                <w:sz w:val="24"/>
                <w:highlight w:val="none"/>
                <w:lang w:val="en-US" w:eastAsia="zh-CN"/>
              </w:rPr>
              <w:t>项目西北侧</w:t>
            </w:r>
            <w:r>
              <w:rPr>
                <w:rFonts w:hint="eastAsia"/>
                <w:b w:val="0"/>
                <w:bCs/>
                <w:color w:val="auto"/>
                <w:sz w:val="24"/>
                <w:highlight w:val="none"/>
                <w:lang w:eastAsia="zh-CN"/>
              </w:rPr>
              <w:t>噪声昼间</w:t>
            </w:r>
            <w:r>
              <w:rPr>
                <w:rFonts w:hint="eastAsia"/>
                <w:b w:val="0"/>
                <w:bCs/>
                <w:color w:val="auto"/>
                <w:sz w:val="24"/>
                <w:highlight w:val="none"/>
                <w:lang w:val="en-US" w:eastAsia="zh-CN"/>
              </w:rPr>
              <w:t>和夜间均能</w:t>
            </w:r>
            <w:r>
              <w:rPr>
                <w:rFonts w:hint="eastAsia"/>
                <w:b w:val="0"/>
                <w:bCs/>
                <w:color w:val="auto"/>
                <w:sz w:val="24"/>
                <w:highlight w:val="none"/>
                <w:lang w:eastAsia="zh-CN"/>
              </w:rPr>
              <w:t>满足《声环境质量标准》（GB</w:t>
            </w:r>
            <w:r>
              <w:rPr>
                <w:rFonts w:hint="eastAsia"/>
                <w:b w:val="0"/>
                <w:bCs/>
                <w:color w:val="auto"/>
                <w:sz w:val="24"/>
                <w:highlight w:val="none"/>
                <w:lang w:val="en-US" w:eastAsia="zh-CN"/>
              </w:rPr>
              <w:t xml:space="preserve"> </w:t>
            </w:r>
            <w:r>
              <w:rPr>
                <w:rFonts w:hint="eastAsia"/>
                <w:b w:val="0"/>
                <w:bCs/>
                <w:color w:val="auto"/>
                <w:sz w:val="24"/>
                <w:highlight w:val="none"/>
                <w:lang w:eastAsia="zh-CN"/>
              </w:rPr>
              <w:t>3096-2008）中</w:t>
            </w:r>
            <w:r>
              <w:rPr>
                <w:rFonts w:hint="eastAsia"/>
                <w:b w:val="0"/>
                <w:bCs/>
                <w:color w:val="auto"/>
                <w:sz w:val="24"/>
                <w:highlight w:val="none"/>
                <w:lang w:val="en-US" w:eastAsia="zh-CN"/>
              </w:rPr>
              <w:t>1类</w:t>
            </w:r>
            <w:r>
              <w:rPr>
                <w:rFonts w:hint="eastAsia"/>
                <w:b w:val="0"/>
                <w:bCs/>
                <w:color w:val="auto"/>
                <w:sz w:val="24"/>
                <w:highlight w:val="none"/>
                <w:lang w:eastAsia="zh-CN"/>
              </w:rPr>
              <w:t>标准限值。项目夜间不运行，仅空调外机噪声</w:t>
            </w:r>
            <w:r>
              <w:rPr>
                <w:rFonts w:hint="eastAsia"/>
                <w:b w:val="0"/>
                <w:bCs/>
                <w:color w:val="auto"/>
                <w:sz w:val="24"/>
                <w:highlight w:val="none"/>
                <w:lang w:val="en-US" w:eastAsia="zh-CN"/>
              </w:rPr>
              <w:t>和宠物</w:t>
            </w:r>
            <w:r>
              <w:rPr>
                <w:rFonts w:hint="default" w:ascii="Times New Roman" w:hAnsi="Times New Roman" w:cs="Times New Roman"/>
                <w:b w:val="0"/>
                <w:bCs/>
                <w:color w:val="auto"/>
                <w:kern w:val="0"/>
                <w:sz w:val="24"/>
                <w:szCs w:val="24"/>
                <w:vertAlign w:val="baseline"/>
                <w:lang w:eastAsia="zh-CN"/>
              </w:rPr>
              <w:t>偶发吼叫噪声</w:t>
            </w:r>
            <w:r>
              <w:rPr>
                <w:rFonts w:hint="eastAsia"/>
                <w:b w:val="0"/>
                <w:bCs/>
                <w:color w:val="auto"/>
                <w:sz w:val="24"/>
                <w:highlight w:val="none"/>
                <w:lang w:eastAsia="zh-CN"/>
              </w:rPr>
              <w:t>，项目建成后营运期影响较小。</w:t>
            </w:r>
          </w:p>
          <w:p w14:paraId="1AA0ECD1">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b/>
                <w:bCs w:val="0"/>
                <w:color w:val="auto"/>
                <w:sz w:val="24"/>
                <w:lang w:eastAsia="zh-CN"/>
              </w:rPr>
            </w:pPr>
            <w:r>
              <w:rPr>
                <w:rFonts w:hint="eastAsia"/>
                <w:b/>
                <w:bCs w:val="0"/>
                <w:color w:val="auto"/>
                <w:sz w:val="24"/>
                <w:lang w:eastAsia="zh-CN"/>
              </w:rPr>
              <w:t>4.2.3.4 防治措施</w:t>
            </w:r>
          </w:p>
          <w:p w14:paraId="6CD09B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eastAsia="zh-CN"/>
              </w:rPr>
            </w:pPr>
            <w:r>
              <w:rPr>
                <w:rFonts w:hint="eastAsia"/>
                <w:b w:val="0"/>
                <w:bCs/>
                <w:color w:val="auto"/>
                <w:sz w:val="24"/>
                <w:lang w:eastAsia="zh-CN"/>
              </w:rPr>
              <w:t>①空调选择低噪声设备，空调外机放置在物业统一规定的位置，基础减振等措施。</w:t>
            </w:r>
          </w:p>
          <w:p w14:paraId="4468C1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eastAsia" w:cs="Times New Roman"/>
                <w:b w:val="0"/>
                <w:bCs/>
                <w:color w:val="auto"/>
                <w:sz w:val="24"/>
                <w:highlight w:val="none"/>
                <w:lang w:val="en-US" w:eastAsia="zh-CN"/>
              </w:rPr>
              <w:t>②</w:t>
            </w:r>
            <w:r>
              <w:rPr>
                <w:rFonts w:hint="default" w:ascii="Times New Roman" w:hAnsi="Times New Roman" w:cs="Times New Roman"/>
                <w:b w:val="0"/>
                <w:bCs/>
                <w:color w:val="auto"/>
                <w:sz w:val="24"/>
                <w:highlight w:val="none"/>
                <w:lang w:eastAsia="zh-CN"/>
              </w:rPr>
              <w:t>诊疗设备选用低噪声设备，采取基础减振。</w:t>
            </w:r>
          </w:p>
          <w:p w14:paraId="40CFA0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eastAsia"/>
                <w:b w:val="0"/>
                <w:bCs/>
                <w:color w:val="auto"/>
                <w:sz w:val="24"/>
                <w:lang w:eastAsia="zh-CN"/>
              </w:rPr>
              <w:t>③</w:t>
            </w:r>
            <w:r>
              <w:rPr>
                <w:rFonts w:hint="default" w:ascii="Times New Roman" w:hAnsi="Times New Roman" w:cs="Times New Roman"/>
                <w:b w:val="0"/>
                <w:bCs/>
                <w:color w:val="auto"/>
                <w:sz w:val="24"/>
                <w:highlight w:val="none"/>
                <w:lang w:eastAsia="zh-CN"/>
              </w:rPr>
              <w:t>为了防止动物偶发噪声对周边环境保护目标造成影响，项目针对住院房间采取具体的降噪措施如下：</w:t>
            </w:r>
          </w:p>
          <w:p w14:paraId="07C5CF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A</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住院室</w:t>
            </w:r>
            <w:r>
              <w:rPr>
                <w:rFonts w:hint="default" w:ascii="Times New Roman" w:hAnsi="Times New Roman" w:cs="Times New Roman"/>
                <w:b w:val="0"/>
                <w:bCs/>
                <w:color w:val="auto"/>
                <w:sz w:val="24"/>
                <w:highlight w:val="none"/>
                <w:lang w:eastAsia="zh-CN"/>
              </w:rPr>
              <w:t>无门窗，仅设朝医院内部的门，墙体为一般砖混结构墙体厚度约30cm，具有一定的隔声效果。</w:t>
            </w:r>
          </w:p>
          <w:p w14:paraId="3CA441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eastAsia="zh-CN"/>
              </w:rPr>
            </w:pPr>
            <w:r>
              <w:rPr>
                <w:rFonts w:hint="default" w:ascii="Times New Roman" w:hAnsi="Times New Roman" w:cs="Times New Roman"/>
                <w:b w:val="0"/>
                <w:bCs/>
                <w:color w:val="auto"/>
                <w:sz w:val="24"/>
                <w:highlight w:val="none"/>
                <w:lang w:eastAsia="zh-CN"/>
              </w:rPr>
              <w:t>B</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住院</w:t>
            </w:r>
            <w:r>
              <w:rPr>
                <w:rFonts w:hint="default" w:ascii="Times New Roman" w:hAnsi="Times New Roman" w:cs="Times New Roman"/>
                <w:b w:val="0"/>
                <w:bCs/>
                <w:color w:val="auto"/>
                <w:sz w:val="24"/>
                <w:highlight w:val="none"/>
                <w:lang w:eastAsia="zh-CN"/>
              </w:rPr>
              <w:t>的宠物都必须佩戴嘴套，同时加强管理，避免其</w:t>
            </w:r>
            <w:r>
              <w:rPr>
                <w:rFonts w:hint="eastAsia" w:cs="Times New Roman"/>
                <w:b w:val="0"/>
                <w:bCs/>
                <w:color w:val="auto"/>
                <w:sz w:val="24"/>
                <w:highlight w:val="none"/>
                <w:lang w:eastAsia="zh-CN"/>
              </w:rPr>
              <w:t>处于</w:t>
            </w:r>
            <w:r>
              <w:rPr>
                <w:rFonts w:hint="default" w:ascii="Times New Roman" w:hAnsi="Times New Roman" w:cs="Times New Roman"/>
                <w:b w:val="0"/>
                <w:bCs/>
                <w:color w:val="auto"/>
                <w:sz w:val="24"/>
                <w:highlight w:val="none"/>
                <w:lang w:eastAsia="zh-CN"/>
              </w:rPr>
              <w:t>饥饿状态。项目采取以上措施后，</w:t>
            </w:r>
            <w:r>
              <w:rPr>
                <w:rFonts w:hint="eastAsia" w:cs="Times New Roman"/>
                <w:b w:val="0"/>
                <w:bCs/>
                <w:color w:val="auto"/>
                <w:sz w:val="24"/>
                <w:highlight w:val="none"/>
                <w:lang w:val="en-US" w:eastAsia="zh-CN"/>
              </w:rPr>
              <w:t>北</w:t>
            </w:r>
            <w:r>
              <w:rPr>
                <w:rFonts w:hint="eastAsia" w:cs="Times New Roman"/>
                <w:b w:val="0"/>
                <w:bCs/>
                <w:color w:val="auto"/>
                <w:sz w:val="24"/>
                <w:highlight w:val="none"/>
                <w:lang w:eastAsia="zh-CN"/>
              </w:rPr>
              <w:t>厂界、</w:t>
            </w:r>
            <w:r>
              <w:rPr>
                <w:rFonts w:hint="eastAsia" w:cs="Times New Roman"/>
                <w:b w:val="0"/>
                <w:bCs/>
                <w:color w:val="auto"/>
                <w:sz w:val="24"/>
                <w:highlight w:val="none"/>
                <w:lang w:val="en-US" w:eastAsia="zh-CN"/>
              </w:rPr>
              <w:t>南厂界</w:t>
            </w:r>
            <w:r>
              <w:rPr>
                <w:rFonts w:hint="default" w:ascii="Times New Roman" w:hAnsi="Times New Roman" w:cs="Times New Roman"/>
                <w:b w:val="0"/>
                <w:bCs/>
                <w:color w:val="auto"/>
                <w:sz w:val="24"/>
                <w:highlight w:val="none"/>
                <w:lang w:eastAsia="zh-CN"/>
              </w:rPr>
              <w:t>噪声可满足《工业企业厂界环境噪声排放标准》（GB</w:t>
            </w:r>
            <w:r>
              <w:rPr>
                <w:rFonts w:hint="eastAsia" w:cs="Times New Roman"/>
                <w:b w:val="0"/>
                <w:bCs/>
                <w:color w:val="auto"/>
                <w:sz w:val="24"/>
                <w:highlight w:val="none"/>
                <w:lang w:val="en-US" w:eastAsia="zh-CN"/>
              </w:rPr>
              <w:t xml:space="preserve"> </w:t>
            </w:r>
            <w:r>
              <w:rPr>
                <w:rFonts w:hint="default" w:ascii="Times New Roman" w:hAnsi="Times New Roman" w:cs="Times New Roman"/>
                <w:b w:val="0"/>
                <w:bCs/>
                <w:color w:val="auto"/>
                <w:sz w:val="24"/>
                <w:highlight w:val="none"/>
                <w:lang w:eastAsia="zh-CN"/>
              </w:rPr>
              <w:t>12348-2008）</w:t>
            </w:r>
            <w:r>
              <w:rPr>
                <w:rFonts w:hint="eastAsia" w:cs="Times New Roman"/>
                <w:b w:val="0"/>
                <w:bCs/>
                <w:color w:val="auto"/>
                <w:sz w:val="24"/>
                <w:highlight w:val="none"/>
                <w:lang w:val="en-US" w:eastAsia="zh-CN"/>
              </w:rPr>
              <w:t>1</w:t>
            </w:r>
            <w:r>
              <w:rPr>
                <w:rFonts w:hint="default" w:ascii="Times New Roman" w:hAnsi="Times New Roman" w:cs="Times New Roman"/>
                <w:b w:val="0"/>
                <w:bCs/>
                <w:color w:val="auto"/>
                <w:sz w:val="24"/>
                <w:highlight w:val="none"/>
                <w:lang w:eastAsia="zh-CN"/>
              </w:rPr>
              <w:t>类标准要求。</w:t>
            </w:r>
          </w:p>
          <w:p w14:paraId="0CFFFBFB">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b/>
                <w:bCs w:val="0"/>
                <w:color w:val="auto"/>
                <w:sz w:val="24"/>
                <w:lang w:eastAsia="zh-CN"/>
              </w:rPr>
            </w:pPr>
            <w:r>
              <w:rPr>
                <w:rFonts w:hint="eastAsia"/>
                <w:b/>
                <w:bCs w:val="0"/>
                <w:color w:val="auto"/>
                <w:sz w:val="24"/>
                <w:lang w:eastAsia="zh-CN"/>
              </w:rPr>
              <w:t>4.2.3.5 噪声监测计划</w:t>
            </w:r>
          </w:p>
          <w:p w14:paraId="710BF7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eastAsia="zh-CN"/>
              </w:rPr>
            </w:pPr>
            <w:r>
              <w:rPr>
                <w:rFonts w:hint="eastAsia"/>
                <w:b w:val="0"/>
                <w:bCs/>
                <w:color w:val="auto"/>
                <w:sz w:val="24"/>
                <w:lang w:eastAsia="zh-CN"/>
              </w:rPr>
              <w:t>根据《排污许可申请与核发技术规范 总则》（HJ942-2018）、《排污单位自行监测技术指南 总则》（HJ</w:t>
            </w:r>
            <w:r>
              <w:rPr>
                <w:rFonts w:hint="eastAsia"/>
                <w:b w:val="0"/>
                <w:bCs/>
                <w:color w:val="auto"/>
                <w:sz w:val="24"/>
                <w:lang w:val="en-US" w:eastAsia="zh-CN"/>
              </w:rPr>
              <w:t xml:space="preserve"> </w:t>
            </w:r>
            <w:r>
              <w:rPr>
                <w:rFonts w:hint="eastAsia"/>
                <w:b w:val="0"/>
                <w:bCs/>
                <w:color w:val="auto"/>
                <w:sz w:val="24"/>
                <w:lang w:eastAsia="zh-CN"/>
              </w:rPr>
              <w:t>819-2017）、《排污许可证申请与核发技术规范 工业噪声》（HJ1301-2023）等文件，项目噪声监测要求见下表。</w:t>
            </w:r>
          </w:p>
          <w:p w14:paraId="67EE776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 w:val="0"/>
                <w:bCs/>
                <w:color w:val="auto"/>
                <w:sz w:val="21"/>
                <w:szCs w:val="21"/>
                <w:vertAlign w:val="baseline"/>
                <w:lang w:eastAsia="zh-CN"/>
              </w:rPr>
            </w:pPr>
            <w:r>
              <w:rPr>
                <w:rFonts w:hint="default" w:ascii="Times New Roman" w:hAnsi="Times New Roman" w:cs="Times New Roman"/>
                <w:b w:val="0"/>
                <w:bCs/>
                <w:color w:val="auto"/>
                <w:sz w:val="21"/>
                <w:szCs w:val="21"/>
                <w:highlight w:val="none"/>
                <w:lang w:eastAsia="zh-CN"/>
              </w:rPr>
              <w:t>表4.2-</w:t>
            </w:r>
            <w:r>
              <w:rPr>
                <w:rFonts w:hint="eastAsia" w:cs="Times New Roman"/>
                <w:b w:val="0"/>
                <w:bCs/>
                <w:color w:val="auto"/>
                <w:sz w:val="21"/>
                <w:szCs w:val="21"/>
                <w:highlight w:val="none"/>
                <w:lang w:val="en-US" w:eastAsia="zh-CN"/>
              </w:rPr>
              <w:t xml:space="preserve">10 </w:t>
            </w:r>
            <w:r>
              <w:rPr>
                <w:rFonts w:hint="eastAsia"/>
                <w:b w:val="0"/>
                <w:bCs/>
                <w:color w:val="auto"/>
                <w:sz w:val="21"/>
                <w:szCs w:val="21"/>
                <w:lang w:eastAsia="zh-CN"/>
              </w:rPr>
              <w:t>噪声监测要求一览表</w:t>
            </w:r>
          </w:p>
          <w:tbl>
            <w:tblPr>
              <w:tblStyle w:val="22"/>
              <w:tblW w:w="8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4"/>
              <w:gridCol w:w="1398"/>
              <w:gridCol w:w="1123"/>
              <w:gridCol w:w="3507"/>
            </w:tblGrid>
            <w:tr w14:paraId="70E6B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94" w:type="dxa"/>
                  <w:tcBorders>
                    <w:tl2br w:val="nil"/>
                    <w:tr2bl w:val="nil"/>
                  </w:tcBorders>
                  <w:vAlign w:val="center"/>
                </w:tcPr>
                <w:p w14:paraId="29A40E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监测点位</w:t>
                  </w:r>
                </w:p>
              </w:tc>
              <w:tc>
                <w:tcPr>
                  <w:tcW w:w="1398" w:type="dxa"/>
                  <w:tcBorders>
                    <w:tl2br w:val="nil"/>
                    <w:tr2bl w:val="nil"/>
                  </w:tcBorders>
                  <w:vAlign w:val="center"/>
                </w:tcPr>
                <w:p w14:paraId="59D60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vertAlign w:val="baseline"/>
                      <w:lang w:eastAsia="zh-CN"/>
                    </w:rPr>
                  </w:pPr>
                  <w:r>
                    <w:rPr>
                      <w:rFonts w:hint="eastAsia"/>
                      <w:b w:val="0"/>
                      <w:bCs/>
                      <w:color w:val="auto"/>
                      <w:sz w:val="21"/>
                      <w:szCs w:val="21"/>
                      <w:vertAlign w:val="baseline"/>
                      <w:lang w:eastAsia="zh-CN"/>
                    </w:rPr>
                    <w:t>监测因子</w:t>
                  </w:r>
                </w:p>
              </w:tc>
              <w:tc>
                <w:tcPr>
                  <w:tcW w:w="1123" w:type="dxa"/>
                  <w:tcBorders>
                    <w:tl2br w:val="nil"/>
                    <w:tr2bl w:val="nil"/>
                  </w:tcBorders>
                  <w:vAlign w:val="center"/>
                </w:tcPr>
                <w:p w14:paraId="1AA79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监测频率</w:t>
                  </w:r>
                </w:p>
              </w:tc>
              <w:tc>
                <w:tcPr>
                  <w:tcW w:w="3507" w:type="dxa"/>
                  <w:tcBorders>
                    <w:tl2br w:val="nil"/>
                    <w:tr2bl w:val="nil"/>
                  </w:tcBorders>
                  <w:vAlign w:val="center"/>
                </w:tcPr>
                <w:p w14:paraId="238C7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执行标准</w:t>
                  </w:r>
                </w:p>
              </w:tc>
            </w:tr>
            <w:tr w14:paraId="5052F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94" w:type="dxa"/>
                  <w:tcBorders>
                    <w:tl2br w:val="nil"/>
                    <w:tr2bl w:val="nil"/>
                  </w:tcBorders>
                  <w:vAlign w:val="center"/>
                </w:tcPr>
                <w:p w14:paraId="09641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vertAlign w:val="baseline"/>
                      <w:lang w:eastAsia="zh-CN"/>
                    </w:rPr>
                  </w:pPr>
                  <w:r>
                    <w:rPr>
                      <w:rFonts w:hint="eastAsia"/>
                      <w:b w:val="0"/>
                      <w:bCs/>
                      <w:color w:val="auto"/>
                      <w:sz w:val="21"/>
                      <w:szCs w:val="21"/>
                      <w:vertAlign w:val="baseline"/>
                      <w:lang w:eastAsia="zh-CN"/>
                    </w:rPr>
                    <w:t>项目</w:t>
                  </w:r>
                  <w:r>
                    <w:rPr>
                      <w:rFonts w:hint="eastAsia"/>
                      <w:b w:val="0"/>
                      <w:bCs/>
                      <w:color w:val="auto"/>
                      <w:sz w:val="21"/>
                      <w:szCs w:val="21"/>
                      <w:vertAlign w:val="baseline"/>
                      <w:lang w:val="en-US" w:eastAsia="zh-CN"/>
                    </w:rPr>
                    <w:t>北</w:t>
                  </w:r>
                  <w:r>
                    <w:rPr>
                      <w:rFonts w:hint="eastAsia"/>
                      <w:b w:val="0"/>
                      <w:bCs/>
                      <w:color w:val="auto"/>
                      <w:sz w:val="21"/>
                      <w:szCs w:val="21"/>
                      <w:highlight w:val="none"/>
                      <w:lang w:val="en-US" w:eastAsia="zh-CN"/>
                    </w:rPr>
                    <w:t>厂界</w:t>
                  </w:r>
                  <w:r>
                    <w:rPr>
                      <w:rFonts w:hint="eastAsia"/>
                      <w:b w:val="0"/>
                      <w:bCs/>
                      <w:color w:val="auto"/>
                      <w:sz w:val="21"/>
                      <w:szCs w:val="21"/>
                      <w:vertAlign w:val="baseline"/>
                      <w:lang w:eastAsia="zh-CN"/>
                    </w:rPr>
                    <w:t>、</w:t>
                  </w:r>
                  <w:r>
                    <w:rPr>
                      <w:rFonts w:hint="eastAsia"/>
                      <w:b w:val="0"/>
                      <w:bCs/>
                      <w:color w:val="auto"/>
                      <w:sz w:val="21"/>
                      <w:szCs w:val="21"/>
                      <w:vertAlign w:val="baseline"/>
                      <w:lang w:val="en-US" w:eastAsia="zh-CN"/>
                    </w:rPr>
                    <w:t>南</w:t>
                  </w:r>
                  <w:r>
                    <w:rPr>
                      <w:rFonts w:hint="eastAsia"/>
                      <w:b w:val="0"/>
                      <w:bCs/>
                      <w:color w:val="auto"/>
                      <w:sz w:val="21"/>
                      <w:szCs w:val="21"/>
                      <w:highlight w:val="none"/>
                      <w:lang w:val="en-US" w:eastAsia="zh-CN"/>
                    </w:rPr>
                    <w:t>厂界</w:t>
                  </w:r>
                  <w:r>
                    <w:rPr>
                      <w:rFonts w:hint="eastAsia"/>
                      <w:b w:val="0"/>
                      <w:bCs/>
                      <w:color w:val="auto"/>
                      <w:sz w:val="21"/>
                      <w:szCs w:val="21"/>
                      <w:vertAlign w:val="baseline"/>
                      <w:lang w:eastAsia="zh-CN"/>
                    </w:rPr>
                    <w:t>外1m</w:t>
                  </w:r>
                </w:p>
              </w:tc>
              <w:tc>
                <w:tcPr>
                  <w:tcW w:w="1398" w:type="dxa"/>
                  <w:tcBorders>
                    <w:tl2br w:val="nil"/>
                    <w:tr2bl w:val="nil"/>
                  </w:tcBorders>
                  <w:vAlign w:val="center"/>
                </w:tcPr>
                <w:p w14:paraId="2B5CD8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昼、夜间等效声级</w:t>
                  </w:r>
                </w:p>
              </w:tc>
              <w:tc>
                <w:tcPr>
                  <w:tcW w:w="1123" w:type="dxa"/>
                  <w:tcBorders>
                    <w:tl2br w:val="nil"/>
                    <w:tr2bl w:val="nil"/>
                  </w:tcBorders>
                  <w:vAlign w:val="center"/>
                </w:tcPr>
                <w:p w14:paraId="67863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1次/季度</w:t>
                  </w:r>
                </w:p>
              </w:tc>
              <w:tc>
                <w:tcPr>
                  <w:tcW w:w="3507" w:type="dxa"/>
                  <w:tcBorders>
                    <w:tl2br w:val="nil"/>
                    <w:tr2bl w:val="nil"/>
                  </w:tcBorders>
                  <w:vAlign w:val="center"/>
                </w:tcPr>
                <w:p w14:paraId="063107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vertAlign w:val="baseline"/>
                      <w:lang w:eastAsia="zh-CN"/>
                    </w:rPr>
                  </w:pPr>
                  <w:r>
                    <w:rPr>
                      <w:rFonts w:hint="eastAsia"/>
                      <w:b w:val="0"/>
                      <w:bCs/>
                      <w:color w:val="auto"/>
                      <w:sz w:val="21"/>
                      <w:szCs w:val="21"/>
                      <w:vertAlign w:val="baseline"/>
                      <w:lang w:eastAsia="zh-CN"/>
                    </w:rPr>
                    <w:t>《工业企业厂界环境噪声排放标准》（GB12348-2008）</w:t>
                  </w:r>
                  <w:r>
                    <w:rPr>
                      <w:rFonts w:hint="eastAsia"/>
                      <w:b w:val="0"/>
                      <w:bCs/>
                      <w:color w:val="auto"/>
                      <w:sz w:val="21"/>
                      <w:szCs w:val="21"/>
                      <w:vertAlign w:val="baseline"/>
                      <w:lang w:val="en-US" w:eastAsia="zh-CN"/>
                    </w:rPr>
                    <w:t>1</w:t>
                  </w:r>
                  <w:r>
                    <w:rPr>
                      <w:rFonts w:hint="eastAsia"/>
                      <w:b w:val="0"/>
                      <w:bCs/>
                      <w:color w:val="auto"/>
                      <w:sz w:val="21"/>
                      <w:szCs w:val="21"/>
                      <w:vertAlign w:val="baseline"/>
                      <w:lang w:eastAsia="zh-CN"/>
                    </w:rPr>
                    <w:t xml:space="preserve"> 类标准</w:t>
                  </w:r>
                </w:p>
              </w:tc>
            </w:tr>
            <w:tr w14:paraId="57C5F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22" w:type="dxa"/>
                  <w:gridSpan w:val="4"/>
                  <w:tcBorders>
                    <w:tl2br w:val="nil"/>
                    <w:tr2bl w:val="nil"/>
                  </w:tcBorders>
                  <w:vAlign w:val="center"/>
                </w:tcPr>
                <w:p w14:paraId="08DC98E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b w:val="0"/>
                      <w:bCs/>
                      <w:color w:val="auto"/>
                      <w:sz w:val="21"/>
                      <w:szCs w:val="21"/>
                      <w:vertAlign w:val="baseline"/>
                      <w:lang w:eastAsia="zh-CN"/>
                    </w:rPr>
                  </w:pPr>
                  <w:r>
                    <w:rPr>
                      <w:rFonts w:hint="eastAsia"/>
                      <w:b w:val="0"/>
                      <w:bCs/>
                      <w:color w:val="auto"/>
                      <w:sz w:val="21"/>
                      <w:szCs w:val="21"/>
                      <w:vertAlign w:val="baseline"/>
                      <w:lang w:eastAsia="zh-CN"/>
                    </w:rPr>
                    <w:t>注：项目</w:t>
                  </w:r>
                  <w:r>
                    <w:rPr>
                      <w:rFonts w:hint="eastAsia"/>
                      <w:b w:val="0"/>
                      <w:bCs/>
                      <w:color w:val="auto"/>
                      <w:sz w:val="21"/>
                      <w:szCs w:val="21"/>
                      <w:vertAlign w:val="baseline"/>
                      <w:lang w:val="en-US" w:eastAsia="zh-CN"/>
                    </w:rPr>
                    <w:t>东、西</w:t>
                  </w:r>
                  <w:r>
                    <w:rPr>
                      <w:rFonts w:hint="eastAsia"/>
                      <w:b w:val="0"/>
                      <w:bCs/>
                      <w:color w:val="auto"/>
                      <w:sz w:val="21"/>
                      <w:szCs w:val="21"/>
                      <w:vertAlign w:val="baseline"/>
                      <w:lang w:eastAsia="zh-CN"/>
                    </w:rPr>
                    <w:t>侧</w:t>
                  </w:r>
                  <w:r>
                    <w:rPr>
                      <w:rFonts w:hint="eastAsia"/>
                      <w:b w:val="0"/>
                      <w:bCs/>
                      <w:color w:val="auto"/>
                      <w:sz w:val="21"/>
                      <w:szCs w:val="21"/>
                      <w:highlight w:val="none"/>
                      <w:lang w:val="en-US" w:eastAsia="zh-CN"/>
                    </w:rPr>
                    <w:t>厂界</w:t>
                  </w:r>
                  <w:r>
                    <w:rPr>
                      <w:rFonts w:hint="eastAsia"/>
                      <w:b w:val="0"/>
                      <w:bCs/>
                      <w:color w:val="auto"/>
                      <w:sz w:val="21"/>
                      <w:szCs w:val="21"/>
                      <w:vertAlign w:val="baseline"/>
                      <w:lang w:eastAsia="zh-CN"/>
                    </w:rPr>
                    <w:t>与隔壁商户共用隔墙，因此不进行监测。</w:t>
                  </w:r>
                </w:p>
              </w:tc>
            </w:tr>
          </w:tbl>
          <w:p w14:paraId="45ECC9D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b/>
                <w:bCs w:val="0"/>
                <w:color w:val="auto"/>
                <w:sz w:val="24"/>
                <w:lang w:eastAsia="zh-CN"/>
              </w:rPr>
            </w:pPr>
            <w:r>
              <w:rPr>
                <w:rFonts w:hint="eastAsia"/>
                <w:b/>
                <w:bCs w:val="0"/>
                <w:color w:val="auto"/>
                <w:sz w:val="24"/>
                <w:lang w:eastAsia="zh-CN"/>
              </w:rPr>
              <w:t>4.2.4 固废</w:t>
            </w:r>
          </w:p>
          <w:p w14:paraId="4AD0184D">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b/>
                <w:bCs w:val="0"/>
                <w:color w:val="auto"/>
                <w:sz w:val="24"/>
                <w:lang w:eastAsia="zh-CN"/>
              </w:rPr>
            </w:pPr>
            <w:r>
              <w:rPr>
                <w:rFonts w:hint="eastAsia"/>
                <w:b/>
                <w:bCs w:val="0"/>
                <w:color w:val="auto"/>
                <w:sz w:val="24"/>
                <w:lang w:eastAsia="zh-CN"/>
              </w:rPr>
              <w:t>4.2.4.1 固体废物排放信息</w:t>
            </w:r>
          </w:p>
          <w:p w14:paraId="444E0A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eastAsia="zh-CN"/>
              </w:rPr>
            </w:pPr>
            <w:r>
              <w:rPr>
                <w:rFonts w:hint="eastAsia"/>
                <w:b w:val="0"/>
                <w:bCs/>
                <w:color w:val="auto"/>
                <w:sz w:val="24"/>
                <w:lang w:eastAsia="zh-CN"/>
              </w:rPr>
              <w:t>项目营运期固体废物主要包括一般固体废物（动物粪污、动物尸体、</w:t>
            </w:r>
            <w:r>
              <w:rPr>
                <w:rFonts w:hint="eastAsia"/>
                <w:b w:val="0"/>
                <w:bCs/>
                <w:color w:val="auto"/>
                <w:sz w:val="24"/>
                <w:lang w:val="en-US" w:eastAsia="zh-CN"/>
              </w:rPr>
              <w:t>动物毛发、</w:t>
            </w:r>
            <w:r>
              <w:rPr>
                <w:rFonts w:hint="eastAsia" w:cs="Times New Roman"/>
                <w:b w:val="0"/>
                <w:bCs/>
                <w:color w:val="auto"/>
                <w:sz w:val="24"/>
                <w:highlight w:val="none"/>
                <w:lang w:val="en-US" w:eastAsia="zh-CN"/>
              </w:rPr>
              <w:t>废包装材料</w:t>
            </w:r>
            <w:r>
              <w:rPr>
                <w:rFonts w:hint="eastAsia"/>
                <w:b w:val="0"/>
                <w:bCs/>
                <w:color w:val="auto"/>
                <w:sz w:val="24"/>
                <w:lang w:eastAsia="zh-CN"/>
              </w:rPr>
              <w:t>）、危险废物（医疗废物、废紫外灯管）、生活垃圾等；其中医疗废物主要包括感染性废物、损伤性废物、化学性废物、药物性废物、病理性药物等。</w:t>
            </w:r>
          </w:p>
          <w:p w14:paraId="7389ED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eastAsia="zh-CN"/>
              </w:rPr>
            </w:pPr>
            <w:r>
              <w:rPr>
                <w:rFonts w:hint="eastAsia"/>
                <w:b w:val="0"/>
                <w:bCs/>
                <w:color w:val="auto"/>
                <w:sz w:val="24"/>
                <w:lang w:eastAsia="zh-CN"/>
              </w:rPr>
              <w:t>（</w:t>
            </w:r>
            <w:r>
              <w:rPr>
                <w:rFonts w:hint="eastAsia"/>
                <w:b w:val="0"/>
                <w:bCs/>
                <w:color w:val="auto"/>
                <w:sz w:val="24"/>
                <w:lang w:val="en-US" w:eastAsia="zh-CN"/>
              </w:rPr>
              <w:t>1</w:t>
            </w:r>
            <w:r>
              <w:rPr>
                <w:rFonts w:hint="eastAsia"/>
                <w:b w:val="0"/>
                <w:bCs/>
                <w:color w:val="auto"/>
                <w:sz w:val="24"/>
                <w:lang w:eastAsia="zh-CN"/>
              </w:rPr>
              <w:t>）一般固体废物</w:t>
            </w:r>
          </w:p>
          <w:p w14:paraId="103145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eastAsia="zh-CN"/>
              </w:rPr>
              <w:t>①</w:t>
            </w:r>
            <w:r>
              <w:rPr>
                <w:rFonts w:hint="eastAsia"/>
                <w:b w:val="0"/>
                <w:bCs/>
                <w:color w:val="auto"/>
                <w:sz w:val="24"/>
                <w:lang w:val="en-US" w:eastAsia="zh-CN"/>
              </w:rPr>
              <w:t>动物粪污</w:t>
            </w:r>
          </w:p>
          <w:p w14:paraId="57BA00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color w:val="auto"/>
                <w:sz w:val="24"/>
                <w:lang w:val="en-US" w:eastAsia="zh-CN"/>
              </w:rPr>
            </w:pPr>
            <w:r>
              <w:rPr>
                <w:rFonts w:hint="default" w:ascii="Times New Roman" w:hAnsi="Times New Roman" w:cs="Times New Roman"/>
                <w:b w:val="0"/>
                <w:bCs/>
                <w:color w:val="auto"/>
                <w:sz w:val="24"/>
                <w:highlight w:val="none"/>
                <w:lang w:eastAsia="zh-CN"/>
              </w:rPr>
              <w:t>项目猫住院及诊疗期间产生的粪便与尿液均可使用猫砂盒进行收集，工作人员日常及时清理猫砂盒，清理出的猫砂采用</w:t>
            </w:r>
            <w:r>
              <w:rPr>
                <w:rFonts w:hint="eastAsia" w:cs="Times New Roman"/>
                <w:b w:val="0"/>
                <w:bCs/>
                <w:color w:val="auto"/>
                <w:sz w:val="24"/>
                <w:highlight w:val="none"/>
                <w:lang w:eastAsia="zh-CN"/>
              </w:rPr>
              <w:t>消毒液</w:t>
            </w:r>
            <w:r>
              <w:rPr>
                <w:rFonts w:hint="default" w:ascii="Times New Roman" w:hAnsi="Times New Roman" w:cs="Times New Roman"/>
                <w:b w:val="0"/>
                <w:bCs/>
                <w:color w:val="auto"/>
                <w:sz w:val="24"/>
                <w:highlight w:val="none"/>
                <w:lang w:eastAsia="zh-CN"/>
              </w:rPr>
              <w:t>消毒后收集起来，交市政环卫部门进行收集处置。含粪便与尿液的猫砂产生量按照0.</w:t>
            </w:r>
            <w:r>
              <w:rPr>
                <w:rFonts w:hint="eastAsia" w:cs="Times New Roman"/>
                <w:b w:val="0"/>
                <w:bCs/>
                <w:color w:val="auto"/>
                <w:sz w:val="24"/>
                <w:highlight w:val="none"/>
                <w:lang w:val="en-US" w:eastAsia="zh-CN"/>
              </w:rPr>
              <w:t>8</w:t>
            </w:r>
            <w:r>
              <w:rPr>
                <w:rFonts w:hint="default" w:ascii="Times New Roman" w:hAnsi="Times New Roman" w:cs="Times New Roman"/>
                <w:b w:val="0"/>
                <w:bCs/>
                <w:color w:val="auto"/>
                <w:sz w:val="24"/>
                <w:highlight w:val="none"/>
                <w:lang w:eastAsia="zh-CN"/>
              </w:rPr>
              <w:t>kg/</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只·d</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进行计算，项目宠物猫数量按照最大宠物笼进行核算，则</w:t>
            </w:r>
            <w:r>
              <w:rPr>
                <w:rFonts w:hint="eastAsia" w:cs="Times New Roman"/>
                <w:b w:val="0"/>
                <w:bCs/>
                <w:color w:val="auto"/>
                <w:sz w:val="24"/>
                <w:highlight w:val="none"/>
                <w:lang w:val="en-US" w:eastAsia="zh-CN"/>
              </w:rPr>
              <w:t>院内</w:t>
            </w:r>
            <w:r>
              <w:rPr>
                <w:rFonts w:hint="default" w:ascii="Times New Roman" w:hAnsi="Times New Roman" w:cs="Times New Roman"/>
                <w:b w:val="0"/>
                <w:bCs/>
                <w:color w:val="auto"/>
                <w:sz w:val="24"/>
                <w:highlight w:val="none"/>
                <w:lang w:eastAsia="zh-CN"/>
              </w:rPr>
              <w:t>每天最大宠物猫数量约</w:t>
            </w:r>
            <w:r>
              <w:rPr>
                <w:rFonts w:hint="eastAsia" w:cs="Times New Roman"/>
                <w:b w:val="0"/>
                <w:bCs/>
                <w:color w:val="auto"/>
                <w:sz w:val="24"/>
                <w:highlight w:val="none"/>
                <w:lang w:val="en-US" w:eastAsia="zh-CN"/>
              </w:rPr>
              <w:t>6</w:t>
            </w:r>
            <w:r>
              <w:rPr>
                <w:rFonts w:hint="default" w:ascii="Times New Roman" w:hAnsi="Times New Roman" w:cs="Times New Roman"/>
                <w:b w:val="0"/>
                <w:bCs/>
                <w:color w:val="auto"/>
                <w:sz w:val="24"/>
                <w:highlight w:val="none"/>
                <w:lang w:eastAsia="zh-CN"/>
              </w:rPr>
              <w:t>只，则含粪便与尿液的猫砂产生量约为</w:t>
            </w:r>
            <w:r>
              <w:rPr>
                <w:rFonts w:hint="eastAsia" w:cs="Times New Roman"/>
                <w:b w:val="0"/>
                <w:bCs/>
                <w:color w:val="auto"/>
                <w:sz w:val="24"/>
                <w:highlight w:val="none"/>
                <w:lang w:val="en-US" w:eastAsia="zh-CN"/>
              </w:rPr>
              <w:t>4.8kg/d（1.752</w:t>
            </w:r>
            <w:r>
              <w:rPr>
                <w:rFonts w:hint="default" w:ascii="Times New Roman" w:hAnsi="Times New Roman" w:cs="Times New Roman"/>
                <w:b w:val="0"/>
                <w:bCs/>
                <w:color w:val="auto"/>
                <w:sz w:val="24"/>
                <w:highlight w:val="none"/>
                <w:lang w:eastAsia="zh-CN"/>
              </w:rPr>
              <w:t>t/a</w:t>
            </w:r>
            <w:r>
              <w:rPr>
                <w:rFonts w:hint="eastAsia" w:cs="Times New Roman"/>
                <w:b w:val="0"/>
                <w:bCs/>
                <w:color w:val="auto"/>
                <w:sz w:val="24"/>
                <w:highlight w:val="none"/>
                <w:lang w:val="en-US" w:eastAsia="zh-CN"/>
              </w:rPr>
              <w:t>）</w:t>
            </w:r>
            <w:r>
              <w:rPr>
                <w:rFonts w:hint="eastAsia" w:cs="Times New Roman"/>
                <w:b w:val="0"/>
                <w:bCs/>
                <w:color w:val="auto"/>
                <w:sz w:val="24"/>
                <w:highlight w:val="none"/>
                <w:lang w:eastAsia="zh-CN"/>
              </w:rPr>
              <w:t>；</w:t>
            </w:r>
            <w:r>
              <w:rPr>
                <w:rFonts w:hint="eastAsia"/>
                <w:b w:val="0"/>
                <w:bCs/>
                <w:color w:val="auto"/>
                <w:sz w:val="24"/>
                <w:lang w:val="en-US" w:eastAsia="zh-CN"/>
              </w:rPr>
              <w:t>犬</w:t>
            </w:r>
            <w:r>
              <w:rPr>
                <w:rFonts w:hint="default" w:ascii="Times New Roman" w:hAnsi="Times New Roman" w:cs="Times New Roman"/>
                <w:b w:val="0"/>
                <w:bCs/>
                <w:color w:val="auto"/>
                <w:sz w:val="24"/>
                <w:highlight w:val="none"/>
                <w:lang w:eastAsia="zh-CN"/>
              </w:rPr>
              <w:t>住院及诊疗期间</w:t>
            </w:r>
            <w:r>
              <w:rPr>
                <w:rFonts w:hint="eastAsia"/>
                <w:b w:val="0"/>
                <w:bCs/>
                <w:color w:val="auto"/>
                <w:sz w:val="24"/>
                <w:lang w:val="en-US" w:eastAsia="zh-CN"/>
              </w:rPr>
              <w:t>排污采取干湿分离，尿液经宠物笼下方托盘收集后到手术室水槽进行清洗，经1#消毒设施预处理后直接进入金科阳光小镇6期生化池，粪便喷洒消毒剂后紧袋收集，定期交由当地环卫部门进行处理，犬粪便按照0.05kg/（只·d）计，本项目每日犬最大住院量按8只计，则犬粪污产生量约0.4kg/d（0.146t/a）。因此，本项目动物粪污产生量约5.2kg/d（1.898t/a）。</w:t>
            </w:r>
          </w:p>
          <w:p w14:paraId="7D2C23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val="en-US" w:eastAsia="zh-CN"/>
              </w:rPr>
              <w:t>②动物尸体</w:t>
            </w:r>
          </w:p>
          <w:p w14:paraId="0C3947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eastAsia="zh-CN"/>
              </w:rPr>
            </w:pPr>
            <w:r>
              <w:rPr>
                <w:rFonts w:hint="eastAsia"/>
                <w:b w:val="0"/>
                <w:bCs/>
                <w:color w:val="auto"/>
                <w:sz w:val="24"/>
                <w:lang w:val="en-US" w:eastAsia="zh-CN"/>
              </w:rPr>
              <w:t>本</w:t>
            </w:r>
            <w:r>
              <w:rPr>
                <w:rFonts w:hint="eastAsia"/>
                <w:b w:val="0"/>
                <w:bCs/>
                <w:color w:val="auto"/>
                <w:sz w:val="24"/>
                <w:lang w:eastAsia="zh-CN"/>
              </w:rPr>
              <w:t>项目日常工作主要是诊断治疗动物普通病和突发病，若遇动物安乐死或者不治身亡现象，产生的动物尸体不得随意处置，</w:t>
            </w:r>
            <w:r>
              <w:rPr>
                <w:rFonts w:hint="eastAsia"/>
                <w:b w:val="0"/>
                <w:bCs/>
                <w:color w:val="auto"/>
                <w:sz w:val="24"/>
                <w:lang w:val="en-US" w:eastAsia="zh-CN"/>
              </w:rPr>
              <w:t>根据《关于病害动物无害化处理有关意见的复函》（环办函〔2014〕789号）“三、我部认为病害动物无害化处理项目由农业部门按照有关法律法规和技术规范进行监管，可以实现病害动物无害化处理和环境污染防控的目的，不宜再认定为危险废物集中处置项目”。</w:t>
            </w:r>
          </w:p>
          <w:p w14:paraId="4F0366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eastAsia="zh-CN"/>
              </w:rPr>
              <w:t>按照《中华人民共和国动物防疫法》规定，对于病死动物尸体应当按照兽医主管部门的规定进行无害化处理，《病死及病害动物无害化处理技术规范》（农医发〔2017〕25号）明确了病死及病害动物无害化处理的技术要求。根据《重庆市动物防疫条例》第一章第二十三条和第二十五条，“从事动物饲养、屠宰、经营、隔离、运输的单位和个人应当对病死或者死因不明的动物尸体进行无害化处理”。</w:t>
            </w:r>
            <w:r>
              <w:rPr>
                <w:rFonts w:hint="eastAsia"/>
                <w:b w:val="0"/>
                <w:bCs/>
                <w:color w:val="auto"/>
                <w:sz w:val="24"/>
                <w:lang w:val="en-US" w:eastAsia="zh-CN"/>
              </w:rPr>
              <w:t>针对动物尸体的无害化处理，卫健委主要是依托动物诊疗机构为前沿阵地开展宣传：宠物主人可以按照农业农村部印发的《病死及病害无害化处理技术规范》的通知（农医发201725号）文件要求对动物尸体自行处理，动物尸体不在医院暂存，一旦产生动物尸体，动物主人自行委托有资质单位进行无害化处理。</w:t>
            </w:r>
          </w:p>
          <w:p w14:paraId="6039A7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eastAsia" w:ascii="Times New Roman" w:hAnsi="Times New Roman" w:cs="Times New Roman"/>
                <w:b w:val="0"/>
                <w:bCs/>
                <w:color w:val="auto"/>
                <w:sz w:val="24"/>
                <w:highlight w:val="none"/>
                <w:lang w:val="en-US" w:eastAsia="zh-CN"/>
              </w:rPr>
              <w:t xml:space="preserve">③动物毛发 </w:t>
            </w:r>
          </w:p>
          <w:p w14:paraId="48664E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本项目动物毛发</w:t>
            </w:r>
            <w:r>
              <w:rPr>
                <w:rFonts w:hint="eastAsia" w:cs="Times New Roman"/>
                <w:b w:val="0"/>
                <w:bCs/>
                <w:color w:val="auto"/>
                <w:sz w:val="24"/>
                <w:highlight w:val="none"/>
                <w:lang w:val="en-US" w:eastAsia="zh-CN"/>
              </w:rPr>
              <w:t>主要</w:t>
            </w:r>
            <w:r>
              <w:rPr>
                <w:rFonts w:hint="eastAsia" w:ascii="Times New Roman" w:hAnsi="Times New Roman" w:cs="Times New Roman"/>
                <w:b w:val="0"/>
                <w:bCs/>
                <w:color w:val="auto"/>
                <w:sz w:val="24"/>
                <w:highlight w:val="none"/>
                <w:lang w:val="en-US" w:eastAsia="zh-CN"/>
              </w:rPr>
              <w:t>来源于美容洗浴环节，包含动物修剪废物，根据建设单位提供资料及类比同类型宠物医院，动物毛发产生量按</w:t>
            </w:r>
            <w:r>
              <w:rPr>
                <w:rFonts w:hint="default" w:ascii="Times New Roman" w:hAnsi="Times New Roman" w:cs="Times New Roman"/>
                <w:b w:val="0"/>
                <w:bCs/>
                <w:color w:val="auto"/>
                <w:sz w:val="24"/>
                <w:highlight w:val="none"/>
                <w:lang w:val="en-US" w:eastAsia="zh-CN"/>
              </w:rPr>
              <w:t>0.1kg/</w:t>
            </w:r>
            <w:r>
              <w:rPr>
                <w:rFonts w:hint="eastAsia" w:ascii="Times New Roman" w:hAnsi="Times New Roman" w:cs="Times New Roman"/>
                <w:b w:val="0"/>
                <w:bCs/>
                <w:color w:val="auto"/>
                <w:sz w:val="24"/>
                <w:highlight w:val="none"/>
                <w:lang w:val="en-US" w:eastAsia="zh-CN"/>
              </w:rPr>
              <w:t>只</w:t>
            </w:r>
            <w:r>
              <w:rPr>
                <w:rFonts w:hint="default" w:ascii="Times New Roman" w:hAnsi="Times New Roman" w:cs="Times New Roman"/>
                <w:b w:val="0"/>
                <w:bCs/>
                <w:color w:val="auto"/>
                <w:sz w:val="24"/>
                <w:highlight w:val="none"/>
                <w:lang w:val="en-US" w:eastAsia="zh-CN"/>
              </w:rPr>
              <w:t>d</w:t>
            </w:r>
            <w:r>
              <w:rPr>
                <w:rFonts w:hint="eastAsia" w:ascii="Times New Roman" w:hAnsi="Times New Roman" w:cs="Times New Roman"/>
                <w:b w:val="0"/>
                <w:bCs/>
                <w:color w:val="auto"/>
                <w:sz w:val="24"/>
                <w:highlight w:val="none"/>
                <w:lang w:val="en-US" w:eastAsia="zh-CN"/>
              </w:rPr>
              <w:t>计，项目每天最大服务量约</w:t>
            </w:r>
            <w:r>
              <w:rPr>
                <w:rFonts w:hint="eastAsia" w:cs="Times New Roman"/>
                <w:b w:val="0"/>
                <w:bCs/>
                <w:color w:val="auto"/>
                <w:sz w:val="24"/>
                <w:highlight w:val="none"/>
                <w:lang w:val="en-US" w:eastAsia="zh-CN"/>
              </w:rPr>
              <w:t>10</w:t>
            </w:r>
            <w:r>
              <w:rPr>
                <w:rFonts w:hint="eastAsia" w:ascii="Times New Roman" w:hAnsi="Times New Roman" w:cs="Times New Roman"/>
                <w:b w:val="0"/>
                <w:bCs/>
                <w:color w:val="auto"/>
                <w:sz w:val="24"/>
                <w:highlight w:val="none"/>
                <w:lang w:val="en-US" w:eastAsia="zh-CN"/>
              </w:rPr>
              <w:t>只，则动物毛发产生量约为1kg/d（</w:t>
            </w:r>
            <w:r>
              <w:rPr>
                <w:rFonts w:hint="eastAsia" w:cs="Times New Roman"/>
                <w:b w:val="0"/>
                <w:bCs/>
                <w:color w:val="auto"/>
                <w:sz w:val="24"/>
                <w:highlight w:val="none"/>
                <w:lang w:val="en-US" w:eastAsia="zh-CN"/>
              </w:rPr>
              <w:t>0.365</w:t>
            </w:r>
            <w:r>
              <w:rPr>
                <w:rFonts w:hint="default" w:ascii="Times New Roman" w:hAnsi="Times New Roman" w:cs="Times New Roman"/>
                <w:b w:val="0"/>
                <w:bCs/>
                <w:color w:val="auto"/>
                <w:sz w:val="24"/>
                <w:highlight w:val="none"/>
                <w:lang w:val="en-US" w:eastAsia="zh-CN"/>
              </w:rPr>
              <w:t>t/a</w:t>
            </w:r>
            <w:r>
              <w:rPr>
                <w:rFonts w:hint="eastAsia" w:ascii="Times New Roman" w:hAnsi="Times New Roman" w:cs="Times New Roman"/>
                <w:b w:val="0"/>
                <w:bCs/>
                <w:color w:val="auto"/>
                <w:sz w:val="24"/>
                <w:highlight w:val="none"/>
                <w:lang w:val="en-US" w:eastAsia="zh-CN"/>
              </w:rPr>
              <w:t>），交环卫部门进行处理</w:t>
            </w:r>
            <w:r>
              <w:rPr>
                <w:rFonts w:hint="eastAsia" w:cs="Times New Roman"/>
                <w:b w:val="0"/>
                <w:bCs/>
                <w:color w:val="auto"/>
                <w:sz w:val="24"/>
                <w:highlight w:val="none"/>
                <w:lang w:val="en-US" w:eastAsia="zh-CN"/>
              </w:rPr>
              <w:t>。</w:t>
            </w:r>
          </w:p>
          <w:p w14:paraId="03F11F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color w:val="auto"/>
                <w:sz w:val="24"/>
                <w:lang w:val="en-US" w:eastAsia="zh-CN"/>
              </w:rPr>
            </w:pPr>
            <w:r>
              <w:rPr>
                <w:rFonts w:hint="eastAsia"/>
                <w:b w:val="0"/>
                <w:bCs/>
                <w:color w:val="auto"/>
                <w:sz w:val="24"/>
                <w:lang w:val="en-US" w:eastAsia="zh-CN"/>
              </w:rPr>
              <w:t>④废包装材料</w:t>
            </w:r>
          </w:p>
          <w:p w14:paraId="49A491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eastAsia="zh-CN"/>
              </w:rPr>
            </w:pPr>
            <w:r>
              <w:rPr>
                <w:rFonts w:hint="eastAsia"/>
                <w:b w:val="0"/>
                <w:bCs/>
                <w:color w:val="auto"/>
                <w:sz w:val="24"/>
                <w:lang w:val="en-US" w:eastAsia="zh-CN"/>
              </w:rPr>
              <w:t>本项目各类药品、试剂盒脱袋过程中会产生少量的废包装材料，主要为塑料袋和纸箱等，</w:t>
            </w:r>
            <w:r>
              <w:rPr>
                <w:rFonts w:hint="eastAsia"/>
                <w:b w:val="0"/>
                <w:bCs/>
                <w:color w:val="auto"/>
                <w:sz w:val="24"/>
                <w:lang w:eastAsia="zh-CN"/>
              </w:rPr>
              <w:t>废包装材料产生量约为</w:t>
            </w:r>
            <w:r>
              <w:rPr>
                <w:rFonts w:hint="eastAsia"/>
                <w:b w:val="0"/>
                <w:bCs/>
                <w:color w:val="auto"/>
                <w:sz w:val="24"/>
                <w:lang w:val="en-US" w:eastAsia="zh-CN"/>
              </w:rPr>
              <w:t>0.15</w:t>
            </w:r>
            <w:r>
              <w:rPr>
                <w:rFonts w:hint="eastAsia"/>
                <w:b w:val="0"/>
                <w:bCs/>
                <w:color w:val="auto"/>
                <w:sz w:val="24"/>
                <w:lang w:eastAsia="zh-CN"/>
              </w:rPr>
              <w:t>t/a，经收集后暂存于</w:t>
            </w:r>
            <w:r>
              <w:rPr>
                <w:rFonts w:hint="eastAsia"/>
                <w:b w:val="0"/>
                <w:bCs/>
                <w:color w:val="auto"/>
                <w:sz w:val="24"/>
                <w:lang w:val="en-US" w:eastAsia="zh-CN"/>
              </w:rPr>
              <w:t>收集箱</w:t>
            </w:r>
            <w:r>
              <w:rPr>
                <w:rFonts w:hint="eastAsia"/>
                <w:b w:val="0"/>
                <w:bCs/>
                <w:color w:val="auto"/>
                <w:sz w:val="24"/>
                <w:lang w:eastAsia="zh-CN"/>
              </w:rPr>
              <w:t>，定期外售给物资回收单位。</w:t>
            </w:r>
          </w:p>
          <w:p w14:paraId="420572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val="en-US" w:eastAsia="zh-CN"/>
              </w:rPr>
              <w:t>2</w:t>
            </w:r>
            <w:r>
              <w:rPr>
                <w:rFonts w:hint="default" w:ascii="Times New Roman" w:hAnsi="Times New Roman" w:cs="Times New Roman"/>
                <w:b w:val="0"/>
                <w:bCs/>
                <w:color w:val="auto"/>
                <w:sz w:val="24"/>
                <w:highlight w:val="none"/>
                <w:lang w:eastAsia="zh-CN"/>
              </w:rPr>
              <w:t>）危险废物</w:t>
            </w:r>
          </w:p>
          <w:p w14:paraId="1EF7A2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①废紫外线灯管</w:t>
            </w:r>
          </w:p>
          <w:p w14:paraId="2AA59F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项目病房等消毒采用紫外线消毒，将会产生少量废紫外线灯管，产生量约为0.0</w:t>
            </w:r>
            <w:r>
              <w:rPr>
                <w:rFonts w:hint="eastAsia" w:cs="Times New Roman"/>
                <w:b w:val="0"/>
                <w:bCs/>
                <w:color w:val="auto"/>
                <w:sz w:val="24"/>
                <w:highlight w:val="none"/>
                <w:lang w:val="en-US" w:eastAsia="zh-CN"/>
              </w:rPr>
              <w:t>15</w:t>
            </w:r>
            <w:r>
              <w:rPr>
                <w:rFonts w:hint="default" w:ascii="Times New Roman" w:hAnsi="Times New Roman" w:eastAsia="宋体" w:cs="Times New Roman"/>
                <w:b w:val="0"/>
                <w:bCs/>
                <w:color w:val="auto"/>
                <w:sz w:val="24"/>
                <w:highlight w:val="none"/>
                <w:lang w:val="en-US" w:eastAsia="zh-CN"/>
              </w:rPr>
              <w:t>t/a。废紫外灯管经收集后暂存于</w:t>
            </w:r>
            <w:r>
              <w:rPr>
                <w:rFonts w:hint="eastAsia" w:cs="Times New Roman"/>
                <w:b w:val="0"/>
                <w:bCs/>
                <w:color w:val="auto"/>
                <w:sz w:val="24"/>
                <w:highlight w:val="none"/>
                <w:lang w:val="en-US" w:eastAsia="zh-CN"/>
              </w:rPr>
              <w:t>医疗废物贮存点</w:t>
            </w:r>
            <w:r>
              <w:rPr>
                <w:rFonts w:hint="default" w:ascii="Times New Roman" w:hAnsi="Times New Roman" w:eastAsia="宋体" w:cs="Times New Roman"/>
                <w:b w:val="0"/>
                <w:bCs/>
                <w:color w:val="auto"/>
                <w:sz w:val="24"/>
                <w:highlight w:val="none"/>
                <w:lang w:val="en-US" w:eastAsia="zh-CN"/>
              </w:rPr>
              <w:t>，交有资质单位处置。</w:t>
            </w:r>
          </w:p>
          <w:p w14:paraId="4DEDEC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②</w:t>
            </w:r>
            <w:r>
              <w:rPr>
                <w:rFonts w:hint="default" w:ascii="Times New Roman" w:hAnsi="Times New Roman" w:eastAsia="宋体" w:cs="Times New Roman"/>
                <w:b w:val="0"/>
                <w:bCs/>
                <w:color w:val="auto"/>
                <w:sz w:val="24"/>
                <w:highlight w:val="none"/>
                <w:lang w:val="en-US" w:eastAsia="zh-CN"/>
              </w:rPr>
              <w:t>医疗废物</w:t>
            </w:r>
          </w:p>
          <w:p w14:paraId="6B7AEC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诊疗活动产生的医疗废物来源广泛、成分复杂。项目医疗废物主要有感染性废物、损伤性废物、病理性废物、化学性</w:t>
            </w:r>
            <w:r>
              <w:rPr>
                <w:rFonts w:hint="eastAsia" w:cs="Times New Roman"/>
                <w:b w:val="0"/>
                <w:bCs/>
                <w:color w:val="auto"/>
                <w:sz w:val="24"/>
                <w:highlight w:val="none"/>
                <w:lang w:val="en-US" w:eastAsia="zh-CN"/>
              </w:rPr>
              <w:t>废物、药理性废物</w:t>
            </w:r>
            <w:r>
              <w:rPr>
                <w:rFonts w:hint="default" w:ascii="Times New Roman" w:hAnsi="Times New Roman" w:eastAsia="宋体" w:cs="Times New Roman"/>
                <w:b w:val="0"/>
                <w:bCs/>
                <w:color w:val="auto"/>
                <w:sz w:val="24"/>
                <w:highlight w:val="none"/>
                <w:lang w:val="en-US" w:eastAsia="zh-CN"/>
              </w:rPr>
              <w:t>。</w:t>
            </w:r>
          </w:p>
          <w:p w14:paraId="1518E6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感染性废物主要包括被患病宠物血液、体液、排泄物等污染的除锐器以外的废物，使用后废弃的一次性注射器、输液器，化验室产生的废弃血液、血清、分泌物等标本和容器以及隔离病房隔离的传染病宠物或疑似传染病宠物产生的废弃物。感染性废物收集于符合《医疗废物包装袋、容器和警示标志标准》（HJ</w:t>
            </w:r>
            <w:r>
              <w:rPr>
                <w:rFonts w:hint="eastAsia" w:cs="Times New Roman"/>
                <w:b w:val="0"/>
                <w:bCs/>
                <w:color w:val="auto"/>
                <w:sz w:val="24"/>
                <w:highlight w:val="none"/>
                <w:lang w:val="en-US" w:eastAsia="zh-CN"/>
              </w:rPr>
              <w:t xml:space="preserve"> </w:t>
            </w:r>
            <w:r>
              <w:rPr>
                <w:rFonts w:hint="default" w:ascii="Times New Roman" w:hAnsi="Times New Roman" w:cs="Times New Roman"/>
                <w:b w:val="0"/>
                <w:bCs/>
                <w:color w:val="auto"/>
                <w:sz w:val="24"/>
                <w:highlight w:val="none"/>
                <w:lang w:eastAsia="zh-CN"/>
              </w:rPr>
              <w:t>421-2008）医疗废物包装袋中，隔离的传染病宠物或疑似传染病宠物产生的医疗废物应当使用双层医疗废物包装袋盛装。</w:t>
            </w:r>
          </w:p>
          <w:p w14:paraId="1C896B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损伤性废物主要废弃的针头、缝合针、探针、穿刺针、解剖刀、手术刀等废弃的金属类锐器以及废弃的载玻片等玻璃类锐器。损伤性废物收集于符合《医疗废物包装袋、容器和警示标志标准》（HJ</w:t>
            </w:r>
            <w:r>
              <w:rPr>
                <w:rFonts w:hint="eastAsia" w:cs="Times New Roman"/>
                <w:b w:val="0"/>
                <w:bCs/>
                <w:color w:val="auto"/>
                <w:sz w:val="24"/>
                <w:highlight w:val="none"/>
                <w:lang w:val="en-US" w:eastAsia="zh-CN"/>
              </w:rPr>
              <w:t xml:space="preserve"> </w:t>
            </w:r>
            <w:r>
              <w:rPr>
                <w:rFonts w:hint="default" w:ascii="Times New Roman" w:hAnsi="Times New Roman" w:cs="Times New Roman"/>
                <w:b w:val="0"/>
                <w:bCs/>
                <w:color w:val="auto"/>
                <w:sz w:val="24"/>
                <w:highlight w:val="none"/>
                <w:lang w:eastAsia="zh-CN"/>
              </w:rPr>
              <w:t>421-2008）的利器盒中，利器盒达到3</w:t>
            </w:r>
            <w:r>
              <w:rPr>
                <w:rFonts w:hint="default" w:ascii="Times New Roman" w:hAnsi="Times New Roman"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eastAsia="zh-CN"/>
              </w:rPr>
              <w:t>4满时应当封闭严密，按流程运送、贮存。病理性废物主要是手术过程中产生的废弃动物组织和器官。病理性废物收集于符合《医疗废物包装袋、容器和警示标志标准》（HJ</w:t>
            </w:r>
            <w:r>
              <w:rPr>
                <w:rFonts w:hint="eastAsia" w:cs="Times New Roman"/>
                <w:b w:val="0"/>
                <w:bCs/>
                <w:color w:val="auto"/>
                <w:sz w:val="24"/>
                <w:highlight w:val="none"/>
                <w:lang w:val="en-US" w:eastAsia="zh-CN"/>
              </w:rPr>
              <w:t xml:space="preserve"> </w:t>
            </w:r>
            <w:r>
              <w:rPr>
                <w:rFonts w:hint="default" w:ascii="Times New Roman" w:hAnsi="Times New Roman" w:cs="Times New Roman"/>
                <w:b w:val="0"/>
                <w:bCs/>
                <w:color w:val="auto"/>
                <w:sz w:val="24"/>
                <w:highlight w:val="none"/>
                <w:lang w:eastAsia="zh-CN"/>
              </w:rPr>
              <w:t>421-2008）医疗废物包装袋中。药物性废物主要是过期、淘汰、变质或者被污染的废弃的药物。化学性废物主要是列入《国家危险废物名录》中的废弃危险品，比如非特定行业来源产生的含汞血压计、含汞体温计等。</w:t>
            </w:r>
          </w:p>
          <w:p w14:paraId="1DDDFC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项目医疗废物收集后暂存于</w:t>
            </w:r>
            <w:r>
              <w:rPr>
                <w:rFonts w:hint="eastAsia" w:cs="Times New Roman"/>
                <w:b w:val="0"/>
                <w:bCs/>
                <w:color w:val="auto"/>
                <w:sz w:val="24"/>
                <w:highlight w:val="none"/>
                <w:lang w:eastAsia="zh-CN"/>
              </w:rPr>
              <w:t>医疗废物贮存点</w:t>
            </w:r>
            <w:r>
              <w:rPr>
                <w:rFonts w:hint="default" w:ascii="Times New Roman" w:hAnsi="Times New Roman" w:cs="Times New Roman"/>
                <w:b w:val="0"/>
                <w:bCs/>
                <w:color w:val="auto"/>
                <w:sz w:val="24"/>
                <w:highlight w:val="none"/>
                <w:lang w:eastAsia="zh-CN"/>
              </w:rPr>
              <w:t>，定期交重庆可厚德环保技术有限公司处置。项目医疗废物产生量按照每日最大接诊量及最大住院容纳宠物量进行核算，则按照</w:t>
            </w:r>
            <w:r>
              <w:rPr>
                <w:rFonts w:hint="eastAsia" w:cs="Times New Roman"/>
                <w:b w:val="0"/>
                <w:bCs/>
                <w:color w:val="auto"/>
                <w:sz w:val="24"/>
                <w:highlight w:val="none"/>
                <w:lang w:val="en-US" w:eastAsia="zh-CN"/>
              </w:rPr>
              <w:t>44</w:t>
            </w:r>
            <w:r>
              <w:rPr>
                <w:rFonts w:hint="default" w:ascii="Times New Roman" w:hAnsi="Times New Roman" w:cs="Times New Roman"/>
                <w:b w:val="0"/>
                <w:bCs/>
                <w:color w:val="auto"/>
                <w:sz w:val="24"/>
                <w:highlight w:val="none"/>
                <w:lang w:eastAsia="zh-CN"/>
              </w:rPr>
              <w:t>只进行计算，产生量按每日每门诊及住院病例0.2kg/只计算，产生量约为</w:t>
            </w:r>
            <w:r>
              <w:rPr>
                <w:rFonts w:hint="eastAsia" w:cs="Times New Roman"/>
                <w:b w:val="0"/>
                <w:bCs/>
                <w:color w:val="auto"/>
                <w:sz w:val="24"/>
                <w:highlight w:val="none"/>
                <w:lang w:val="en-US" w:eastAsia="zh-CN"/>
              </w:rPr>
              <w:t>8.8kg/d（3.212</w:t>
            </w:r>
            <w:r>
              <w:rPr>
                <w:rFonts w:hint="default" w:ascii="Times New Roman" w:hAnsi="Times New Roman" w:cs="Times New Roman"/>
                <w:b w:val="0"/>
                <w:bCs/>
                <w:color w:val="auto"/>
                <w:sz w:val="24"/>
                <w:highlight w:val="none"/>
                <w:lang w:eastAsia="zh-CN"/>
              </w:rPr>
              <w:t>t/a</w:t>
            </w:r>
            <w:r>
              <w:rPr>
                <w:rFonts w:hint="eastAsia"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eastAsia="zh-CN"/>
              </w:rPr>
              <w:t>。</w:t>
            </w:r>
          </w:p>
          <w:p w14:paraId="56D971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w:t>
            </w:r>
            <w:r>
              <w:rPr>
                <w:rFonts w:hint="eastAsia" w:cs="Times New Roman"/>
                <w:b w:val="0"/>
                <w:bCs/>
                <w:color w:val="auto"/>
                <w:sz w:val="24"/>
                <w:highlight w:val="none"/>
                <w:lang w:val="en-US" w:eastAsia="zh-CN"/>
              </w:rPr>
              <w:t>3</w:t>
            </w:r>
            <w:r>
              <w:rPr>
                <w:rFonts w:hint="default" w:ascii="Times New Roman" w:hAnsi="Times New Roman" w:cs="Times New Roman"/>
                <w:b w:val="0"/>
                <w:bCs/>
                <w:color w:val="auto"/>
                <w:sz w:val="24"/>
                <w:highlight w:val="none"/>
                <w:lang w:eastAsia="zh-CN"/>
              </w:rPr>
              <w:t>）生活垃圾</w:t>
            </w:r>
          </w:p>
          <w:p w14:paraId="1D4193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highlight w:val="none"/>
                <w:lang w:eastAsia="zh-CN"/>
              </w:rPr>
            </w:pPr>
            <w:r>
              <w:rPr>
                <w:rFonts w:hint="default" w:ascii="Times New Roman" w:hAnsi="Times New Roman" w:cs="Times New Roman"/>
                <w:b w:val="0"/>
                <w:bCs/>
                <w:color w:val="auto"/>
                <w:sz w:val="24"/>
                <w:highlight w:val="none"/>
                <w:lang w:eastAsia="zh-CN"/>
              </w:rPr>
              <w:t>项目劳动定员</w:t>
            </w:r>
            <w:r>
              <w:rPr>
                <w:rFonts w:hint="eastAsia" w:cs="Times New Roman"/>
                <w:b w:val="0"/>
                <w:bCs/>
                <w:color w:val="auto"/>
                <w:sz w:val="24"/>
                <w:highlight w:val="none"/>
                <w:lang w:val="en-US" w:eastAsia="zh-CN"/>
              </w:rPr>
              <w:t>4</w:t>
            </w:r>
            <w:r>
              <w:rPr>
                <w:rFonts w:hint="default" w:ascii="Times New Roman" w:hAnsi="Times New Roman" w:cs="Times New Roman"/>
                <w:b w:val="0"/>
                <w:bCs/>
                <w:color w:val="auto"/>
                <w:sz w:val="24"/>
                <w:highlight w:val="none"/>
                <w:lang w:eastAsia="zh-CN"/>
              </w:rPr>
              <w:t>人，流动顾客约</w:t>
            </w:r>
            <w:r>
              <w:rPr>
                <w:rFonts w:hint="eastAsia" w:cs="Times New Roman"/>
                <w:b w:val="0"/>
                <w:bCs/>
                <w:color w:val="auto"/>
                <w:sz w:val="24"/>
                <w:highlight w:val="none"/>
                <w:lang w:val="en-US" w:eastAsia="zh-CN"/>
              </w:rPr>
              <w:t>40</w:t>
            </w:r>
            <w:r>
              <w:rPr>
                <w:rFonts w:hint="default" w:ascii="Times New Roman" w:hAnsi="Times New Roman" w:cs="Times New Roman"/>
                <w:b w:val="0"/>
                <w:bCs/>
                <w:color w:val="auto"/>
                <w:sz w:val="24"/>
                <w:highlight w:val="none"/>
                <w:lang w:eastAsia="zh-CN"/>
              </w:rPr>
              <w:t>人/d，生活垃圾产生系数以0.5kg/</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人·d</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计，则生活垃圾产生量约</w:t>
            </w:r>
            <w:r>
              <w:rPr>
                <w:rFonts w:hint="eastAsia" w:cs="Times New Roman"/>
                <w:b w:val="0"/>
                <w:bCs/>
                <w:color w:val="auto"/>
                <w:sz w:val="24"/>
                <w:highlight w:val="none"/>
                <w:lang w:val="en-US" w:eastAsia="zh-CN"/>
              </w:rPr>
              <w:t>22kg/d（8.03</w:t>
            </w:r>
            <w:r>
              <w:rPr>
                <w:rFonts w:hint="default" w:ascii="Times New Roman" w:hAnsi="Times New Roman" w:cs="Times New Roman"/>
                <w:b w:val="0"/>
                <w:bCs/>
                <w:color w:val="auto"/>
                <w:sz w:val="24"/>
                <w:highlight w:val="none"/>
                <w:lang w:eastAsia="zh-CN"/>
              </w:rPr>
              <w:t>t/a</w:t>
            </w:r>
            <w:r>
              <w:rPr>
                <w:rFonts w:hint="eastAsia"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eastAsia="zh-CN"/>
              </w:rPr>
              <w:t>，定期交环卫部门处置。</w:t>
            </w:r>
          </w:p>
          <w:p w14:paraId="3D7B40F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color w:val="auto"/>
                <w:sz w:val="21"/>
                <w:highlight w:val="none"/>
                <w:vertAlign w:val="baseline"/>
                <w:lang w:eastAsia="zh-CN"/>
              </w:rPr>
            </w:pPr>
            <w:r>
              <w:rPr>
                <w:rFonts w:hint="default" w:ascii="Times New Roman" w:hAnsi="Times New Roman" w:cs="Times New Roman"/>
                <w:b w:val="0"/>
                <w:bCs/>
                <w:color w:val="auto"/>
                <w:sz w:val="21"/>
                <w:highlight w:val="none"/>
                <w:lang w:eastAsia="zh-CN"/>
              </w:rPr>
              <w:t>表4.2-</w:t>
            </w:r>
            <w:r>
              <w:rPr>
                <w:rFonts w:hint="eastAsia" w:cs="Times New Roman"/>
                <w:b w:val="0"/>
                <w:bCs/>
                <w:color w:val="auto"/>
                <w:sz w:val="21"/>
                <w:highlight w:val="none"/>
                <w:lang w:val="en-US" w:eastAsia="zh-CN"/>
              </w:rPr>
              <w:t>11</w:t>
            </w:r>
            <w:r>
              <w:rPr>
                <w:rFonts w:hint="default" w:ascii="Times New Roman" w:hAnsi="Times New Roman" w:cs="Times New Roman"/>
                <w:b w:val="0"/>
                <w:bCs/>
                <w:color w:val="auto"/>
                <w:sz w:val="21"/>
                <w:highlight w:val="none"/>
                <w:lang w:eastAsia="zh-CN"/>
              </w:rPr>
              <w:t xml:space="preserve"> 危险废物及医疗废物汇总表</w:t>
            </w:r>
          </w:p>
          <w:tbl>
            <w:tblPr>
              <w:tblStyle w:val="22"/>
              <w:tblW w:w="832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57"/>
              <w:gridCol w:w="900"/>
              <w:gridCol w:w="1336"/>
              <w:gridCol w:w="900"/>
              <w:gridCol w:w="810"/>
              <w:gridCol w:w="885"/>
              <w:gridCol w:w="1155"/>
              <w:gridCol w:w="1479"/>
            </w:tblGrid>
            <w:tr w14:paraId="624E94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57" w:type="dxa"/>
                  <w:tcBorders>
                    <w:tl2br w:val="nil"/>
                    <w:tr2bl w:val="nil"/>
                  </w:tcBorders>
                  <w:vAlign w:val="center"/>
                </w:tcPr>
                <w:p w14:paraId="0AE800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危险废物名称</w:t>
                  </w:r>
                </w:p>
              </w:tc>
              <w:tc>
                <w:tcPr>
                  <w:tcW w:w="900" w:type="dxa"/>
                  <w:tcBorders>
                    <w:tl2br w:val="nil"/>
                    <w:tr2bl w:val="nil"/>
                  </w:tcBorders>
                  <w:vAlign w:val="center"/>
                </w:tcPr>
                <w:p w14:paraId="55BEC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危险废物类别</w:t>
                  </w:r>
                </w:p>
              </w:tc>
              <w:tc>
                <w:tcPr>
                  <w:tcW w:w="1336" w:type="dxa"/>
                  <w:tcBorders>
                    <w:tl2br w:val="nil"/>
                    <w:tr2bl w:val="nil"/>
                  </w:tcBorders>
                  <w:vAlign w:val="center"/>
                </w:tcPr>
                <w:p w14:paraId="1A92B7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危险废物代码</w:t>
                  </w:r>
                </w:p>
              </w:tc>
              <w:tc>
                <w:tcPr>
                  <w:tcW w:w="900" w:type="dxa"/>
                  <w:tcBorders>
                    <w:tl2br w:val="nil"/>
                    <w:tr2bl w:val="nil"/>
                  </w:tcBorders>
                  <w:vAlign w:val="center"/>
                </w:tcPr>
                <w:p w14:paraId="795037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产生量（t/a）</w:t>
                  </w:r>
                </w:p>
              </w:tc>
              <w:tc>
                <w:tcPr>
                  <w:tcW w:w="810" w:type="dxa"/>
                  <w:tcBorders>
                    <w:tl2br w:val="nil"/>
                    <w:tr2bl w:val="nil"/>
                  </w:tcBorders>
                  <w:vAlign w:val="center"/>
                </w:tcPr>
                <w:p w14:paraId="2445D4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产生工序</w:t>
                  </w:r>
                </w:p>
              </w:tc>
              <w:tc>
                <w:tcPr>
                  <w:tcW w:w="885" w:type="dxa"/>
                  <w:tcBorders>
                    <w:tl2br w:val="nil"/>
                    <w:tr2bl w:val="nil"/>
                  </w:tcBorders>
                  <w:vAlign w:val="center"/>
                </w:tcPr>
                <w:p w14:paraId="08D9D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形态</w:t>
                  </w:r>
                </w:p>
              </w:tc>
              <w:tc>
                <w:tcPr>
                  <w:tcW w:w="1155" w:type="dxa"/>
                  <w:tcBorders>
                    <w:tl2br w:val="nil"/>
                    <w:tr2bl w:val="nil"/>
                  </w:tcBorders>
                  <w:vAlign w:val="center"/>
                </w:tcPr>
                <w:p w14:paraId="63B50D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危险特性</w:t>
                  </w:r>
                </w:p>
              </w:tc>
              <w:tc>
                <w:tcPr>
                  <w:tcW w:w="1479" w:type="dxa"/>
                  <w:tcBorders>
                    <w:tl2br w:val="nil"/>
                    <w:tr2bl w:val="nil"/>
                  </w:tcBorders>
                  <w:vAlign w:val="center"/>
                </w:tcPr>
                <w:p w14:paraId="0EB86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污染防治措施</w:t>
                  </w:r>
                </w:p>
              </w:tc>
            </w:tr>
            <w:tr w14:paraId="53791D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57" w:type="dxa"/>
                  <w:tcBorders>
                    <w:tl2br w:val="nil"/>
                    <w:tr2bl w:val="nil"/>
                  </w:tcBorders>
                  <w:vAlign w:val="center"/>
                </w:tcPr>
                <w:p w14:paraId="77C26D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废紫外灯管</w:t>
                  </w:r>
                </w:p>
              </w:tc>
              <w:tc>
                <w:tcPr>
                  <w:tcW w:w="900" w:type="dxa"/>
                  <w:tcBorders>
                    <w:tl2br w:val="nil"/>
                    <w:tr2bl w:val="nil"/>
                  </w:tcBorders>
                  <w:vAlign w:val="center"/>
                </w:tcPr>
                <w:p w14:paraId="11DF2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HW29</w:t>
                  </w:r>
                </w:p>
              </w:tc>
              <w:tc>
                <w:tcPr>
                  <w:tcW w:w="1336" w:type="dxa"/>
                  <w:tcBorders>
                    <w:tl2br w:val="nil"/>
                    <w:tr2bl w:val="nil"/>
                  </w:tcBorders>
                  <w:vAlign w:val="center"/>
                </w:tcPr>
                <w:p w14:paraId="419FEC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900-023-29</w:t>
                  </w:r>
                </w:p>
              </w:tc>
              <w:tc>
                <w:tcPr>
                  <w:tcW w:w="900" w:type="dxa"/>
                  <w:tcBorders>
                    <w:tl2br w:val="nil"/>
                    <w:tr2bl w:val="nil"/>
                  </w:tcBorders>
                  <w:vAlign w:val="center"/>
                </w:tcPr>
                <w:p w14:paraId="0CFB8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0.0</w:t>
                  </w:r>
                  <w:r>
                    <w:rPr>
                      <w:rFonts w:hint="eastAsia" w:cs="Times New Roman"/>
                      <w:b w:val="0"/>
                      <w:bCs/>
                      <w:color w:val="auto"/>
                      <w:sz w:val="21"/>
                      <w:szCs w:val="21"/>
                      <w:highlight w:val="none"/>
                      <w:vertAlign w:val="baseline"/>
                      <w:lang w:val="en-US" w:eastAsia="zh-CN"/>
                    </w:rPr>
                    <w:t>15</w:t>
                  </w:r>
                </w:p>
              </w:tc>
              <w:tc>
                <w:tcPr>
                  <w:tcW w:w="810" w:type="dxa"/>
                  <w:tcBorders>
                    <w:tl2br w:val="nil"/>
                    <w:tr2bl w:val="nil"/>
                  </w:tcBorders>
                  <w:vAlign w:val="center"/>
                </w:tcPr>
                <w:p w14:paraId="2B10D5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消毒</w:t>
                  </w:r>
                </w:p>
              </w:tc>
              <w:tc>
                <w:tcPr>
                  <w:tcW w:w="885" w:type="dxa"/>
                  <w:tcBorders>
                    <w:tl2br w:val="nil"/>
                    <w:tr2bl w:val="nil"/>
                  </w:tcBorders>
                  <w:vAlign w:val="center"/>
                </w:tcPr>
                <w:p w14:paraId="527121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固体</w:t>
                  </w:r>
                </w:p>
              </w:tc>
              <w:tc>
                <w:tcPr>
                  <w:tcW w:w="1155" w:type="dxa"/>
                  <w:tcBorders>
                    <w:tl2br w:val="nil"/>
                    <w:tr2bl w:val="nil"/>
                  </w:tcBorders>
                  <w:vAlign w:val="center"/>
                </w:tcPr>
                <w:p w14:paraId="275B72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T</w:t>
                  </w:r>
                </w:p>
              </w:tc>
              <w:tc>
                <w:tcPr>
                  <w:tcW w:w="1479" w:type="dxa"/>
                  <w:tcBorders>
                    <w:tl2br w:val="nil"/>
                    <w:tr2bl w:val="nil"/>
                  </w:tcBorders>
                  <w:vAlign w:val="center"/>
                </w:tcPr>
                <w:p w14:paraId="3C67B2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eastAsia="zh-CN"/>
                    </w:rPr>
                    <w:t>收集后暂存于</w:t>
                  </w:r>
                  <w:r>
                    <w:rPr>
                      <w:rFonts w:hint="eastAsia" w:cs="Times New Roman"/>
                      <w:b w:val="0"/>
                      <w:bCs/>
                      <w:color w:val="auto"/>
                      <w:sz w:val="21"/>
                      <w:szCs w:val="21"/>
                      <w:highlight w:val="none"/>
                      <w:vertAlign w:val="baseline"/>
                      <w:lang w:eastAsia="zh-CN"/>
                    </w:rPr>
                    <w:t>医疗废物贮存点</w:t>
                  </w:r>
                  <w:r>
                    <w:rPr>
                      <w:rFonts w:hint="default" w:ascii="Times New Roman" w:hAnsi="Times New Roman" w:cs="Times New Roman"/>
                      <w:b w:val="0"/>
                      <w:bCs/>
                      <w:color w:val="auto"/>
                      <w:sz w:val="21"/>
                      <w:szCs w:val="21"/>
                      <w:highlight w:val="none"/>
                      <w:vertAlign w:val="baseline"/>
                      <w:lang w:eastAsia="zh-CN"/>
                    </w:rPr>
                    <w:t>，</w:t>
                  </w:r>
                  <w:r>
                    <w:rPr>
                      <w:rFonts w:hint="eastAsia" w:ascii="Times New Roman" w:hAnsi="Times New Roman" w:cs="Times New Roman"/>
                      <w:b w:val="0"/>
                      <w:bCs/>
                      <w:color w:val="auto"/>
                      <w:sz w:val="21"/>
                      <w:szCs w:val="21"/>
                      <w:highlight w:val="none"/>
                      <w:vertAlign w:val="baseline"/>
                      <w:lang w:val="en-US" w:eastAsia="zh-CN"/>
                    </w:rPr>
                    <w:t>定期交有资质单位进行处置</w:t>
                  </w:r>
                </w:p>
              </w:tc>
            </w:tr>
            <w:tr w14:paraId="3D5A98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57" w:type="dxa"/>
                  <w:tcBorders>
                    <w:tl2br w:val="nil"/>
                    <w:tr2bl w:val="nil"/>
                  </w:tcBorders>
                  <w:vAlign w:val="center"/>
                </w:tcPr>
                <w:p w14:paraId="565D8A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医疗废物</w:t>
                  </w:r>
                </w:p>
              </w:tc>
              <w:tc>
                <w:tcPr>
                  <w:tcW w:w="900" w:type="dxa"/>
                  <w:tcBorders>
                    <w:tl2br w:val="nil"/>
                    <w:tr2bl w:val="nil"/>
                  </w:tcBorders>
                  <w:vAlign w:val="center"/>
                </w:tcPr>
                <w:p w14:paraId="3B2509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HW01</w:t>
                  </w:r>
                </w:p>
              </w:tc>
              <w:tc>
                <w:tcPr>
                  <w:tcW w:w="1336" w:type="dxa"/>
                  <w:tcBorders>
                    <w:tl2br w:val="nil"/>
                    <w:tr2bl w:val="nil"/>
                  </w:tcBorders>
                  <w:vAlign w:val="center"/>
                </w:tcPr>
                <w:p w14:paraId="4C6A55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841-001-01、</w:t>
                  </w:r>
                </w:p>
                <w:p w14:paraId="70B054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841-002-01、841-003-01、</w:t>
                  </w:r>
                </w:p>
                <w:p w14:paraId="3071E2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841-004-01、</w:t>
                  </w:r>
                </w:p>
                <w:p w14:paraId="52080B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841-005-01</w:t>
                  </w:r>
                </w:p>
              </w:tc>
              <w:tc>
                <w:tcPr>
                  <w:tcW w:w="900" w:type="dxa"/>
                  <w:tcBorders>
                    <w:tl2br w:val="nil"/>
                    <w:tr2bl w:val="nil"/>
                  </w:tcBorders>
                  <w:vAlign w:val="center"/>
                </w:tcPr>
                <w:p w14:paraId="167377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3.212</w:t>
                  </w:r>
                </w:p>
              </w:tc>
              <w:tc>
                <w:tcPr>
                  <w:tcW w:w="810" w:type="dxa"/>
                  <w:tcBorders>
                    <w:tl2br w:val="nil"/>
                    <w:tr2bl w:val="nil"/>
                  </w:tcBorders>
                  <w:vAlign w:val="center"/>
                </w:tcPr>
                <w:p w14:paraId="2C3CFE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诊疗、化验、手术等</w:t>
                  </w:r>
                </w:p>
              </w:tc>
              <w:tc>
                <w:tcPr>
                  <w:tcW w:w="885" w:type="dxa"/>
                  <w:tcBorders>
                    <w:tl2br w:val="nil"/>
                    <w:tr2bl w:val="nil"/>
                  </w:tcBorders>
                  <w:vAlign w:val="center"/>
                </w:tcPr>
                <w:p w14:paraId="19E57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固体</w:t>
                  </w:r>
                </w:p>
              </w:tc>
              <w:tc>
                <w:tcPr>
                  <w:tcW w:w="1155" w:type="dxa"/>
                  <w:tcBorders>
                    <w:tl2br w:val="nil"/>
                    <w:tr2bl w:val="nil"/>
                  </w:tcBorders>
                  <w:vAlign w:val="center"/>
                </w:tcPr>
                <w:p w14:paraId="4A5C1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T/C</w:t>
                  </w:r>
                  <w:r>
                    <w:rPr>
                      <w:rFonts w:hint="default" w:ascii="Times New Roman" w:hAnsi="Times New Roman" w:cs="Times New Roman"/>
                      <w:b w:val="0"/>
                      <w:bCs/>
                      <w:color w:val="auto"/>
                      <w:sz w:val="21"/>
                      <w:szCs w:val="21"/>
                      <w:highlight w:val="none"/>
                      <w:vertAlign w:val="baseline"/>
                      <w:lang w:val="en-US" w:eastAsia="zh-CN"/>
                    </w:rPr>
                    <w:t>/I</w:t>
                  </w:r>
                  <w:r>
                    <w:rPr>
                      <w:rFonts w:hint="default" w:ascii="Times New Roman" w:hAnsi="Times New Roman" w:cs="Times New Roman"/>
                      <w:b w:val="0"/>
                      <w:bCs/>
                      <w:color w:val="auto"/>
                      <w:sz w:val="21"/>
                      <w:szCs w:val="21"/>
                      <w:highlight w:val="none"/>
                      <w:vertAlign w:val="baseline"/>
                      <w:lang w:eastAsia="zh-CN"/>
                    </w:rPr>
                    <w:t>/R/In</w:t>
                  </w:r>
                </w:p>
              </w:tc>
              <w:tc>
                <w:tcPr>
                  <w:tcW w:w="1479" w:type="dxa"/>
                  <w:tcBorders>
                    <w:tl2br w:val="nil"/>
                    <w:tr2bl w:val="nil"/>
                  </w:tcBorders>
                  <w:vAlign w:val="center"/>
                </w:tcPr>
                <w:p w14:paraId="62B9A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收集后暂存于</w:t>
                  </w:r>
                  <w:r>
                    <w:rPr>
                      <w:rFonts w:hint="eastAsia" w:cs="Times New Roman"/>
                      <w:b w:val="0"/>
                      <w:bCs/>
                      <w:color w:val="auto"/>
                      <w:sz w:val="21"/>
                      <w:szCs w:val="21"/>
                      <w:highlight w:val="none"/>
                      <w:vertAlign w:val="baseline"/>
                      <w:lang w:eastAsia="zh-CN"/>
                    </w:rPr>
                    <w:t>医疗废物贮存点</w:t>
                  </w:r>
                  <w:r>
                    <w:rPr>
                      <w:rFonts w:hint="default" w:ascii="Times New Roman" w:hAnsi="Times New Roman" w:cs="Times New Roman"/>
                      <w:b w:val="0"/>
                      <w:bCs/>
                      <w:color w:val="auto"/>
                      <w:sz w:val="21"/>
                      <w:szCs w:val="21"/>
                      <w:highlight w:val="none"/>
                      <w:vertAlign w:val="baseline"/>
                      <w:lang w:eastAsia="zh-CN"/>
                    </w:rPr>
                    <w:t>，定期交重庆可厚德环保技术有限公司进行处置</w:t>
                  </w:r>
                </w:p>
              </w:tc>
            </w:tr>
          </w:tbl>
          <w:p w14:paraId="7274FD3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cs="Times New Roman"/>
                <w:b w:val="0"/>
                <w:bCs/>
                <w:color w:val="auto"/>
                <w:sz w:val="21"/>
                <w:highlight w:val="none"/>
                <w:lang w:eastAsia="zh-CN"/>
              </w:rPr>
            </w:pPr>
            <w:r>
              <w:rPr>
                <w:rFonts w:hint="default" w:ascii="Times New Roman" w:hAnsi="Times New Roman" w:cs="Times New Roman"/>
                <w:b w:val="0"/>
                <w:bCs/>
                <w:color w:val="auto"/>
                <w:sz w:val="21"/>
                <w:highlight w:val="none"/>
                <w:lang w:eastAsia="zh-CN"/>
              </w:rPr>
              <w:t>表4.2-</w:t>
            </w:r>
            <w:r>
              <w:rPr>
                <w:rFonts w:hint="eastAsia" w:ascii="Times New Roman" w:hAnsi="Times New Roman" w:cs="Times New Roman"/>
                <w:b w:val="0"/>
                <w:bCs/>
                <w:color w:val="auto"/>
                <w:sz w:val="21"/>
                <w:highlight w:val="none"/>
                <w:lang w:val="en-US" w:eastAsia="zh-CN"/>
              </w:rPr>
              <w:t>12</w:t>
            </w:r>
            <w:r>
              <w:rPr>
                <w:rFonts w:hint="default" w:ascii="Times New Roman" w:hAnsi="Times New Roman" w:cs="Times New Roman"/>
                <w:b w:val="0"/>
                <w:bCs/>
                <w:color w:val="auto"/>
                <w:sz w:val="21"/>
                <w:highlight w:val="none"/>
                <w:lang w:eastAsia="zh-CN"/>
              </w:rPr>
              <w:t xml:space="preserve"> 固体废物产生及排放信息一览表</w:t>
            </w:r>
          </w:p>
          <w:tbl>
            <w:tblPr>
              <w:tblStyle w:val="22"/>
              <w:tblW w:w="8321"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23"/>
              <w:gridCol w:w="1277"/>
              <w:gridCol w:w="1140"/>
              <w:gridCol w:w="1476"/>
              <w:gridCol w:w="909"/>
              <w:gridCol w:w="3096"/>
            </w:tblGrid>
            <w:tr w14:paraId="57830E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9" w:hRule="atLeast"/>
              </w:trPr>
              <w:tc>
                <w:tcPr>
                  <w:tcW w:w="1700" w:type="dxa"/>
                  <w:gridSpan w:val="2"/>
                  <w:tcBorders>
                    <w:tl2br w:val="nil"/>
                    <w:tr2bl w:val="nil"/>
                  </w:tcBorders>
                  <w:vAlign w:val="center"/>
                </w:tcPr>
                <w:p w14:paraId="3D4D67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val="en-US" w:eastAsia="zh-CN"/>
                    </w:rPr>
                    <w:t>固废名称</w:t>
                  </w:r>
                </w:p>
              </w:tc>
              <w:tc>
                <w:tcPr>
                  <w:tcW w:w="1140" w:type="dxa"/>
                  <w:tcBorders>
                    <w:tl2br w:val="nil"/>
                    <w:tr2bl w:val="nil"/>
                  </w:tcBorders>
                  <w:vAlign w:val="center"/>
                </w:tcPr>
                <w:p w14:paraId="18B2A4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特性</w:t>
                  </w:r>
                </w:p>
              </w:tc>
              <w:tc>
                <w:tcPr>
                  <w:tcW w:w="1476" w:type="dxa"/>
                  <w:tcBorders>
                    <w:tl2br w:val="nil"/>
                    <w:tr2bl w:val="nil"/>
                  </w:tcBorders>
                  <w:vAlign w:val="center"/>
                </w:tcPr>
                <w:p w14:paraId="587A1D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性质/代码</w:t>
                  </w:r>
                </w:p>
              </w:tc>
              <w:tc>
                <w:tcPr>
                  <w:tcW w:w="909" w:type="dxa"/>
                  <w:tcBorders>
                    <w:tl2br w:val="nil"/>
                    <w:tr2bl w:val="nil"/>
                  </w:tcBorders>
                  <w:vAlign w:val="center"/>
                </w:tcPr>
                <w:p w14:paraId="04BD16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产生量</w:t>
                  </w:r>
                </w:p>
                <w:p w14:paraId="352F11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（t/a）</w:t>
                  </w:r>
                </w:p>
              </w:tc>
              <w:tc>
                <w:tcPr>
                  <w:tcW w:w="3096" w:type="dxa"/>
                  <w:tcBorders>
                    <w:tl2br w:val="nil"/>
                    <w:tr2bl w:val="nil"/>
                  </w:tcBorders>
                  <w:vAlign w:val="center"/>
                </w:tcPr>
                <w:p w14:paraId="4F691E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处理、利用措施</w:t>
                  </w:r>
                </w:p>
              </w:tc>
            </w:tr>
            <w:tr w14:paraId="44392D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23" w:type="dxa"/>
                  <w:vMerge w:val="restart"/>
                  <w:tcBorders>
                    <w:tl2br w:val="nil"/>
                    <w:tr2bl w:val="nil"/>
                  </w:tcBorders>
                  <w:vAlign w:val="center"/>
                </w:tcPr>
                <w:p w14:paraId="253B97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医疗废物</w:t>
                  </w:r>
                </w:p>
              </w:tc>
              <w:tc>
                <w:tcPr>
                  <w:tcW w:w="1277" w:type="dxa"/>
                  <w:tcBorders>
                    <w:tl2br w:val="nil"/>
                    <w:tr2bl w:val="nil"/>
                  </w:tcBorders>
                  <w:vAlign w:val="center"/>
                </w:tcPr>
                <w:p w14:paraId="6C91B7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感染性废物</w:t>
                  </w:r>
                </w:p>
              </w:tc>
              <w:tc>
                <w:tcPr>
                  <w:tcW w:w="1140" w:type="dxa"/>
                  <w:vMerge w:val="restart"/>
                  <w:tcBorders>
                    <w:tl2br w:val="nil"/>
                    <w:tr2bl w:val="nil"/>
                  </w:tcBorders>
                  <w:vAlign w:val="center"/>
                </w:tcPr>
                <w:p w14:paraId="2723BD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危险废物</w:t>
                  </w:r>
                </w:p>
              </w:tc>
              <w:tc>
                <w:tcPr>
                  <w:tcW w:w="1476" w:type="dxa"/>
                  <w:tcBorders>
                    <w:tl2br w:val="nil"/>
                    <w:tr2bl w:val="nil"/>
                  </w:tcBorders>
                  <w:vAlign w:val="center"/>
                </w:tcPr>
                <w:p w14:paraId="3C8019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841-001-01</w:t>
                  </w:r>
                </w:p>
              </w:tc>
              <w:tc>
                <w:tcPr>
                  <w:tcW w:w="909" w:type="dxa"/>
                  <w:vMerge w:val="restart"/>
                  <w:tcBorders>
                    <w:tl2br w:val="nil"/>
                    <w:tr2bl w:val="nil"/>
                  </w:tcBorders>
                  <w:vAlign w:val="center"/>
                </w:tcPr>
                <w:p w14:paraId="1F1036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3.212</w:t>
                  </w:r>
                </w:p>
              </w:tc>
              <w:tc>
                <w:tcPr>
                  <w:tcW w:w="3096" w:type="dxa"/>
                  <w:vMerge w:val="restart"/>
                  <w:tcBorders>
                    <w:tl2br w:val="nil"/>
                    <w:tr2bl w:val="nil"/>
                  </w:tcBorders>
                  <w:vAlign w:val="center"/>
                </w:tcPr>
                <w:p w14:paraId="414CE1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暂存于</w:t>
                  </w:r>
                  <w:r>
                    <w:rPr>
                      <w:rFonts w:hint="eastAsia" w:ascii="Times New Roman" w:hAnsi="Times New Roman" w:eastAsia="宋体" w:cs="Times New Roman"/>
                      <w:b w:val="0"/>
                      <w:bCs/>
                      <w:color w:val="auto"/>
                      <w:sz w:val="21"/>
                      <w:szCs w:val="21"/>
                      <w:highlight w:val="none"/>
                      <w:vertAlign w:val="baseline"/>
                      <w:lang w:eastAsia="zh-CN"/>
                    </w:rPr>
                    <w:t>医疗废物贮存点</w:t>
                  </w:r>
                  <w:r>
                    <w:rPr>
                      <w:rFonts w:hint="default" w:ascii="Times New Roman" w:hAnsi="Times New Roman" w:eastAsia="宋体" w:cs="Times New Roman"/>
                      <w:b w:val="0"/>
                      <w:bCs/>
                      <w:color w:val="auto"/>
                      <w:sz w:val="21"/>
                      <w:szCs w:val="21"/>
                      <w:highlight w:val="none"/>
                      <w:vertAlign w:val="baseline"/>
                      <w:lang w:eastAsia="zh-CN"/>
                    </w:rPr>
                    <w:t>，定期交由</w:t>
                  </w:r>
                  <w:r>
                    <w:rPr>
                      <w:rFonts w:hint="default" w:ascii="Times New Roman" w:hAnsi="Times New Roman" w:cs="Times New Roman"/>
                      <w:b w:val="0"/>
                      <w:bCs/>
                      <w:color w:val="auto"/>
                      <w:sz w:val="21"/>
                      <w:szCs w:val="21"/>
                      <w:highlight w:val="none"/>
                      <w:vertAlign w:val="baseline"/>
                      <w:lang w:eastAsia="zh-CN"/>
                    </w:rPr>
                    <w:t>重庆可厚德环保技术有限公司</w:t>
                  </w:r>
                  <w:r>
                    <w:rPr>
                      <w:rFonts w:hint="default" w:ascii="Times New Roman" w:hAnsi="Times New Roman" w:eastAsia="宋体" w:cs="Times New Roman"/>
                      <w:b w:val="0"/>
                      <w:bCs/>
                      <w:color w:val="auto"/>
                      <w:sz w:val="21"/>
                      <w:szCs w:val="21"/>
                      <w:highlight w:val="none"/>
                      <w:vertAlign w:val="baseline"/>
                      <w:lang w:eastAsia="zh-CN"/>
                    </w:rPr>
                    <w:t>处置</w:t>
                  </w:r>
                </w:p>
              </w:tc>
            </w:tr>
            <w:tr w14:paraId="214199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23" w:type="dxa"/>
                  <w:vMerge w:val="continue"/>
                  <w:tcBorders>
                    <w:tl2br w:val="nil"/>
                    <w:tr2bl w:val="nil"/>
                  </w:tcBorders>
                  <w:vAlign w:val="center"/>
                </w:tcPr>
                <w:p w14:paraId="3FB156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277" w:type="dxa"/>
                  <w:tcBorders>
                    <w:tl2br w:val="nil"/>
                    <w:tr2bl w:val="nil"/>
                  </w:tcBorders>
                  <w:vAlign w:val="center"/>
                </w:tcPr>
                <w:p w14:paraId="799FC9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损伤性废物</w:t>
                  </w:r>
                </w:p>
              </w:tc>
              <w:tc>
                <w:tcPr>
                  <w:tcW w:w="1140" w:type="dxa"/>
                  <w:vMerge w:val="continue"/>
                  <w:tcBorders>
                    <w:tl2br w:val="nil"/>
                    <w:tr2bl w:val="nil"/>
                  </w:tcBorders>
                  <w:vAlign w:val="center"/>
                </w:tcPr>
                <w:p w14:paraId="6F145E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476" w:type="dxa"/>
                  <w:tcBorders>
                    <w:tl2br w:val="nil"/>
                    <w:tr2bl w:val="nil"/>
                  </w:tcBorders>
                  <w:vAlign w:val="center"/>
                </w:tcPr>
                <w:p w14:paraId="3E20FF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val="en-US" w:eastAsia="zh-CN"/>
                    </w:rPr>
                    <w:t>841-002-01</w:t>
                  </w:r>
                </w:p>
              </w:tc>
              <w:tc>
                <w:tcPr>
                  <w:tcW w:w="909" w:type="dxa"/>
                  <w:vMerge w:val="continue"/>
                  <w:tcBorders>
                    <w:tl2br w:val="nil"/>
                    <w:tr2bl w:val="nil"/>
                  </w:tcBorders>
                  <w:vAlign w:val="center"/>
                </w:tcPr>
                <w:p w14:paraId="1E6C13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3096" w:type="dxa"/>
                  <w:vMerge w:val="continue"/>
                  <w:tcBorders>
                    <w:tl2br w:val="nil"/>
                    <w:tr2bl w:val="nil"/>
                  </w:tcBorders>
                  <w:vAlign w:val="center"/>
                </w:tcPr>
                <w:p w14:paraId="19D9A0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r>
            <w:tr w14:paraId="612604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23" w:type="dxa"/>
                  <w:vMerge w:val="continue"/>
                  <w:tcBorders>
                    <w:tl2br w:val="nil"/>
                    <w:tr2bl w:val="nil"/>
                  </w:tcBorders>
                  <w:vAlign w:val="center"/>
                </w:tcPr>
                <w:p w14:paraId="4122A9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277" w:type="dxa"/>
                  <w:tcBorders>
                    <w:tl2br w:val="nil"/>
                    <w:tr2bl w:val="nil"/>
                  </w:tcBorders>
                  <w:vAlign w:val="center"/>
                </w:tcPr>
                <w:p w14:paraId="424309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病理性废物</w:t>
                  </w:r>
                </w:p>
              </w:tc>
              <w:tc>
                <w:tcPr>
                  <w:tcW w:w="1140" w:type="dxa"/>
                  <w:vMerge w:val="continue"/>
                  <w:tcBorders>
                    <w:tl2br w:val="nil"/>
                    <w:tr2bl w:val="nil"/>
                  </w:tcBorders>
                  <w:vAlign w:val="center"/>
                </w:tcPr>
                <w:p w14:paraId="7976E0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476" w:type="dxa"/>
                  <w:tcBorders>
                    <w:tl2br w:val="nil"/>
                    <w:tr2bl w:val="nil"/>
                  </w:tcBorders>
                  <w:shd w:val="clear" w:color="auto" w:fill="auto"/>
                  <w:vAlign w:val="center"/>
                </w:tcPr>
                <w:p w14:paraId="444C96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841-003-01</w:t>
                  </w:r>
                </w:p>
              </w:tc>
              <w:tc>
                <w:tcPr>
                  <w:tcW w:w="909" w:type="dxa"/>
                  <w:vMerge w:val="continue"/>
                  <w:tcBorders>
                    <w:tl2br w:val="nil"/>
                    <w:tr2bl w:val="nil"/>
                  </w:tcBorders>
                  <w:vAlign w:val="center"/>
                </w:tcPr>
                <w:p w14:paraId="49FA60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3096" w:type="dxa"/>
                  <w:vMerge w:val="continue"/>
                  <w:tcBorders>
                    <w:tl2br w:val="nil"/>
                    <w:tr2bl w:val="nil"/>
                  </w:tcBorders>
                  <w:vAlign w:val="center"/>
                </w:tcPr>
                <w:p w14:paraId="626660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r>
            <w:tr w14:paraId="6DE03F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23" w:type="dxa"/>
                  <w:vMerge w:val="continue"/>
                  <w:tcBorders>
                    <w:tl2br w:val="nil"/>
                    <w:tr2bl w:val="nil"/>
                  </w:tcBorders>
                  <w:vAlign w:val="center"/>
                </w:tcPr>
                <w:p w14:paraId="303243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277" w:type="dxa"/>
                  <w:tcBorders>
                    <w:tl2br w:val="nil"/>
                    <w:tr2bl w:val="nil"/>
                  </w:tcBorders>
                  <w:vAlign w:val="center"/>
                </w:tcPr>
                <w:p w14:paraId="7AF0DE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药理性废物</w:t>
                  </w:r>
                </w:p>
              </w:tc>
              <w:tc>
                <w:tcPr>
                  <w:tcW w:w="1140" w:type="dxa"/>
                  <w:vMerge w:val="continue"/>
                  <w:tcBorders>
                    <w:tl2br w:val="nil"/>
                    <w:tr2bl w:val="nil"/>
                  </w:tcBorders>
                  <w:vAlign w:val="center"/>
                </w:tcPr>
                <w:p w14:paraId="627464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476" w:type="dxa"/>
                  <w:tcBorders>
                    <w:tl2br w:val="nil"/>
                    <w:tr2bl w:val="nil"/>
                  </w:tcBorders>
                  <w:shd w:val="clear" w:color="auto" w:fill="auto"/>
                  <w:vAlign w:val="center"/>
                </w:tcPr>
                <w:p w14:paraId="605604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841-004-01</w:t>
                  </w:r>
                </w:p>
              </w:tc>
              <w:tc>
                <w:tcPr>
                  <w:tcW w:w="909" w:type="dxa"/>
                  <w:vMerge w:val="continue"/>
                  <w:tcBorders>
                    <w:tl2br w:val="nil"/>
                    <w:tr2bl w:val="nil"/>
                  </w:tcBorders>
                  <w:vAlign w:val="center"/>
                </w:tcPr>
                <w:p w14:paraId="372A01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3096" w:type="dxa"/>
                  <w:vMerge w:val="continue"/>
                  <w:tcBorders>
                    <w:tl2br w:val="nil"/>
                    <w:tr2bl w:val="nil"/>
                  </w:tcBorders>
                  <w:vAlign w:val="center"/>
                </w:tcPr>
                <w:p w14:paraId="76EAEF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r>
            <w:tr w14:paraId="20F7CD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23" w:type="dxa"/>
                  <w:vMerge w:val="continue"/>
                  <w:tcBorders>
                    <w:tl2br w:val="nil"/>
                    <w:tr2bl w:val="nil"/>
                  </w:tcBorders>
                  <w:vAlign w:val="center"/>
                </w:tcPr>
                <w:p w14:paraId="1A811B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277" w:type="dxa"/>
                  <w:tcBorders>
                    <w:tl2br w:val="nil"/>
                    <w:tr2bl w:val="nil"/>
                  </w:tcBorders>
                  <w:vAlign w:val="center"/>
                </w:tcPr>
                <w:p w14:paraId="75BEEA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化学性废物</w:t>
                  </w:r>
                </w:p>
              </w:tc>
              <w:tc>
                <w:tcPr>
                  <w:tcW w:w="1140" w:type="dxa"/>
                  <w:vMerge w:val="continue"/>
                  <w:tcBorders>
                    <w:tl2br w:val="nil"/>
                    <w:tr2bl w:val="nil"/>
                  </w:tcBorders>
                  <w:vAlign w:val="center"/>
                </w:tcPr>
                <w:p w14:paraId="38B50E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1476" w:type="dxa"/>
                  <w:tcBorders>
                    <w:tl2br w:val="nil"/>
                    <w:tr2bl w:val="nil"/>
                  </w:tcBorders>
                  <w:shd w:val="clear" w:color="auto" w:fill="auto"/>
                  <w:vAlign w:val="center"/>
                </w:tcPr>
                <w:p w14:paraId="6BF881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841-005-01</w:t>
                  </w:r>
                </w:p>
              </w:tc>
              <w:tc>
                <w:tcPr>
                  <w:tcW w:w="909" w:type="dxa"/>
                  <w:vMerge w:val="continue"/>
                  <w:tcBorders>
                    <w:tl2br w:val="nil"/>
                    <w:tr2bl w:val="nil"/>
                  </w:tcBorders>
                  <w:vAlign w:val="center"/>
                </w:tcPr>
                <w:p w14:paraId="20EAD8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c>
                <w:tcPr>
                  <w:tcW w:w="3096" w:type="dxa"/>
                  <w:vMerge w:val="continue"/>
                  <w:tcBorders>
                    <w:tl2br w:val="nil"/>
                    <w:tr2bl w:val="nil"/>
                  </w:tcBorders>
                  <w:vAlign w:val="center"/>
                </w:tcPr>
                <w:p w14:paraId="5C0B1C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p>
              </w:tc>
            </w:tr>
            <w:tr w14:paraId="75957C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700" w:type="dxa"/>
                  <w:gridSpan w:val="2"/>
                  <w:tcBorders>
                    <w:tl2br w:val="nil"/>
                    <w:tr2bl w:val="nil"/>
                  </w:tcBorders>
                  <w:vAlign w:val="center"/>
                </w:tcPr>
                <w:p w14:paraId="1ABFA7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废紫外灯管</w:t>
                  </w:r>
                </w:p>
              </w:tc>
              <w:tc>
                <w:tcPr>
                  <w:tcW w:w="1140" w:type="dxa"/>
                  <w:tcBorders>
                    <w:tl2br w:val="nil"/>
                    <w:tr2bl w:val="nil"/>
                  </w:tcBorders>
                  <w:vAlign w:val="center"/>
                </w:tcPr>
                <w:p w14:paraId="1AD927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val="en-US" w:eastAsia="zh-CN"/>
                    </w:rPr>
                    <w:t>危险废物</w:t>
                  </w:r>
                </w:p>
              </w:tc>
              <w:tc>
                <w:tcPr>
                  <w:tcW w:w="1476" w:type="dxa"/>
                  <w:tcBorders>
                    <w:tl2br w:val="nil"/>
                    <w:tr2bl w:val="nil"/>
                  </w:tcBorders>
                  <w:vAlign w:val="center"/>
                </w:tcPr>
                <w:p w14:paraId="0B3831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900-023-29</w:t>
                  </w:r>
                </w:p>
              </w:tc>
              <w:tc>
                <w:tcPr>
                  <w:tcW w:w="909" w:type="dxa"/>
                  <w:tcBorders>
                    <w:tl2br w:val="nil"/>
                    <w:tr2bl w:val="nil"/>
                  </w:tcBorders>
                  <w:vAlign w:val="center"/>
                </w:tcPr>
                <w:p w14:paraId="6FFBFD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w:t>
                  </w:r>
                  <w:r>
                    <w:rPr>
                      <w:rFonts w:hint="eastAsia" w:cs="Times New Roman"/>
                      <w:b w:val="0"/>
                      <w:bCs/>
                      <w:color w:val="auto"/>
                      <w:sz w:val="21"/>
                      <w:szCs w:val="21"/>
                      <w:highlight w:val="none"/>
                      <w:vertAlign w:val="baseline"/>
                      <w:lang w:val="en-US" w:eastAsia="zh-CN"/>
                    </w:rPr>
                    <w:t>15</w:t>
                  </w:r>
                </w:p>
              </w:tc>
              <w:tc>
                <w:tcPr>
                  <w:tcW w:w="3096" w:type="dxa"/>
                  <w:tcBorders>
                    <w:tl2br w:val="nil"/>
                    <w:tr2bl w:val="nil"/>
                  </w:tcBorders>
                  <w:vAlign w:val="center"/>
                </w:tcPr>
                <w:p w14:paraId="146116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定期交由有资质单位处置</w:t>
                  </w:r>
                </w:p>
              </w:tc>
            </w:tr>
            <w:tr w14:paraId="7C0122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700" w:type="dxa"/>
                  <w:gridSpan w:val="2"/>
                  <w:tcBorders>
                    <w:tl2br w:val="nil"/>
                    <w:tr2bl w:val="nil"/>
                  </w:tcBorders>
                  <w:vAlign w:val="center"/>
                </w:tcPr>
                <w:p w14:paraId="206B37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动物尸体</w:t>
                  </w:r>
                </w:p>
              </w:tc>
              <w:tc>
                <w:tcPr>
                  <w:tcW w:w="1140" w:type="dxa"/>
                  <w:tcBorders>
                    <w:tl2br w:val="nil"/>
                    <w:tr2bl w:val="nil"/>
                  </w:tcBorders>
                  <w:vAlign w:val="center"/>
                </w:tcPr>
                <w:p w14:paraId="121D37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val="en-US" w:eastAsia="zh-CN"/>
                    </w:rPr>
                    <w:t>一般固废</w:t>
                  </w:r>
                </w:p>
              </w:tc>
              <w:tc>
                <w:tcPr>
                  <w:tcW w:w="1476" w:type="dxa"/>
                  <w:tcBorders>
                    <w:tl2br w:val="nil"/>
                    <w:tr2bl w:val="nil"/>
                  </w:tcBorders>
                  <w:vAlign w:val="center"/>
                </w:tcPr>
                <w:p w14:paraId="77DD3F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val="en-US" w:eastAsia="zh-CN"/>
                    </w:rPr>
                    <w:t>030-00</w:t>
                  </w:r>
                  <w:r>
                    <w:rPr>
                      <w:rFonts w:hint="eastAsia" w:ascii="Times New Roman" w:hAnsi="Times New Roman" w:eastAsia="宋体" w:cs="Times New Roman"/>
                      <w:b w:val="0"/>
                      <w:bCs/>
                      <w:color w:val="auto"/>
                      <w:sz w:val="21"/>
                      <w:szCs w:val="21"/>
                      <w:highlight w:val="none"/>
                      <w:vertAlign w:val="baseline"/>
                      <w:lang w:val="en-US" w:eastAsia="zh-CN"/>
                    </w:rPr>
                    <w:t>2</w:t>
                  </w:r>
                  <w:r>
                    <w:rPr>
                      <w:rFonts w:hint="default" w:ascii="Times New Roman" w:hAnsi="Times New Roman" w:eastAsia="宋体" w:cs="Times New Roman"/>
                      <w:b w:val="0"/>
                      <w:bCs/>
                      <w:color w:val="auto"/>
                      <w:sz w:val="21"/>
                      <w:szCs w:val="21"/>
                      <w:highlight w:val="none"/>
                      <w:vertAlign w:val="baseline"/>
                      <w:lang w:val="en-US" w:eastAsia="zh-CN"/>
                    </w:rPr>
                    <w:t>-S82</w:t>
                  </w:r>
                </w:p>
              </w:tc>
              <w:tc>
                <w:tcPr>
                  <w:tcW w:w="909" w:type="dxa"/>
                  <w:tcBorders>
                    <w:tl2br w:val="nil"/>
                    <w:tr2bl w:val="nil"/>
                  </w:tcBorders>
                  <w:vAlign w:val="center"/>
                </w:tcPr>
                <w:p w14:paraId="7F6189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少量</w:t>
                  </w:r>
                </w:p>
              </w:tc>
              <w:tc>
                <w:tcPr>
                  <w:tcW w:w="3096" w:type="dxa"/>
                  <w:tcBorders>
                    <w:tl2br w:val="nil"/>
                    <w:tr2bl w:val="nil"/>
                  </w:tcBorders>
                  <w:vAlign w:val="center"/>
                </w:tcPr>
                <w:p w14:paraId="690BEC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动物主人自行委托</w:t>
                  </w:r>
                  <w:r>
                    <w:rPr>
                      <w:rFonts w:hint="eastAsia" w:cs="Times New Roman"/>
                      <w:b w:val="0"/>
                      <w:bCs/>
                      <w:color w:val="auto"/>
                      <w:sz w:val="21"/>
                      <w:szCs w:val="21"/>
                      <w:highlight w:val="none"/>
                      <w:vertAlign w:val="baseline"/>
                      <w:lang w:eastAsia="zh-CN"/>
                    </w:rPr>
                    <w:t>有资质单位</w:t>
                  </w:r>
                  <w:r>
                    <w:rPr>
                      <w:rFonts w:hint="default" w:ascii="Times New Roman" w:hAnsi="Times New Roman" w:eastAsia="宋体" w:cs="Times New Roman"/>
                      <w:b w:val="0"/>
                      <w:bCs/>
                      <w:color w:val="auto"/>
                      <w:sz w:val="21"/>
                      <w:szCs w:val="21"/>
                      <w:highlight w:val="none"/>
                      <w:vertAlign w:val="baseline"/>
                      <w:lang w:eastAsia="zh-CN"/>
                    </w:rPr>
                    <w:t>进行无害化处理</w:t>
                  </w:r>
                </w:p>
              </w:tc>
            </w:tr>
            <w:tr w14:paraId="026418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700" w:type="dxa"/>
                  <w:gridSpan w:val="2"/>
                  <w:tcBorders>
                    <w:tl2br w:val="nil"/>
                    <w:tr2bl w:val="nil"/>
                  </w:tcBorders>
                  <w:vAlign w:val="center"/>
                </w:tcPr>
                <w:p w14:paraId="0215C9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动物粪污</w:t>
                  </w:r>
                </w:p>
              </w:tc>
              <w:tc>
                <w:tcPr>
                  <w:tcW w:w="1140" w:type="dxa"/>
                  <w:tcBorders>
                    <w:tl2br w:val="nil"/>
                    <w:tr2bl w:val="nil"/>
                  </w:tcBorders>
                  <w:vAlign w:val="center"/>
                </w:tcPr>
                <w:p w14:paraId="5AC665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一般固废</w:t>
                  </w:r>
                </w:p>
              </w:tc>
              <w:tc>
                <w:tcPr>
                  <w:tcW w:w="1476" w:type="dxa"/>
                  <w:tcBorders>
                    <w:tl2br w:val="nil"/>
                    <w:tr2bl w:val="nil"/>
                  </w:tcBorders>
                  <w:vAlign w:val="center"/>
                </w:tcPr>
                <w:p w14:paraId="4D374F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030-001-S82</w:t>
                  </w:r>
                </w:p>
              </w:tc>
              <w:tc>
                <w:tcPr>
                  <w:tcW w:w="909" w:type="dxa"/>
                  <w:tcBorders>
                    <w:tl2br w:val="nil"/>
                    <w:tr2bl w:val="nil"/>
                  </w:tcBorders>
                  <w:vAlign w:val="center"/>
                </w:tcPr>
                <w:p w14:paraId="5DF55C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1.898</w:t>
                  </w:r>
                </w:p>
              </w:tc>
              <w:tc>
                <w:tcPr>
                  <w:tcW w:w="3096" w:type="dxa"/>
                  <w:tcBorders>
                    <w:tl2br w:val="nil"/>
                    <w:tr2bl w:val="nil"/>
                  </w:tcBorders>
                  <w:vAlign w:val="center"/>
                </w:tcPr>
                <w:p w14:paraId="199C17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消毒后交市政环卫部门处置</w:t>
                  </w:r>
                </w:p>
              </w:tc>
            </w:tr>
            <w:tr w14:paraId="5EB903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700" w:type="dxa"/>
                  <w:gridSpan w:val="2"/>
                  <w:tcBorders>
                    <w:tl2br w:val="nil"/>
                    <w:tr2bl w:val="nil"/>
                  </w:tcBorders>
                  <w:vAlign w:val="center"/>
                </w:tcPr>
                <w:p w14:paraId="6539C0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动物毛发</w:t>
                  </w:r>
                </w:p>
              </w:tc>
              <w:tc>
                <w:tcPr>
                  <w:tcW w:w="1140" w:type="dxa"/>
                  <w:tcBorders>
                    <w:tl2br w:val="nil"/>
                    <w:tr2bl w:val="nil"/>
                  </w:tcBorders>
                  <w:vAlign w:val="center"/>
                </w:tcPr>
                <w:p w14:paraId="526FFB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一般固废</w:t>
                  </w:r>
                </w:p>
              </w:tc>
              <w:tc>
                <w:tcPr>
                  <w:tcW w:w="1476" w:type="dxa"/>
                  <w:tcBorders>
                    <w:tl2br w:val="nil"/>
                    <w:tr2bl w:val="nil"/>
                  </w:tcBorders>
                  <w:vAlign w:val="center"/>
                </w:tcPr>
                <w:p w14:paraId="66B5FF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030-00</w:t>
                  </w:r>
                  <w:r>
                    <w:rPr>
                      <w:rFonts w:hint="eastAsia" w:ascii="Times New Roman" w:hAnsi="Times New Roman" w:eastAsia="宋体" w:cs="Times New Roman"/>
                      <w:b w:val="0"/>
                      <w:bCs/>
                      <w:color w:val="auto"/>
                      <w:sz w:val="21"/>
                      <w:szCs w:val="21"/>
                      <w:highlight w:val="none"/>
                      <w:vertAlign w:val="baseline"/>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-S82</w:t>
                  </w:r>
                </w:p>
              </w:tc>
              <w:tc>
                <w:tcPr>
                  <w:tcW w:w="909" w:type="dxa"/>
                  <w:tcBorders>
                    <w:tl2br w:val="nil"/>
                    <w:tr2bl w:val="nil"/>
                  </w:tcBorders>
                  <w:vAlign w:val="center"/>
                </w:tcPr>
                <w:p w14:paraId="6F8901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w:t>
                  </w:r>
                  <w:r>
                    <w:rPr>
                      <w:rFonts w:hint="eastAsia" w:cs="Times New Roman"/>
                      <w:b w:val="0"/>
                      <w:bCs/>
                      <w:color w:val="auto"/>
                      <w:sz w:val="21"/>
                      <w:szCs w:val="21"/>
                      <w:highlight w:val="none"/>
                      <w:vertAlign w:val="baseline"/>
                      <w:lang w:val="en-US" w:eastAsia="zh-CN"/>
                    </w:rPr>
                    <w:t>365</w:t>
                  </w:r>
                </w:p>
              </w:tc>
              <w:tc>
                <w:tcPr>
                  <w:tcW w:w="3096" w:type="dxa"/>
                  <w:tcBorders>
                    <w:tl2br w:val="nil"/>
                    <w:tr2bl w:val="nil"/>
                  </w:tcBorders>
                  <w:vAlign w:val="center"/>
                </w:tcPr>
                <w:p w14:paraId="453262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交市政环卫部门处置</w:t>
                  </w:r>
                </w:p>
              </w:tc>
            </w:tr>
            <w:tr w14:paraId="38AFAD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700" w:type="dxa"/>
                  <w:gridSpan w:val="2"/>
                  <w:tcBorders>
                    <w:tl2br w:val="nil"/>
                    <w:tr2bl w:val="nil"/>
                  </w:tcBorders>
                  <w:vAlign w:val="center"/>
                </w:tcPr>
                <w:p w14:paraId="782454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废包装材料</w:t>
                  </w:r>
                </w:p>
              </w:tc>
              <w:tc>
                <w:tcPr>
                  <w:tcW w:w="1140" w:type="dxa"/>
                  <w:tcBorders>
                    <w:tl2br w:val="nil"/>
                    <w:tr2bl w:val="nil"/>
                  </w:tcBorders>
                  <w:vAlign w:val="center"/>
                </w:tcPr>
                <w:p w14:paraId="773DF6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一般固废</w:t>
                  </w:r>
                </w:p>
              </w:tc>
              <w:tc>
                <w:tcPr>
                  <w:tcW w:w="1476" w:type="dxa"/>
                  <w:tcBorders>
                    <w:tl2br w:val="nil"/>
                    <w:tr2bl w:val="nil"/>
                  </w:tcBorders>
                  <w:shd w:val="clear" w:color="auto" w:fill="auto"/>
                  <w:vAlign w:val="center"/>
                </w:tcPr>
                <w:p w14:paraId="335A5BA8">
                  <w:pPr>
                    <w:pStyle w:val="52"/>
                    <w:keepNext w:val="0"/>
                    <w:keepLines w:val="0"/>
                    <w:pageBreakBefore w:val="0"/>
                    <w:widowControl w:val="0"/>
                    <w:kinsoku/>
                    <w:wordWrap/>
                    <w:overflowPunct/>
                    <w:topLinePunct w:val="0"/>
                    <w:autoSpaceDE/>
                    <w:autoSpaceDN/>
                    <w:bidi w:val="0"/>
                    <w:snapToGrid w:val="0"/>
                    <w:ind w:left="0" w:leftChars="0" w:right="0" w:right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900-00</w:t>
                  </w:r>
                  <w:r>
                    <w:rPr>
                      <w:rFonts w:hint="eastAsia" w:ascii="Times New Roman" w:hAnsi="Times New Roman" w:eastAsia="宋体" w:cs="Times New Roman"/>
                      <w:b w:val="0"/>
                      <w:bCs/>
                      <w:snapToGrid w:val="0"/>
                      <w:color w:val="auto"/>
                      <w:kern w:val="2"/>
                      <w:sz w:val="21"/>
                      <w:szCs w:val="21"/>
                      <w:highlight w:val="none"/>
                      <w:lang w:val="en-US" w:eastAsia="zh-CN" w:bidi="ar-SA"/>
                    </w:rPr>
                    <w:t>1</w:t>
                  </w:r>
                  <w:r>
                    <w:rPr>
                      <w:rFonts w:hint="default" w:ascii="Times New Roman" w:hAnsi="Times New Roman" w:eastAsia="宋体" w:cs="Times New Roman"/>
                      <w:b w:val="0"/>
                      <w:bCs/>
                      <w:snapToGrid w:val="0"/>
                      <w:color w:val="auto"/>
                      <w:kern w:val="2"/>
                      <w:sz w:val="21"/>
                      <w:szCs w:val="21"/>
                      <w:highlight w:val="none"/>
                      <w:lang w:val="en-US" w:eastAsia="zh-CN" w:bidi="ar-SA"/>
                    </w:rPr>
                    <w:t>-S62</w:t>
                  </w:r>
                  <w:r>
                    <w:rPr>
                      <w:rFonts w:hint="eastAsia" w:ascii="Times New Roman" w:hAnsi="Times New Roman" w:eastAsia="宋体" w:cs="Times New Roman"/>
                      <w:b w:val="0"/>
                      <w:bCs/>
                      <w:snapToGrid w:val="0"/>
                      <w:color w:val="auto"/>
                      <w:kern w:val="2"/>
                      <w:sz w:val="21"/>
                      <w:szCs w:val="21"/>
                      <w:highlight w:val="none"/>
                      <w:lang w:val="en-US" w:eastAsia="zh-CN" w:bidi="ar-SA"/>
                    </w:rPr>
                    <w:t>、</w:t>
                  </w:r>
                </w:p>
                <w:p w14:paraId="0AFDC96A">
                  <w:pPr>
                    <w:pStyle w:val="52"/>
                    <w:keepNext w:val="0"/>
                    <w:keepLines w:val="0"/>
                    <w:pageBreakBefore w:val="0"/>
                    <w:widowControl w:val="0"/>
                    <w:kinsoku/>
                    <w:wordWrap/>
                    <w:overflowPunct/>
                    <w:topLinePunct w:val="0"/>
                    <w:autoSpaceDE/>
                    <w:autoSpaceDN/>
                    <w:bidi w:val="0"/>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900-002-S62</w:t>
                  </w:r>
                </w:p>
              </w:tc>
              <w:tc>
                <w:tcPr>
                  <w:tcW w:w="909" w:type="dxa"/>
                  <w:tcBorders>
                    <w:tl2br w:val="nil"/>
                    <w:tr2bl w:val="nil"/>
                  </w:tcBorders>
                  <w:vAlign w:val="center"/>
                </w:tcPr>
                <w:p w14:paraId="640732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w:t>
                  </w:r>
                  <w:r>
                    <w:rPr>
                      <w:rFonts w:hint="eastAsia" w:cs="Times New Roman"/>
                      <w:b w:val="0"/>
                      <w:bCs/>
                      <w:color w:val="auto"/>
                      <w:sz w:val="21"/>
                      <w:szCs w:val="21"/>
                      <w:highlight w:val="none"/>
                      <w:vertAlign w:val="baseline"/>
                      <w:lang w:val="en-US" w:eastAsia="zh-CN"/>
                    </w:rPr>
                    <w:t>15</w:t>
                  </w:r>
                </w:p>
              </w:tc>
              <w:tc>
                <w:tcPr>
                  <w:tcW w:w="3096" w:type="dxa"/>
                  <w:tcBorders>
                    <w:tl2br w:val="nil"/>
                    <w:tr2bl w:val="nil"/>
                  </w:tcBorders>
                  <w:vAlign w:val="center"/>
                </w:tcPr>
                <w:p w14:paraId="3C1F63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定期外售给物资回收公司</w:t>
                  </w:r>
                </w:p>
              </w:tc>
            </w:tr>
            <w:tr w14:paraId="5328A6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700" w:type="dxa"/>
                  <w:gridSpan w:val="2"/>
                  <w:tcBorders>
                    <w:tl2br w:val="nil"/>
                    <w:tr2bl w:val="nil"/>
                  </w:tcBorders>
                  <w:vAlign w:val="center"/>
                </w:tcPr>
                <w:p w14:paraId="4EE291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生活垃圾</w:t>
                  </w:r>
                </w:p>
              </w:tc>
              <w:tc>
                <w:tcPr>
                  <w:tcW w:w="1140" w:type="dxa"/>
                  <w:tcBorders>
                    <w:tl2br w:val="nil"/>
                    <w:tr2bl w:val="nil"/>
                  </w:tcBorders>
                  <w:vAlign w:val="center"/>
                </w:tcPr>
                <w:p w14:paraId="74985B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生活垃圾</w:t>
                  </w:r>
                </w:p>
              </w:tc>
              <w:tc>
                <w:tcPr>
                  <w:tcW w:w="1476" w:type="dxa"/>
                  <w:tcBorders>
                    <w:tl2br w:val="nil"/>
                    <w:tr2bl w:val="nil"/>
                  </w:tcBorders>
                  <w:shd w:val="clear" w:color="auto" w:fill="auto"/>
                  <w:vAlign w:val="center"/>
                </w:tcPr>
                <w:p w14:paraId="2BC680DF">
                  <w:pPr>
                    <w:pStyle w:val="52"/>
                    <w:keepNext w:val="0"/>
                    <w:keepLines w:val="0"/>
                    <w:pageBreakBefore w:val="0"/>
                    <w:widowControl w:val="0"/>
                    <w:kinsoku/>
                    <w:wordWrap/>
                    <w:overflowPunct/>
                    <w:topLinePunct w:val="0"/>
                    <w:autoSpaceDE/>
                    <w:autoSpaceDN/>
                    <w:bidi w:val="0"/>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b w:val="0"/>
                      <w:bCs/>
                      <w:color w:val="auto"/>
                      <w:sz w:val="21"/>
                      <w:highlight w:val="none"/>
                    </w:rPr>
                    <w:t>900</w:t>
                  </w:r>
                  <w:r>
                    <w:rPr>
                      <w:rFonts w:hint="eastAsia" w:ascii="Times New Roman" w:hAnsi="Times New Roman" w:eastAsia="宋体"/>
                      <w:b w:val="0"/>
                      <w:bCs/>
                      <w:color w:val="auto"/>
                      <w:sz w:val="21"/>
                      <w:highlight w:val="none"/>
                      <w:lang w:val="zh-CN"/>
                    </w:rPr>
                    <w:t>-</w:t>
                  </w:r>
                  <w:r>
                    <w:rPr>
                      <w:rFonts w:hint="eastAsia" w:ascii="Times New Roman" w:hAnsi="Times New Roman" w:eastAsia="宋体"/>
                      <w:b w:val="0"/>
                      <w:bCs/>
                      <w:color w:val="auto"/>
                      <w:sz w:val="21"/>
                      <w:highlight w:val="none"/>
                    </w:rPr>
                    <w:t>099</w:t>
                  </w:r>
                  <w:r>
                    <w:rPr>
                      <w:rFonts w:hint="eastAsia" w:ascii="Times New Roman" w:hAnsi="Times New Roman" w:eastAsia="宋体"/>
                      <w:b w:val="0"/>
                      <w:bCs/>
                      <w:color w:val="auto"/>
                      <w:sz w:val="21"/>
                      <w:highlight w:val="none"/>
                      <w:lang w:val="zh-CN"/>
                    </w:rPr>
                    <w:t>-</w:t>
                  </w:r>
                  <w:r>
                    <w:rPr>
                      <w:rFonts w:hint="eastAsia" w:ascii="Times New Roman" w:hAnsi="Times New Roman" w:eastAsia="宋体"/>
                      <w:b w:val="0"/>
                      <w:bCs/>
                      <w:color w:val="auto"/>
                      <w:sz w:val="21"/>
                      <w:highlight w:val="none"/>
                    </w:rPr>
                    <w:t>S64</w:t>
                  </w:r>
                </w:p>
              </w:tc>
              <w:tc>
                <w:tcPr>
                  <w:tcW w:w="909" w:type="dxa"/>
                  <w:tcBorders>
                    <w:tl2br w:val="nil"/>
                    <w:tr2bl w:val="nil"/>
                  </w:tcBorders>
                  <w:vAlign w:val="center"/>
                </w:tcPr>
                <w:p w14:paraId="3F9B54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8.03</w:t>
                  </w:r>
                </w:p>
              </w:tc>
              <w:tc>
                <w:tcPr>
                  <w:tcW w:w="3096" w:type="dxa"/>
                  <w:tcBorders>
                    <w:tl2br w:val="nil"/>
                    <w:tr2bl w:val="nil"/>
                  </w:tcBorders>
                  <w:vAlign w:val="center"/>
                </w:tcPr>
                <w:p w14:paraId="709C35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交市政环卫部门处置</w:t>
                  </w:r>
                </w:p>
              </w:tc>
            </w:tr>
          </w:tbl>
          <w:p w14:paraId="21CE943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eastAsia"/>
                <w:b/>
                <w:bCs w:val="0"/>
                <w:color w:val="auto"/>
                <w:sz w:val="24"/>
                <w:highlight w:val="none"/>
                <w:lang w:eastAsia="zh-CN"/>
              </w:rPr>
            </w:pPr>
            <w:r>
              <w:rPr>
                <w:rFonts w:hint="eastAsia"/>
                <w:b/>
                <w:bCs w:val="0"/>
                <w:color w:val="auto"/>
                <w:sz w:val="24"/>
                <w:highlight w:val="none"/>
                <w:lang w:eastAsia="zh-CN"/>
              </w:rPr>
              <w:t>4.2.4.2 固体废物的处置、暂存和管理要求</w:t>
            </w:r>
          </w:p>
          <w:p w14:paraId="43261D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w:t>
            </w:r>
            <w:r>
              <w:rPr>
                <w:rFonts w:hint="eastAsia"/>
                <w:b w:val="0"/>
                <w:bCs/>
                <w:color w:val="auto"/>
                <w:sz w:val="24"/>
                <w:highlight w:val="none"/>
                <w:lang w:val="en-US" w:eastAsia="zh-CN"/>
              </w:rPr>
              <w:t>1</w:t>
            </w:r>
            <w:r>
              <w:rPr>
                <w:rFonts w:hint="eastAsia"/>
                <w:b w:val="0"/>
                <w:bCs/>
                <w:color w:val="auto"/>
                <w:sz w:val="24"/>
                <w:highlight w:val="none"/>
                <w:lang w:eastAsia="zh-CN"/>
              </w:rPr>
              <w:t>）医疗废物</w:t>
            </w:r>
          </w:p>
          <w:p w14:paraId="76E357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根据《国家危险废物名录》（202</w:t>
            </w:r>
            <w:r>
              <w:rPr>
                <w:rFonts w:hint="eastAsia"/>
                <w:b w:val="0"/>
                <w:bCs/>
                <w:color w:val="auto"/>
                <w:sz w:val="24"/>
                <w:highlight w:val="none"/>
                <w:lang w:val="en-US" w:eastAsia="zh-CN"/>
              </w:rPr>
              <w:t>5</w:t>
            </w:r>
            <w:r>
              <w:rPr>
                <w:rFonts w:hint="eastAsia"/>
                <w:b w:val="0"/>
                <w:bCs/>
                <w:color w:val="auto"/>
                <w:sz w:val="24"/>
                <w:highlight w:val="none"/>
                <w:lang w:eastAsia="zh-CN"/>
              </w:rPr>
              <w:t>年版）、《医疗废物分类目录》（2021年版）相关规定，项目产生的医疗废物属于危险废物，必须按照《医疗废物专用包装袋、容器和警示标志标准》（HJ421-2008）、《危险废物识别标志设置技术规范》（HJ1276-2022）、《危险废物贮存污染控制标准》（GB 18597-2023）、《危险废物收集贮存运输技术规范》（HJ2025-2012）等相关要求进行管理，送有资质单位处置，在危险废物的收集和转运过程中，应采取相应的安全防护和污染防治措施，包括</w:t>
            </w:r>
            <w:r>
              <w:rPr>
                <w:rFonts w:hint="eastAsia"/>
                <w:b w:val="0"/>
                <w:bCs/>
                <w:color w:val="auto"/>
                <w:sz w:val="24"/>
                <w:highlight w:val="none"/>
                <w:lang w:val="en-US" w:eastAsia="zh-CN"/>
              </w:rPr>
              <w:t>防爆</w:t>
            </w:r>
            <w:r>
              <w:rPr>
                <w:rFonts w:hint="eastAsia"/>
                <w:b w:val="0"/>
                <w:bCs/>
                <w:color w:val="auto"/>
                <w:sz w:val="24"/>
                <w:highlight w:val="none"/>
                <w:lang w:eastAsia="zh-CN"/>
              </w:rPr>
              <w:t>、防火、防中毒防感染、防泄漏、防飞扬、防雨或其他防止污染环境的措施。</w:t>
            </w:r>
          </w:p>
          <w:p w14:paraId="5E8920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val="en-US" w:eastAsia="zh-CN"/>
              </w:rPr>
              <w:t>①</w:t>
            </w:r>
            <w:r>
              <w:rPr>
                <w:rFonts w:hint="eastAsia"/>
                <w:b w:val="0"/>
                <w:bCs/>
                <w:color w:val="auto"/>
                <w:sz w:val="24"/>
                <w:highlight w:val="none"/>
                <w:lang w:eastAsia="zh-CN"/>
              </w:rPr>
              <w:t>医疗废物的收集</w:t>
            </w:r>
          </w:p>
          <w:p w14:paraId="5AF086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医疗废物应采用专用容器进行收集，明确各类废弃物标识，分类包装，并本着及时、方便、安全、快捷的原则，进行收集。感染性废物、损伤性废物、药物性废物及化学性废物不能混合收集；放入存放容器包装物内的各类废物不得取出。当盛装的医疗废物达到存储容器的3/</w:t>
            </w:r>
            <w:r>
              <w:rPr>
                <w:rFonts w:hint="eastAsia"/>
                <w:b w:val="0"/>
                <w:bCs/>
                <w:color w:val="auto"/>
                <w:sz w:val="24"/>
                <w:highlight w:val="none"/>
                <w:lang w:val="en-US" w:eastAsia="zh-CN"/>
              </w:rPr>
              <w:t>4</w:t>
            </w:r>
            <w:r>
              <w:rPr>
                <w:rFonts w:hint="eastAsia"/>
                <w:b w:val="0"/>
                <w:bCs/>
                <w:color w:val="auto"/>
                <w:sz w:val="24"/>
                <w:highlight w:val="none"/>
                <w:lang w:eastAsia="zh-CN"/>
              </w:rPr>
              <w:t>时，应当使用有效的封口方法对包装进行封口密封。医疗废物中的锐利物必须单独存放，并统一按照医学废物处理。收集锐利物的包装容器应使用硬质、防漏、防刺破的材料。</w:t>
            </w:r>
          </w:p>
          <w:p w14:paraId="75A528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val="en-US" w:eastAsia="zh-CN"/>
              </w:rPr>
              <w:t>②</w:t>
            </w:r>
            <w:r>
              <w:rPr>
                <w:rFonts w:hint="eastAsia"/>
                <w:b w:val="0"/>
                <w:bCs/>
                <w:color w:val="auto"/>
                <w:sz w:val="24"/>
                <w:highlight w:val="none"/>
                <w:lang w:eastAsia="zh-CN"/>
              </w:rPr>
              <w:t>医疗废物包装</w:t>
            </w:r>
          </w:p>
          <w:p w14:paraId="25634D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项目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感染性废物”字样。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w:t>
            </w:r>
            <w:r>
              <w:rPr>
                <w:rFonts w:hint="eastAsia"/>
                <w:b w:val="0"/>
                <w:bCs/>
                <w:color w:val="auto"/>
                <w:sz w:val="24"/>
                <w:highlight w:val="none"/>
                <w:lang w:val="en-US" w:eastAsia="zh-CN"/>
              </w:rPr>
              <w:t>PVC</w:t>
            </w:r>
            <w:r>
              <w:rPr>
                <w:rFonts w:hint="eastAsia"/>
                <w:b w:val="0"/>
                <w:bCs/>
                <w:color w:val="auto"/>
                <w:sz w:val="24"/>
                <w:highlight w:val="none"/>
                <w:lang w:eastAsia="zh-CN"/>
              </w:rPr>
              <w:t>）塑料为制造原料。利器盒整体颜色为黄色，在盒体侧面注明“损伤性物质”利器盒上应印刷医疗废物警示标志。</w:t>
            </w:r>
          </w:p>
          <w:p w14:paraId="70ABB2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val="en-US" w:eastAsia="zh-CN"/>
              </w:rPr>
              <w:t>③</w:t>
            </w:r>
            <w:r>
              <w:rPr>
                <w:rFonts w:hint="eastAsia"/>
                <w:b w:val="0"/>
                <w:bCs/>
                <w:color w:val="auto"/>
                <w:sz w:val="24"/>
                <w:highlight w:val="none"/>
                <w:lang w:eastAsia="zh-CN"/>
              </w:rPr>
              <w:t>医疗废物贮存点</w:t>
            </w:r>
          </w:p>
          <w:p w14:paraId="60D8C5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项目医疗废物贮存点位于DR室和手术室中间的</w:t>
            </w:r>
            <w:r>
              <w:rPr>
                <w:rFonts w:hint="eastAsia"/>
                <w:b w:val="0"/>
                <w:bCs/>
                <w:color w:val="auto"/>
                <w:sz w:val="24"/>
                <w:highlight w:val="none"/>
                <w:lang w:val="en-US" w:eastAsia="zh-CN"/>
              </w:rPr>
              <w:t>电脑桌</w:t>
            </w:r>
            <w:r>
              <w:rPr>
                <w:rFonts w:hint="eastAsia"/>
                <w:b w:val="0"/>
                <w:bCs/>
                <w:color w:val="auto"/>
                <w:sz w:val="24"/>
                <w:highlight w:val="none"/>
                <w:lang w:eastAsia="zh-CN"/>
              </w:rPr>
              <w:t>下方，面积约</w:t>
            </w:r>
            <w:r>
              <w:rPr>
                <w:rFonts w:hint="eastAsia"/>
                <w:b w:val="0"/>
                <w:bCs/>
                <w:color w:val="auto"/>
                <w:sz w:val="24"/>
                <w:highlight w:val="none"/>
                <w:lang w:val="en-US" w:eastAsia="zh-CN"/>
              </w:rPr>
              <w:t>1</w:t>
            </w:r>
            <w:r>
              <w:rPr>
                <w:rFonts w:hint="eastAsia"/>
                <w:b w:val="0"/>
                <w:bCs/>
                <w:color w:val="auto"/>
                <w:sz w:val="24"/>
                <w:highlight w:val="none"/>
                <w:lang w:eastAsia="zh-CN"/>
              </w:rPr>
              <w:t>m</w:t>
            </w:r>
            <w:r>
              <w:rPr>
                <w:rFonts w:hint="eastAsia"/>
                <w:b w:val="0"/>
                <w:bCs/>
                <w:color w:val="auto"/>
                <w:sz w:val="24"/>
                <w:highlight w:val="none"/>
                <w:vertAlign w:val="superscript"/>
                <w:lang w:val="en-US" w:eastAsia="zh-CN"/>
              </w:rPr>
              <w:t>2</w:t>
            </w:r>
            <w:r>
              <w:rPr>
                <w:rFonts w:hint="eastAsia"/>
                <w:b w:val="0"/>
                <w:bCs/>
                <w:color w:val="auto"/>
                <w:sz w:val="24"/>
                <w:highlight w:val="none"/>
                <w:lang w:eastAsia="zh-CN"/>
              </w:rPr>
              <w:t>，并设置明显的警示标识和防渗漏、防鼠、防蚊蝇、防蟑螂、防盗以及预防儿童接触等安全措施，定期进行消毒和清洁。医疗废物暂时贮存时间不得超过2天。</w:t>
            </w:r>
          </w:p>
          <w:p w14:paraId="75FEA3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由各收集点收集的医疗废物采用防渗漏、防遗撒、防锐器穿透的专用包装物或者密闭的容器，按照本单位确定的内部医疗废物运送时间、路线，将医疗废物收集运送至暂时贮存设施贮存，然后运往有资质单位处理。运送工具使用后应当在医疗卫生机构内指定的地点及时消毒和清洁。</w:t>
            </w:r>
          </w:p>
          <w:p w14:paraId="17FD8D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val="en-US" w:eastAsia="zh-CN"/>
              </w:rPr>
              <w:t>④</w:t>
            </w:r>
            <w:r>
              <w:rPr>
                <w:rFonts w:hint="eastAsia"/>
                <w:b w:val="0"/>
                <w:bCs/>
                <w:color w:val="auto"/>
                <w:sz w:val="24"/>
                <w:highlight w:val="none"/>
                <w:lang w:eastAsia="zh-CN"/>
              </w:rPr>
              <w:t>医疗废物交接、转移</w:t>
            </w:r>
          </w:p>
          <w:p w14:paraId="387A8C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医疗废物贮存点贮存的医疗废物定期交有明显医疗废物标识的专用车辆运至有资质的单位处理。医疗废物转移必须按照《危险废物转移管理办法》（生态环境部、</w:t>
            </w:r>
            <w:r>
              <w:rPr>
                <w:rFonts w:hint="eastAsia"/>
                <w:b w:val="0"/>
                <w:bCs/>
                <w:color w:val="auto"/>
                <w:sz w:val="24"/>
                <w:highlight w:val="none"/>
                <w:lang w:val="en-US" w:eastAsia="zh-CN"/>
              </w:rPr>
              <w:t>公</w:t>
            </w:r>
            <w:r>
              <w:rPr>
                <w:rFonts w:hint="eastAsia"/>
                <w:b w:val="0"/>
                <w:bCs/>
                <w:color w:val="auto"/>
                <w:sz w:val="24"/>
                <w:highlight w:val="none"/>
                <w:lang w:eastAsia="zh-CN"/>
              </w:rPr>
              <w:t>安部、</w:t>
            </w:r>
            <w:r>
              <w:rPr>
                <w:rFonts w:hint="eastAsia"/>
                <w:b w:val="0"/>
                <w:bCs/>
                <w:color w:val="auto"/>
                <w:sz w:val="24"/>
                <w:highlight w:val="none"/>
                <w:lang w:val="en-US" w:eastAsia="zh-CN"/>
              </w:rPr>
              <w:t>交</w:t>
            </w:r>
            <w:r>
              <w:rPr>
                <w:rFonts w:hint="eastAsia"/>
                <w:b w:val="0"/>
                <w:bCs/>
                <w:color w:val="auto"/>
                <w:sz w:val="24"/>
                <w:highlight w:val="none"/>
                <w:lang w:eastAsia="zh-CN"/>
              </w:rPr>
              <w:t>通运输部</w:t>
            </w:r>
            <w:r>
              <w:rPr>
                <w:rFonts w:hint="eastAsia"/>
                <w:b w:val="0"/>
                <w:bCs/>
                <w:color w:val="auto"/>
                <w:sz w:val="24"/>
                <w:highlight w:val="none"/>
                <w:lang w:val="en-US" w:eastAsia="zh-CN"/>
              </w:rPr>
              <w:t>令第23号</w:t>
            </w:r>
            <w:r>
              <w:rPr>
                <w:rFonts w:hint="eastAsia"/>
                <w:b w:val="0"/>
                <w:bCs/>
                <w:color w:val="auto"/>
                <w:sz w:val="24"/>
                <w:highlight w:val="none"/>
                <w:lang w:eastAsia="zh-CN"/>
              </w:rPr>
              <w:t>）的规定，执行危险废物转移联单制度。宠物医院禁止转让、买卖医疗废物，禁止在运输过程中丢弃医疗废物，禁止随意倾倒、堆放医疗废物或者医疗废物混入其他废物或生活垃圾中。</w:t>
            </w:r>
          </w:p>
          <w:p w14:paraId="32827E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w:t>
            </w:r>
            <w:r>
              <w:rPr>
                <w:rFonts w:hint="eastAsia"/>
                <w:b w:val="0"/>
                <w:bCs/>
                <w:color w:val="auto"/>
                <w:sz w:val="24"/>
                <w:highlight w:val="none"/>
                <w:lang w:val="en-US" w:eastAsia="zh-CN"/>
              </w:rPr>
              <w:t>有资质单位</w:t>
            </w:r>
            <w:r>
              <w:rPr>
                <w:rFonts w:hint="eastAsia"/>
                <w:b w:val="0"/>
                <w:bCs/>
                <w:color w:val="auto"/>
                <w:sz w:val="24"/>
                <w:highlight w:val="none"/>
                <w:lang w:eastAsia="zh-CN"/>
              </w:rPr>
              <w:t>。</w:t>
            </w:r>
          </w:p>
          <w:p w14:paraId="04B9F3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医疗废物处理单位应对医疗废物的来源、种类、数量、交接时间、处置方法等情况进行登记，登记资料保存时间不少于3年，定期接受环保、卫生部门检查。</w:t>
            </w:r>
          </w:p>
          <w:p w14:paraId="078030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val="en-US" w:eastAsia="zh-CN"/>
              </w:rPr>
              <w:t>⑤</w:t>
            </w:r>
            <w:r>
              <w:rPr>
                <w:rFonts w:hint="eastAsia"/>
                <w:b w:val="0"/>
                <w:bCs/>
                <w:color w:val="auto"/>
                <w:sz w:val="24"/>
                <w:highlight w:val="none"/>
                <w:lang w:eastAsia="zh-CN"/>
              </w:rPr>
              <w:t>医疗废物处置</w:t>
            </w:r>
          </w:p>
          <w:p w14:paraId="22E558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项目产生医疗废物收集后暂存于医疗废物贮存点，定期送重庆可厚德环保技术有限公司处理。</w:t>
            </w:r>
          </w:p>
          <w:p w14:paraId="444A95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w:t>
            </w:r>
            <w:r>
              <w:rPr>
                <w:rFonts w:hint="eastAsia"/>
                <w:b w:val="0"/>
                <w:bCs/>
                <w:color w:val="auto"/>
                <w:sz w:val="24"/>
                <w:highlight w:val="none"/>
                <w:lang w:val="en-US" w:eastAsia="zh-CN"/>
              </w:rPr>
              <w:t>2</w:t>
            </w:r>
            <w:r>
              <w:rPr>
                <w:rFonts w:hint="eastAsia"/>
                <w:b w:val="0"/>
                <w:bCs/>
                <w:color w:val="auto"/>
                <w:sz w:val="24"/>
                <w:highlight w:val="none"/>
                <w:lang w:eastAsia="zh-CN"/>
              </w:rPr>
              <w:t>）其他固体废物处置措施</w:t>
            </w:r>
          </w:p>
          <w:p w14:paraId="623A9A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color w:val="auto"/>
                <w:sz w:val="24"/>
                <w:highlight w:val="none"/>
                <w:lang w:val="en-US" w:eastAsia="zh-CN"/>
              </w:rPr>
            </w:pPr>
            <w:r>
              <w:rPr>
                <w:rFonts w:hint="eastAsia"/>
                <w:b w:val="0"/>
                <w:bCs/>
                <w:color w:val="auto"/>
                <w:sz w:val="24"/>
                <w:highlight w:val="none"/>
                <w:lang w:val="en-US" w:eastAsia="zh-CN"/>
              </w:rPr>
              <w:t>一般固废：</w:t>
            </w:r>
            <w:r>
              <w:rPr>
                <w:rFonts w:hint="eastAsia"/>
                <w:b w:val="0"/>
                <w:bCs/>
                <w:color w:val="auto"/>
                <w:sz w:val="24"/>
                <w:highlight w:val="none"/>
                <w:lang w:eastAsia="zh-CN"/>
              </w:rPr>
              <w:t>动物粪污经消毒处理后交市政环卫部门；</w:t>
            </w:r>
            <w:r>
              <w:rPr>
                <w:rFonts w:hint="eastAsia"/>
                <w:b w:val="0"/>
                <w:bCs/>
                <w:color w:val="auto"/>
                <w:sz w:val="24"/>
                <w:highlight w:val="none"/>
                <w:lang w:val="en-US" w:eastAsia="zh-CN"/>
              </w:rPr>
              <w:t>动物毛发</w:t>
            </w:r>
            <w:r>
              <w:rPr>
                <w:rFonts w:hint="eastAsia"/>
                <w:b w:val="0"/>
                <w:bCs/>
                <w:color w:val="auto"/>
                <w:sz w:val="24"/>
                <w:highlight w:val="none"/>
                <w:lang w:eastAsia="zh-CN"/>
              </w:rPr>
              <w:t>交环卫部门统一收运；动物尸体由宠物主人自行委托有资质单位进行无害化处理；</w:t>
            </w:r>
            <w:r>
              <w:rPr>
                <w:rFonts w:hint="eastAsia"/>
                <w:b w:val="0"/>
                <w:bCs/>
                <w:color w:val="auto"/>
                <w:sz w:val="24"/>
                <w:highlight w:val="none"/>
                <w:lang w:val="en-US" w:eastAsia="zh-CN"/>
              </w:rPr>
              <w:t>废包装材料收集暂存于收集箱，定期外售给物资回收部门。</w:t>
            </w:r>
          </w:p>
          <w:p w14:paraId="4DB086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危险废物：废紫外线灯管收集后暂存于医疗废物贮存点，定期交有资质单位处置。</w:t>
            </w:r>
          </w:p>
          <w:p w14:paraId="1E8412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生活垃圾：交环卫部门统一收运。</w:t>
            </w:r>
          </w:p>
          <w:p w14:paraId="32165A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综上所述，项目营运期产生的固体废物能得到综合利用及合理处置，不会对周边环境造成影响。</w:t>
            </w:r>
          </w:p>
          <w:p w14:paraId="3885E57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 w:val="0"/>
                <w:bCs/>
                <w:color w:val="auto"/>
                <w:sz w:val="24"/>
                <w:highlight w:val="none"/>
                <w:vertAlign w:val="baseline"/>
                <w:lang w:eastAsia="zh-CN"/>
              </w:rPr>
            </w:pPr>
            <w:r>
              <w:rPr>
                <w:rFonts w:hint="eastAsia"/>
                <w:b w:val="0"/>
                <w:bCs/>
                <w:color w:val="auto"/>
                <w:sz w:val="21"/>
                <w:szCs w:val="21"/>
                <w:highlight w:val="none"/>
                <w:lang w:eastAsia="zh-CN"/>
              </w:rPr>
              <w:t>表4.2-</w:t>
            </w:r>
            <w:r>
              <w:rPr>
                <w:rFonts w:hint="eastAsia"/>
                <w:b w:val="0"/>
                <w:bCs/>
                <w:color w:val="auto"/>
                <w:sz w:val="21"/>
                <w:szCs w:val="21"/>
                <w:highlight w:val="none"/>
                <w:lang w:val="en-US" w:eastAsia="zh-CN"/>
              </w:rPr>
              <w:t>13</w:t>
            </w:r>
            <w:r>
              <w:rPr>
                <w:rFonts w:hint="eastAsia"/>
                <w:b w:val="0"/>
                <w:bCs/>
                <w:color w:val="auto"/>
                <w:sz w:val="21"/>
                <w:szCs w:val="21"/>
                <w:highlight w:val="none"/>
                <w:lang w:eastAsia="zh-CN"/>
              </w:rPr>
              <w:t xml:space="preserve"> 项目危险废物贮存场所（设施）基本情况表</w:t>
            </w:r>
          </w:p>
          <w:tbl>
            <w:tblPr>
              <w:tblStyle w:val="22"/>
              <w:tblW w:w="83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463"/>
              <w:gridCol w:w="1035"/>
              <w:gridCol w:w="644"/>
              <w:gridCol w:w="1245"/>
              <w:gridCol w:w="825"/>
              <w:gridCol w:w="825"/>
              <w:gridCol w:w="1215"/>
              <w:gridCol w:w="746"/>
              <w:gridCol w:w="531"/>
            </w:tblGrid>
            <w:tr w14:paraId="5F737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5" w:type="dxa"/>
                  <w:tcBorders>
                    <w:tl2br w:val="nil"/>
                    <w:tr2bl w:val="nil"/>
                  </w:tcBorders>
                  <w:vAlign w:val="center"/>
                </w:tcPr>
                <w:p w14:paraId="727758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贮存场所名称</w:t>
                  </w:r>
                </w:p>
              </w:tc>
              <w:tc>
                <w:tcPr>
                  <w:tcW w:w="1498" w:type="dxa"/>
                  <w:gridSpan w:val="2"/>
                  <w:tcBorders>
                    <w:tl2br w:val="nil"/>
                    <w:tr2bl w:val="nil"/>
                  </w:tcBorders>
                  <w:vAlign w:val="center"/>
                </w:tcPr>
                <w:p w14:paraId="18379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r>
                    <w:rPr>
                      <w:rFonts w:hint="eastAsia"/>
                      <w:b w:val="0"/>
                      <w:bCs/>
                      <w:color w:val="auto"/>
                      <w:sz w:val="21"/>
                      <w:szCs w:val="21"/>
                      <w:highlight w:val="none"/>
                      <w:vertAlign w:val="baseline"/>
                      <w:lang w:val="en-US" w:eastAsia="zh-CN"/>
                    </w:rPr>
                    <w:t>危险废物名称</w:t>
                  </w:r>
                </w:p>
              </w:tc>
              <w:tc>
                <w:tcPr>
                  <w:tcW w:w="644" w:type="dxa"/>
                  <w:tcBorders>
                    <w:tl2br w:val="nil"/>
                    <w:tr2bl w:val="nil"/>
                  </w:tcBorders>
                  <w:vAlign w:val="center"/>
                </w:tcPr>
                <w:p w14:paraId="544EB4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危险废物类别</w:t>
                  </w:r>
                </w:p>
              </w:tc>
              <w:tc>
                <w:tcPr>
                  <w:tcW w:w="1245" w:type="dxa"/>
                  <w:tcBorders>
                    <w:tl2br w:val="nil"/>
                    <w:tr2bl w:val="nil"/>
                  </w:tcBorders>
                  <w:shd w:val="clear" w:color="auto" w:fill="auto"/>
                  <w:vAlign w:val="center"/>
                </w:tcPr>
                <w:p w14:paraId="5EF9D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危险废物代码</w:t>
                  </w:r>
                </w:p>
              </w:tc>
              <w:tc>
                <w:tcPr>
                  <w:tcW w:w="825" w:type="dxa"/>
                  <w:tcBorders>
                    <w:tl2br w:val="nil"/>
                    <w:tr2bl w:val="nil"/>
                  </w:tcBorders>
                  <w:shd w:val="clear" w:color="auto" w:fill="auto"/>
                  <w:vAlign w:val="center"/>
                </w:tcPr>
                <w:p w14:paraId="3D4FA3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位置</w:t>
                  </w:r>
                </w:p>
              </w:tc>
              <w:tc>
                <w:tcPr>
                  <w:tcW w:w="825" w:type="dxa"/>
                  <w:tcBorders>
                    <w:tl2br w:val="nil"/>
                    <w:tr2bl w:val="nil"/>
                  </w:tcBorders>
                  <w:shd w:val="clear" w:color="auto" w:fill="auto"/>
                  <w:vAlign w:val="center"/>
                </w:tcPr>
                <w:p w14:paraId="2EF072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占地面积</w:t>
                  </w:r>
                </w:p>
              </w:tc>
              <w:tc>
                <w:tcPr>
                  <w:tcW w:w="1215" w:type="dxa"/>
                  <w:tcBorders>
                    <w:tl2br w:val="nil"/>
                    <w:tr2bl w:val="nil"/>
                  </w:tcBorders>
                  <w:shd w:val="clear" w:color="auto" w:fill="auto"/>
                  <w:vAlign w:val="center"/>
                </w:tcPr>
                <w:p w14:paraId="78B5CA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贮存方式</w:t>
                  </w:r>
                </w:p>
              </w:tc>
              <w:tc>
                <w:tcPr>
                  <w:tcW w:w="746" w:type="dxa"/>
                  <w:tcBorders>
                    <w:tl2br w:val="nil"/>
                    <w:tr2bl w:val="nil"/>
                  </w:tcBorders>
                  <w:shd w:val="clear" w:color="auto" w:fill="auto"/>
                  <w:vAlign w:val="center"/>
                </w:tcPr>
                <w:p w14:paraId="37EC2E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总贮存能力</w:t>
                  </w:r>
                </w:p>
              </w:tc>
              <w:tc>
                <w:tcPr>
                  <w:tcW w:w="531" w:type="dxa"/>
                  <w:tcBorders>
                    <w:tl2br w:val="nil"/>
                    <w:tr2bl w:val="nil"/>
                  </w:tcBorders>
                  <w:vAlign w:val="center"/>
                </w:tcPr>
                <w:p w14:paraId="137C36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贮存周期</w:t>
                  </w:r>
                </w:p>
              </w:tc>
            </w:tr>
            <w:tr w14:paraId="3E944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5" w:type="dxa"/>
                  <w:vMerge w:val="restart"/>
                  <w:tcBorders>
                    <w:tl2br w:val="nil"/>
                    <w:tr2bl w:val="nil"/>
                  </w:tcBorders>
                  <w:vAlign w:val="center"/>
                </w:tcPr>
                <w:p w14:paraId="77FC3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医疗废物贮存点</w:t>
                  </w:r>
                </w:p>
              </w:tc>
              <w:tc>
                <w:tcPr>
                  <w:tcW w:w="463" w:type="dxa"/>
                  <w:vMerge w:val="restart"/>
                  <w:tcBorders>
                    <w:tl2br w:val="nil"/>
                    <w:tr2bl w:val="nil"/>
                  </w:tcBorders>
                  <w:vAlign w:val="center"/>
                </w:tcPr>
                <w:p w14:paraId="63957D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医疗废物</w:t>
                  </w:r>
                </w:p>
              </w:tc>
              <w:tc>
                <w:tcPr>
                  <w:tcW w:w="1035" w:type="dxa"/>
                  <w:tcBorders>
                    <w:tl2br w:val="nil"/>
                    <w:tr2bl w:val="nil"/>
                  </w:tcBorders>
                  <w:shd w:val="clear" w:color="auto" w:fill="auto"/>
                  <w:vAlign w:val="center"/>
                </w:tcPr>
                <w:p w14:paraId="052F40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感染性废物</w:t>
                  </w:r>
                </w:p>
              </w:tc>
              <w:tc>
                <w:tcPr>
                  <w:tcW w:w="644" w:type="dxa"/>
                  <w:vMerge w:val="restart"/>
                  <w:tcBorders>
                    <w:tl2br w:val="nil"/>
                    <w:tr2bl w:val="nil"/>
                  </w:tcBorders>
                  <w:vAlign w:val="center"/>
                </w:tcPr>
                <w:p w14:paraId="4F508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HW01</w:t>
                  </w:r>
                </w:p>
              </w:tc>
              <w:tc>
                <w:tcPr>
                  <w:tcW w:w="1245" w:type="dxa"/>
                  <w:tcBorders>
                    <w:tl2br w:val="nil"/>
                    <w:tr2bl w:val="nil"/>
                  </w:tcBorders>
                  <w:shd w:val="clear" w:color="auto" w:fill="auto"/>
                  <w:vAlign w:val="center"/>
                </w:tcPr>
                <w:p w14:paraId="0C115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841-001-01</w:t>
                  </w:r>
                </w:p>
              </w:tc>
              <w:tc>
                <w:tcPr>
                  <w:tcW w:w="825" w:type="dxa"/>
                  <w:vMerge w:val="restart"/>
                  <w:tcBorders>
                    <w:tl2br w:val="nil"/>
                    <w:tr2bl w:val="nil"/>
                  </w:tcBorders>
                  <w:vAlign w:val="center"/>
                </w:tcPr>
                <w:p w14:paraId="08FBB6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auto"/>
                      <w:sz w:val="21"/>
                      <w:szCs w:val="21"/>
                      <w:highlight w:val="none"/>
                      <w:vertAlign w:val="baseline"/>
                      <w:lang w:val="en-US" w:eastAsia="zh-CN"/>
                    </w:rPr>
                  </w:pPr>
                  <w:r>
                    <w:rPr>
                      <w:rFonts w:hint="default" w:eastAsia="宋体"/>
                      <w:b w:val="0"/>
                      <w:bCs/>
                      <w:color w:val="auto"/>
                      <w:sz w:val="21"/>
                      <w:szCs w:val="21"/>
                      <w:highlight w:val="none"/>
                      <w:vertAlign w:val="baseline"/>
                      <w:lang w:val="en-US" w:eastAsia="zh-CN"/>
                    </w:rPr>
                    <w:t>DR室和手术室中间的</w:t>
                  </w:r>
                  <w:r>
                    <w:rPr>
                      <w:rFonts w:hint="eastAsia"/>
                      <w:b w:val="0"/>
                      <w:bCs/>
                      <w:color w:val="auto"/>
                      <w:sz w:val="21"/>
                      <w:szCs w:val="21"/>
                      <w:highlight w:val="none"/>
                      <w:vertAlign w:val="baseline"/>
                      <w:lang w:val="en-US" w:eastAsia="zh-CN"/>
                    </w:rPr>
                    <w:t>电脑桌</w:t>
                  </w:r>
                  <w:r>
                    <w:rPr>
                      <w:rFonts w:hint="default" w:eastAsia="宋体"/>
                      <w:b w:val="0"/>
                      <w:bCs/>
                      <w:color w:val="auto"/>
                      <w:sz w:val="21"/>
                      <w:szCs w:val="21"/>
                      <w:highlight w:val="none"/>
                      <w:vertAlign w:val="baseline"/>
                      <w:lang w:val="en-US" w:eastAsia="zh-CN"/>
                    </w:rPr>
                    <w:t>下方</w:t>
                  </w:r>
                </w:p>
              </w:tc>
              <w:tc>
                <w:tcPr>
                  <w:tcW w:w="825" w:type="dxa"/>
                  <w:vMerge w:val="restart"/>
                  <w:tcBorders>
                    <w:tl2br w:val="nil"/>
                    <w:tr2bl w:val="nil"/>
                  </w:tcBorders>
                  <w:vAlign w:val="center"/>
                </w:tcPr>
                <w:p w14:paraId="3814B4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1m</w:t>
                  </w:r>
                  <w:r>
                    <w:rPr>
                      <w:rFonts w:hint="eastAsia"/>
                      <w:b w:val="0"/>
                      <w:bCs/>
                      <w:color w:val="auto"/>
                      <w:sz w:val="21"/>
                      <w:szCs w:val="21"/>
                      <w:highlight w:val="none"/>
                      <w:vertAlign w:val="superscript"/>
                      <w:lang w:val="en-US" w:eastAsia="zh-CN"/>
                    </w:rPr>
                    <w:t>2</w:t>
                  </w:r>
                </w:p>
              </w:tc>
              <w:tc>
                <w:tcPr>
                  <w:tcW w:w="1215" w:type="dxa"/>
                  <w:vMerge w:val="restart"/>
                  <w:tcBorders>
                    <w:tl2br w:val="nil"/>
                    <w:tr2bl w:val="nil"/>
                  </w:tcBorders>
                  <w:vAlign w:val="center"/>
                </w:tcPr>
                <w:p w14:paraId="5F5CE3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收集暂存于医疗废物贮存点，定期交</w:t>
                  </w:r>
                  <w:r>
                    <w:rPr>
                      <w:rFonts w:hint="default" w:ascii="Times New Roman" w:hAnsi="Times New Roman" w:cs="Times New Roman"/>
                      <w:b w:val="0"/>
                      <w:bCs/>
                      <w:color w:val="auto"/>
                      <w:sz w:val="21"/>
                      <w:szCs w:val="21"/>
                      <w:highlight w:val="none"/>
                      <w:vertAlign w:val="baseline"/>
                      <w:lang w:eastAsia="zh-CN"/>
                    </w:rPr>
                    <w:t>重庆可厚德环保技术有限公司</w:t>
                  </w:r>
                  <w:r>
                    <w:rPr>
                      <w:rFonts w:hint="eastAsia" w:ascii="Times New Roman" w:hAnsi="Times New Roman" w:cs="Times New Roman"/>
                      <w:b w:val="0"/>
                      <w:bCs/>
                      <w:color w:val="auto"/>
                      <w:sz w:val="21"/>
                      <w:szCs w:val="21"/>
                      <w:highlight w:val="none"/>
                      <w:vertAlign w:val="baseline"/>
                      <w:lang w:val="en-US" w:eastAsia="zh-CN"/>
                    </w:rPr>
                    <w:t>进行处理</w:t>
                  </w:r>
                </w:p>
              </w:tc>
              <w:tc>
                <w:tcPr>
                  <w:tcW w:w="746" w:type="dxa"/>
                  <w:vMerge w:val="restart"/>
                  <w:tcBorders>
                    <w:tl2br w:val="nil"/>
                    <w:tr2bl w:val="nil"/>
                  </w:tcBorders>
                  <w:vAlign w:val="center"/>
                </w:tcPr>
                <w:p w14:paraId="7515FE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0.05t</w:t>
                  </w:r>
                </w:p>
              </w:tc>
              <w:tc>
                <w:tcPr>
                  <w:tcW w:w="531" w:type="dxa"/>
                  <w:vMerge w:val="restart"/>
                  <w:tcBorders>
                    <w:tl2br w:val="nil"/>
                    <w:tr2bl w:val="nil"/>
                  </w:tcBorders>
                  <w:vAlign w:val="center"/>
                </w:tcPr>
                <w:p w14:paraId="4693C2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2d</w:t>
                  </w:r>
                </w:p>
              </w:tc>
            </w:tr>
            <w:tr w14:paraId="1417A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5" w:type="dxa"/>
                  <w:vMerge w:val="continue"/>
                  <w:tcBorders>
                    <w:tl2br w:val="nil"/>
                    <w:tr2bl w:val="nil"/>
                  </w:tcBorders>
                  <w:vAlign w:val="center"/>
                </w:tcPr>
                <w:p w14:paraId="21CA6C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463" w:type="dxa"/>
                  <w:vMerge w:val="continue"/>
                  <w:tcBorders>
                    <w:tl2br w:val="nil"/>
                    <w:tr2bl w:val="nil"/>
                  </w:tcBorders>
                  <w:vAlign w:val="center"/>
                </w:tcPr>
                <w:p w14:paraId="4907D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035" w:type="dxa"/>
                  <w:tcBorders>
                    <w:tl2br w:val="nil"/>
                    <w:tr2bl w:val="nil"/>
                  </w:tcBorders>
                  <w:shd w:val="clear" w:color="auto" w:fill="auto"/>
                  <w:vAlign w:val="center"/>
                </w:tcPr>
                <w:p w14:paraId="3CE17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损伤性废物</w:t>
                  </w:r>
                </w:p>
              </w:tc>
              <w:tc>
                <w:tcPr>
                  <w:tcW w:w="644" w:type="dxa"/>
                  <w:vMerge w:val="continue"/>
                  <w:tcBorders>
                    <w:tl2br w:val="nil"/>
                    <w:tr2bl w:val="nil"/>
                  </w:tcBorders>
                  <w:vAlign w:val="center"/>
                </w:tcPr>
                <w:p w14:paraId="2E13E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45" w:type="dxa"/>
                  <w:tcBorders>
                    <w:tl2br w:val="nil"/>
                    <w:tr2bl w:val="nil"/>
                  </w:tcBorders>
                  <w:shd w:val="clear" w:color="auto" w:fill="auto"/>
                  <w:vAlign w:val="center"/>
                </w:tcPr>
                <w:p w14:paraId="6A111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841-002-01</w:t>
                  </w:r>
                </w:p>
              </w:tc>
              <w:tc>
                <w:tcPr>
                  <w:tcW w:w="825" w:type="dxa"/>
                  <w:vMerge w:val="continue"/>
                  <w:tcBorders>
                    <w:tl2br w:val="nil"/>
                    <w:tr2bl w:val="nil"/>
                  </w:tcBorders>
                  <w:vAlign w:val="center"/>
                </w:tcPr>
                <w:p w14:paraId="413AE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825" w:type="dxa"/>
                  <w:vMerge w:val="continue"/>
                  <w:tcBorders>
                    <w:tl2br w:val="nil"/>
                    <w:tr2bl w:val="nil"/>
                  </w:tcBorders>
                  <w:vAlign w:val="center"/>
                </w:tcPr>
                <w:p w14:paraId="60D7B5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15" w:type="dxa"/>
                  <w:vMerge w:val="continue"/>
                  <w:tcBorders>
                    <w:tl2br w:val="nil"/>
                    <w:tr2bl w:val="nil"/>
                  </w:tcBorders>
                  <w:vAlign w:val="center"/>
                </w:tcPr>
                <w:p w14:paraId="73A7C4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746" w:type="dxa"/>
                  <w:vMerge w:val="continue"/>
                  <w:tcBorders>
                    <w:tl2br w:val="nil"/>
                    <w:tr2bl w:val="nil"/>
                  </w:tcBorders>
                  <w:vAlign w:val="center"/>
                </w:tcPr>
                <w:p w14:paraId="5BD43B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531" w:type="dxa"/>
                  <w:vMerge w:val="continue"/>
                  <w:tcBorders>
                    <w:tl2br w:val="nil"/>
                    <w:tr2bl w:val="nil"/>
                  </w:tcBorders>
                  <w:vAlign w:val="center"/>
                </w:tcPr>
                <w:p w14:paraId="2B394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r>
            <w:tr w14:paraId="36B51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5" w:type="dxa"/>
                  <w:vMerge w:val="continue"/>
                  <w:tcBorders>
                    <w:tl2br w:val="nil"/>
                    <w:tr2bl w:val="nil"/>
                  </w:tcBorders>
                  <w:vAlign w:val="center"/>
                </w:tcPr>
                <w:p w14:paraId="504EA2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463" w:type="dxa"/>
                  <w:vMerge w:val="continue"/>
                  <w:tcBorders>
                    <w:tl2br w:val="nil"/>
                    <w:tr2bl w:val="nil"/>
                  </w:tcBorders>
                  <w:vAlign w:val="center"/>
                </w:tcPr>
                <w:p w14:paraId="42C92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035" w:type="dxa"/>
                  <w:tcBorders>
                    <w:tl2br w:val="nil"/>
                    <w:tr2bl w:val="nil"/>
                  </w:tcBorders>
                  <w:shd w:val="clear" w:color="auto" w:fill="auto"/>
                  <w:vAlign w:val="center"/>
                </w:tcPr>
                <w:p w14:paraId="41355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病理性废物</w:t>
                  </w:r>
                </w:p>
              </w:tc>
              <w:tc>
                <w:tcPr>
                  <w:tcW w:w="644" w:type="dxa"/>
                  <w:vMerge w:val="continue"/>
                  <w:tcBorders>
                    <w:tl2br w:val="nil"/>
                    <w:tr2bl w:val="nil"/>
                  </w:tcBorders>
                  <w:vAlign w:val="center"/>
                </w:tcPr>
                <w:p w14:paraId="5C79B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45" w:type="dxa"/>
                  <w:tcBorders>
                    <w:tl2br w:val="nil"/>
                    <w:tr2bl w:val="nil"/>
                  </w:tcBorders>
                  <w:shd w:val="clear" w:color="auto" w:fill="auto"/>
                  <w:vAlign w:val="center"/>
                </w:tcPr>
                <w:p w14:paraId="4EA9B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841-003-01</w:t>
                  </w:r>
                </w:p>
              </w:tc>
              <w:tc>
                <w:tcPr>
                  <w:tcW w:w="825" w:type="dxa"/>
                  <w:vMerge w:val="continue"/>
                  <w:tcBorders>
                    <w:tl2br w:val="nil"/>
                    <w:tr2bl w:val="nil"/>
                  </w:tcBorders>
                  <w:vAlign w:val="center"/>
                </w:tcPr>
                <w:p w14:paraId="6BDF11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825" w:type="dxa"/>
                  <w:vMerge w:val="continue"/>
                  <w:tcBorders>
                    <w:tl2br w:val="nil"/>
                    <w:tr2bl w:val="nil"/>
                  </w:tcBorders>
                  <w:vAlign w:val="center"/>
                </w:tcPr>
                <w:p w14:paraId="25E4E8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15" w:type="dxa"/>
                  <w:vMerge w:val="continue"/>
                  <w:tcBorders>
                    <w:tl2br w:val="nil"/>
                    <w:tr2bl w:val="nil"/>
                  </w:tcBorders>
                  <w:vAlign w:val="center"/>
                </w:tcPr>
                <w:p w14:paraId="4C1C12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746" w:type="dxa"/>
                  <w:vMerge w:val="continue"/>
                  <w:tcBorders>
                    <w:tl2br w:val="nil"/>
                    <w:tr2bl w:val="nil"/>
                  </w:tcBorders>
                  <w:vAlign w:val="center"/>
                </w:tcPr>
                <w:p w14:paraId="49E447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531" w:type="dxa"/>
                  <w:vMerge w:val="continue"/>
                  <w:tcBorders>
                    <w:tl2br w:val="nil"/>
                    <w:tr2bl w:val="nil"/>
                  </w:tcBorders>
                  <w:vAlign w:val="center"/>
                </w:tcPr>
                <w:p w14:paraId="488158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r>
            <w:tr w14:paraId="2C4FB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5" w:type="dxa"/>
                  <w:vMerge w:val="continue"/>
                  <w:tcBorders>
                    <w:tl2br w:val="nil"/>
                    <w:tr2bl w:val="nil"/>
                  </w:tcBorders>
                  <w:vAlign w:val="center"/>
                </w:tcPr>
                <w:p w14:paraId="515AF7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463" w:type="dxa"/>
                  <w:vMerge w:val="continue"/>
                  <w:tcBorders>
                    <w:tl2br w:val="nil"/>
                    <w:tr2bl w:val="nil"/>
                  </w:tcBorders>
                  <w:vAlign w:val="center"/>
                </w:tcPr>
                <w:p w14:paraId="5426C0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035" w:type="dxa"/>
                  <w:tcBorders>
                    <w:tl2br w:val="nil"/>
                    <w:tr2bl w:val="nil"/>
                  </w:tcBorders>
                  <w:shd w:val="clear" w:color="auto" w:fill="auto"/>
                  <w:vAlign w:val="center"/>
                </w:tcPr>
                <w:p w14:paraId="6B0706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药理性废物</w:t>
                  </w:r>
                </w:p>
              </w:tc>
              <w:tc>
                <w:tcPr>
                  <w:tcW w:w="644" w:type="dxa"/>
                  <w:vMerge w:val="continue"/>
                  <w:tcBorders>
                    <w:tl2br w:val="nil"/>
                    <w:tr2bl w:val="nil"/>
                  </w:tcBorders>
                  <w:vAlign w:val="center"/>
                </w:tcPr>
                <w:p w14:paraId="5293AE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45" w:type="dxa"/>
                  <w:tcBorders>
                    <w:tl2br w:val="nil"/>
                    <w:tr2bl w:val="nil"/>
                  </w:tcBorders>
                  <w:shd w:val="clear" w:color="auto" w:fill="auto"/>
                  <w:vAlign w:val="center"/>
                </w:tcPr>
                <w:p w14:paraId="4BC1BD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841-004-01</w:t>
                  </w:r>
                </w:p>
              </w:tc>
              <w:tc>
                <w:tcPr>
                  <w:tcW w:w="825" w:type="dxa"/>
                  <w:vMerge w:val="continue"/>
                  <w:tcBorders>
                    <w:tl2br w:val="nil"/>
                    <w:tr2bl w:val="nil"/>
                  </w:tcBorders>
                  <w:vAlign w:val="center"/>
                </w:tcPr>
                <w:p w14:paraId="353A5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825" w:type="dxa"/>
                  <w:vMerge w:val="continue"/>
                  <w:tcBorders>
                    <w:tl2br w:val="nil"/>
                    <w:tr2bl w:val="nil"/>
                  </w:tcBorders>
                  <w:vAlign w:val="center"/>
                </w:tcPr>
                <w:p w14:paraId="7204DD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15" w:type="dxa"/>
                  <w:vMerge w:val="continue"/>
                  <w:tcBorders>
                    <w:tl2br w:val="nil"/>
                    <w:tr2bl w:val="nil"/>
                  </w:tcBorders>
                  <w:vAlign w:val="center"/>
                </w:tcPr>
                <w:p w14:paraId="2C0FA4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746" w:type="dxa"/>
                  <w:vMerge w:val="continue"/>
                  <w:tcBorders>
                    <w:tl2br w:val="nil"/>
                    <w:tr2bl w:val="nil"/>
                  </w:tcBorders>
                  <w:vAlign w:val="center"/>
                </w:tcPr>
                <w:p w14:paraId="4DC26D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531" w:type="dxa"/>
                  <w:vMerge w:val="continue"/>
                  <w:tcBorders>
                    <w:tl2br w:val="nil"/>
                    <w:tr2bl w:val="nil"/>
                  </w:tcBorders>
                  <w:vAlign w:val="center"/>
                </w:tcPr>
                <w:p w14:paraId="65F53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r>
            <w:tr w14:paraId="0CB97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5" w:type="dxa"/>
                  <w:vMerge w:val="continue"/>
                  <w:tcBorders>
                    <w:tl2br w:val="nil"/>
                    <w:tr2bl w:val="nil"/>
                  </w:tcBorders>
                  <w:vAlign w:val="center"/>
                </w:tcPr>
                <w:p w14:paraId="48296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463" w:type="dxa"/>
                  <w:vMerge w:val="continue"/>
                  <w:tcBorders>
                    <w:tl2br w:val="nil"/>
                    <w:tr2bl w:val="nil"/>
                  </w:tcBorders>
                  <w:vAlign w:val="center"/>
                </w:tcPr>
                <w:p w14:paraId="72AA96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035" w:type="dxa"/>
                  <w:tcBorders>
                    <w:tl2br w:val="nil"/>
                    <w:tr2bl w:val="nil"/>
                  </w:tcBorders>
                  <w:shd w:val="clear" w:color="auto" w:fill="auto"/>
                  <w:vAlign w:val="center"/>
                </w:tcPr>
                <w:p w14:paraId="640590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化学性废物</w:t>
                  </w:r>
                </w:p>
              </w:tc>
              <w:tc>
                <w:tcPr>
                  <w:tcW w:w="644" w:type="dxa"/>
                  <w:vMerge w:val="continue"/>
                  <w:tcBorders>
                    <w:tl2br w:val="nil"/>
                    <w:tr2bl w:val="nil"/>
                  </w:tcBorders>
                  <w:vAlign w:val="center"/>
                </w:tcPr>
                <w:p w14:paraId="71DD88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45" w:type="dxa"/>
                  <w:tcBorders>
                    <w:tl2br w:val="nil"/>
                    <w:tr2bl w:val="nil"/>
                  </w:tcBorders>
                  <w:shd w:val="clear" w:color="auto" w:fill="auto"/>
                  <w:vAlign w:val="center"/>
                </w:tcPr>
                <w:p w14:paraId="51CC0C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sz w:val="21"/>
                      <w:szCs w:val="21"/>
                      <w:highlight w:val="none"/>
                      <w:vertAlign w:val="baseline"/>
                      <w:lang w:val="en-US" w:eastAsia="zh-CN"/>
                    </w:rPr>
                    <w:t>841-005-01</w:t>
                  </w:r>
                </w:p>
              </w:tc>
              <w:tc>
                <w:tcPr>
                  <w:tcW w:w="825" w:type="dxa"/>
                  <w:vMerge w:val="continue"/>
                  <w:tcBorders>
                    <w:tl2br w:val="nil"/>
                    <w:tr2bl w:val="nil"/>
                  </w:tcBorders>
                  <w:vAlign w:val="center"/>
                </w:tcPr>
                <w:p w14:paraId="195A0A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825" w:type="dxa"/>
                  <w:vMerge w:val="continue"/>
                  <w:tcBorders>
                    <w:tl2br w:val="nil"/>
                    <w:tr2bl w:val="nil"/>
                  </w:tcBorders>
                  <w:vAlign w:val="center"/>
                </w:tcPr>
                <w:p w14:paraId="6AEB01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15" w:type="dxa"/>
                  <w:vMerge w:val="continue"/>
                  <w:tcBorders>
                    <w:tl2br w:val="nil"/>
                    <w:tr2bl w:val="nil"/>
                  </w:tcBorders>
                  <w:vAlign w:val="center"/>
                </w:tcPr>
                <w:p w14:paraId="7D71F6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746" w:type="dxa"/>
                  <w:vMerge w:val="continue"/>
                  <w:tcBorders>
                    <w:tl2br w:val="nil"/>
                    <w:tr2bl w:val="nil"/>
                  </w:tcBorders>
                  <w:vAlign w:val="center"/>
                </w:tcPr>
                <w:p w14:paraId="3C6E6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531" w:type="dxa"/>
                  <w:vMerge w:val="continue"/>
                  <w:tcBorders>
                    <w:tl2br w:val="nil"/>
                    <w:tr2bl w:val="nil"/>
                  </w:tcBorders>
                  <w:vAlign w:val="center"/>
                </w:tcPr>
                <w:p w14:paraId="71A46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r>
            <w:tr w14:paraId="1A57B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5" w:type="dxa"/>
                  <w:vMerge w:val="continue"/>
                  <w:tcBorders>
                    <w:tl2br w:val="nil"/>
                    <w:tr2bl w:val="nil"/>
                  </w:tcBorders>
                  <w:vAlign w:val="center"/>
                </w:tcPr>
                <w:p w14:paraId="7B158A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498" w:type="dxa"/>
                  <w:gridSpan w:val="2"/>
                  <w:tcBorders>
                    <w:tl2br w:val="nil"/>
                    <w:tr2bl w:val="nil"/>
                  </w:tcBorders>
                  <w:vAlign w:val="center"/>
                </w:tcPr>
                <w:p w14:paraId="2DC912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r>
                    <w:rPr>
                      <w:rFonts w:hint="eastAsia"/>
                      <w:b w:val="0"/>
                      <w:bCs/>
                      <w:color w:val="auto"/>
                      <w:sz w:val="21"/>
                      <w:szCs w:val="21"/>
                      <w:highlight w:val="none"/>
                      <w:vertAlign w:val="baseline"/>
                      <w:lang w:eastAsia="zh-CN"/>
                    </w:rPr>
                    <w:t>废紫外线灯管</w:t>
                  </w:r>
                </w:p>
              </w:tc>
              <w:tc>
                <w:tcPr>
                  <w:tcW w:w="644" w:type="dxa"/>
                  <w:tcBorders>
                    <w:tl2br w:val="nil"/>
                    <w:tr2bl w:val="nil"/>
                  </w:tcBorders>
                  <w:vAlign w:val="center"/>
                </w:tcPr>
                <w:p w14:paraId="295B5D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HW29</w:t>
                  </w:r>
                </w:p>
              </w:tc>
              <w:tc>
                <w:tcPr>
                  <w:tcW w:w="1245" w:type="dxa"/>
                  <w:tcBorders>
                    <w:tl2br w:val="nil"/>
                    <w:tr2bl w:val="nil"/>
                  </w:tcBorders>
                  <w:vAlign w:val="center"/>
                </w:tcPr>
                <w:p w14:paraId="226EE4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r>
                    <w:rPr>
                      <w:rFonts w:hint="eastAsia"/>
                      <w:b w:val="0"/>
                      <w:bCs/>
                      <w:color w:val="auto"/>
                      <w:sz w:val="21"/>
                      <w:szCs w:val="21"/>
                      <w:highlight w:val="none"/>
                      <w:vertAlign w:val="baseline"/>
                      <w:lang w:eastAsia="zh-CN"/>
                    </w:rPr>
                    <w:t>900-023-29</w:t>
                  </w:r>
                </w:p>
              </w:tc>
              <w:tc>
                <w:tcPr>
                  <w:tcW w:w="825" w:type="dxa"/>
                  <w:vMerge w:val="continue"/>
                  <w:tcBorders>
                    <w:tl2br w:val="nil"/>
                    <w:tr2bl w:val="nil"/>
                  </w:tcBorders>
                  <w:vAlign w:val="center"/>
                </w:tcPr>
                <w:p w14:paraId="3A33A9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825" w:type="dxa"/>
                  <w:vMerge w:val="continue"/>
                  <w:tcBorders>
                    <w:tl2br w:val="nil"/>
                    <w:tr2bl w:val="nil"/>
                  </w:tcBorders>
                  <w:vAlign w:val="center"/>
                </w:tcPr>
                <w:p w14:paraId="6C401D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1215" w:type="dxa"/>
                  <w:tcBorders>
                    <w:tl2br w:val="nil"/>
                    <w:tr2bl w:val="nil"/>
                  </w:tcBorders>
                  <w:vAlign w:val="center"/>
                </w:tcPr>
                <w:p w14:paraId="68F300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r>
                    <w:rPr>
                      <w:rFonts w:hint="eastAsia"/>
                      <w:b w:val="0"/>
                      <w:bCs/>
                      <w:color w:val="auto"/>
                      <w:sz w:val="21"/>
                      <w:szCs w:val="21"/>
                      <w:highlight w:val="none"/>
                      <w:vertAlign w:val="baseline"/>
                      <w:lang w:eastAsia="zh-CN"/>
                    </w:rPr>
                    <w:t>暂存于危废袋内，放置于收集桶内</w:t>
                  </w:r>
                </w:p>
              </w:tc>
              <w:tc>
                <w:tcPr>
                  <w:tcW w:w="746" w:type="dxa"/>
                  <w:vMerge w:val="continue"/>
                  <w:tcBorders>
                    <w:tl2br w:val="nil"/>
                    <w:tr2bl w:val="nil"/>
                  </w:tcBorders>
                  <w:vAlign w:val="center"/>
                </w:tcPr>
                <w:p w14:paraId="2FD22B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c>
                <w:tcPr>
                  <w:tcW w:w="531" w:type="dxa"/>
                  <w:vMerge w:val="continue"/>
                  <w:tcBorders>
                    <w:tl2br w:val="nil"/>
                    <w:tr2bl w:val="nil"/>
                  </w:tcBorders>
                  <w:vAlign w:val="center"/>
                </w:tcPr>
                <w:p w14:paraId="5EE21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highlight w:val="none"/>
                      <w:vertAlign w:val="baseline"/>
                      <w:lang w:eastAsia="zh-CN"/>
                    </w:rPr>
                  </w:pPr>
                </w:p>
              </w:tc>
            </w:tr>
          </w:tbl>
          <w:p w14:paraId="332C7A7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经上述措施妥善处置后，固体废物对环境的影响较小。</w:t>
            </w:r>
          </w:p>
          <w:p w14:paraId="15E2167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val="0"/>
                <w:color w:val="auto"/>
                <w:sz w:val="24"/>
                <w:highlight w:val="none"/>
                <w:lang w:eastAsia="zh-CN"/>
              </w:rPr>
            </w:pPr>
            <w:r>
              <w:rPr>
                <w:rFonts w:hint="eastAsia"/>
                <w:b/>
                <w:bCs w:val="0"/>
                <w:color w:val="auto"/>
                <w:sz w:val="24"/>
                <w:highlight w:val="none"/>
                <w:lang w:eastAsia="zh-CN"/>
              </w:rPr>
              <w:t>4.2.</w:t>
            </w:r>
            <w:r>
              <w:rPr>
                <w:rFonts w:hint="eastAsia"/>
                <w:b/>
                <w:bCs w:val="0"/>
                <w:color w:val="auto"/>
                <w:sz w:val="24"/>
                <w:highlight w:val="none"/>
                <w:lang w:val="en-US" w:eastAsia="zh-CN"/>
              </w:rPr>
              <w:t>5</w:t>
            </w:r>
            <w:r>
              <w:rPr>
                <w:rFonts w:hint="eastAsia"/>
                <w:b/>
                <w:bCs w:val="0"/>
                <w:color w:val="auto"/>
                <w:sz w:val="24"/>
                <w:highlight w:val="none"/>
                <w:lang w:eastAsia="zh-CN"/>
              </w:rPr>
              <w:t xml:space="preserve"> 环境风险</w:t>
            </w:r>
          </w:p>
          <w:p w14:paraId="2653B95C">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b/>
                <w:bCs w:val="0"/>
                <w:color w:val="auto"/>
                <w:sz w:val="24"/>
                <w:highlight w:val="none"/>
                <w:lang w:eastAsia="zh-CN"/>
              </w:rPr>
            </w:pPr>
            <w:r>
              <w:rPr>
                <w:rFonts w:hint="eastAsia"/>
                <w:b/>
                <w:bCs w:val="0"/>
                <w:color w:val="auto"/>
                <w:sz w:val="24"/>
                <w:highlight w:val="none"/>
                <w:lang w:eastAsia="zh-CN"/>
              </w:rPr>
              <w:t>4.2.</w:t>
            </w:r>
            <w:r>
              <w:rPr>
                <w:rFonts w:hint="eastAsia"/>
                <w:b/>
                <w:bCs w:val="0"/>
                <w:color w:val="auto"/>
                <w:sz w:val="24"/>
                <w:highlight w:val="none"/>
                <w:lang w:val="en-US" w:eastAsia="zh-CN"/>
              </w:rPr>
              <w:t>5</w:t>
            </w:r>
            <w:r>
              <w:rPr>
                <w:rFonts w:hint="eastAsia"/>
                <w:b/>
                <w:bCs w:val="0"/>
                <w:color w:val="auto"/>
                <w:sz w:val="24"/>
                <w:highlight w:val="none"/>
                <w:lang w:eastAsia="zh-CN"/>
              </w:rPr>
              <w:t>.1 环境风险物质及风险源分布</w:t>
            </w:r>
          </w:p>
          <w:p w14:paraId="443177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highlight w:val="none"/>
                <w:lang w:eastAsia="zh-CN"/>
              </w:rPr>
            </w:pPr>
            <w:r>
              <w:rPr>
                <w:rFonts w:hint="eastAsia"/>
                <w:b w:val="0"/>
                <w:bCs/>
                <w:color w:val="auto"/>
                <w:sz w:val="24"/>
                <w:highlight w:val="none"/>
                <w:lang w:eastAsia="zh-CN"/>
              </w:rPr>
              <w:t>按照《建设项目环境风险评价技术导则》（HJ169-2018）附录B</w:t>
            </w:r>
            <w:r>
              <w:rPr>
                <w:rFonts w:hint="eastAsia"/>
                <w:b w:val="0"/>
                <w:bCs/>
                <w:color w:val="auto"/>
                <w:sz w:val="24"/>
                <w:highlight w:val="none"/>
                <w:lang w:val="en-US" w:eastAsia="zh-CN"/>
              </w:rPr>
              <w:t>，</w:t>
            </w:r>
            <w:r>
              <w:rPr>
                <w:rFonts w:hint="eastAsia"/>
                <w:b w:val="0"/>
                <w:bCs/>
                <w:color w:val="auto"/>
                <w:sz w:val="24"/>
                <w:highlight w:val="none"/>
                <w:lang w:eastAsia="zh-CN"/>
              </w:rPr>
              <w:t>项目风险物质及储存量见下表。</w:t>
            </w:r>
          </w:p>
          <w:p w14:paraId="06F991F6">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b w:val="0"/>
                <w:bCs/>
                <w:color w:val="auto"/>
                <w:sz w:val="21"/>
                <w:szCs w:val="21"/>
                <w:highlight w:val="none"/>
                <w:lang w:eastAsia="zh-CN"/>
              </w:rPr>
            </w:pPr>
            <w:r>
              <w:rPr>
                <w:rFonts w:hint="eastAsia"/>
                <w:b w:val="0"/>
                <w:bCs/>
                <w:color w:val="auto"/>
                <w:sz w:val="21"/>
                <w:szCs w:val="21"/>
                <w:highlight w:val="none"/>
                <w:lang w:eastAsia="zh-CN"/>
              </w:rPr>
              <w:t>表4.2-</w:t>
            </w:r>
            <w:r>
              <w:rPr>
                <w:rFonts w:hint="eastAsia"/>
                <w:b w:val="0"/>
                <w:bCs/>
                <w:color w:val="auto"/>
                <w:sz w:val="21"/>
                <w:szCs w:val="21"/>
                <w:highlight w:val="none"/>
                <w:lang w:val="en-US" w:eastAsia="zh-CN"/>
              </w:rPr>
              <w:t>14</w:t>
            </w:r>
            <w:r>
              <w:rPr>
                <w:rFonts w:hint="eastAsia"/>
                <w:b w:val="0"/>
                <w:bCs/>
                <w:color w:val="auto"/>
                <w:sz w:val="21"/>
                <w:szCs w:val="21"/>
                <w:highlight w:val="none"/>
                <w:lang w:eastAsia="zh-CN"/>
              </w:rPr>
              <w:t xml:space="preserve"> 项目风险物质储存情况见下表</w:t>
            </w:r>
          </w:p>
          <w:tbl>
            <w:tblPr>
              <w:tblStyle w:val="22"/>
              <w:tblW w:w="8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796"/>
              <w:gridCol w:w="1718"/>
              <w:gridCol w:w="2085"/>
            </w:tblGrid>
            <w:tr w14:paraId="3CE35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3" w:type="dxa"/>
                  <w:tcBorders>
                    <w:tl2br w:val="nil"/>
                    <w:tr2bl w:val="nil"/>
                  </w:tcBorders>
                  <w:vAlign w:val="center"/>
                </w:tcPr>
                <w:p w14:paraId="602712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序号</w:t>
                  </w:r>
                </w:p>
              </w:tc>
              <w:tc>
                <w:tcPr>
                  <w:tcW w:w="3796" w:type="dxa"/>
                  <w:tcBorders>
                    <w:tl2br w:val="nil"/>
                    <w:tr2bl w:val="nil"/>
                  </w:tcBorders>
                  <w:vAlign w:val="center"/>
                </w:tcPr>
                <w:p w14:paraId="44B246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名称</w:t>
                  </w:r>
                </w:p>
              </w:tc>
              <w:tc>
                <w:tcPr>
                  <w:tcW w:w="1718" w:type="dxa"/>
                  <w:tcBorders>
                    <w:tl2br w:val="nil"/>
                    <w:tr2bl w:val="nil"/>
                  </w:tcBorders>
                  <w:vAlign w:val="center"/>
                </w:tcPr>
                <w:p w14:paraId="22D3F8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储存位置</w:t>
                  </w:r>
                </w:p>
              </w:tc>
              <w:tc>
                <w:tcPr>
                  <w:tcW w:w="2085" w:type="dxa"/>
                  <w:tcBorders>
                    <w:tl2br w:val="nil"/>
                    <w:tr2bl w:val="nil"/>
                  </w:tcBorders>
                  <w:vAlign w:val="center"/>
                </w:tcPr>
                <w:p w14:paraId="3E053E5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最大储存量（t）</w:t>
                  </w:r>
                </w:p>
              </w:tc>
            </w:tr>
            <w:tr w14:paraId="0137B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3" w:type="dxa"/>
                  <w:tcBorders>
                    <w:tl2br w:val="nil"/>
                    <w:tr2bl w:val="nil"/>
                  </w:tcBorders>
                  <w:vAlign w:val="center"/>
                </w:tcPr>
                <w:p w14:paraId="390849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w:t>
                  </w:r>
                </w:p>
              </w:tc>
              <w:tc>
                <w:tcPr>
                  <w:tcW w:w="3796" w:type="dxa"/>
                  <w:tcBorders>
                    <w:tl2br w:val="nil"/>
                    <w:tr2bl w:val="nil"/>
                  </w:tcBorders>
                  <w:shd w:val="clear" w:color="auto" w:fill="auto"/>
                  <w:vAlign w:val="center"/>
                </w:tcPr>
                <w:p w14:paraId="5144973C">
                  <w:pPr>
                    <w:pStyle w:val="52"/>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kern w:val="2"/>
                      <w:sz w:val="21"/>
                      <w:szCs w:val="21"/>
                      <w:lang w:val="en-US" w:eastAsia="zh-CN" w:bidi="ar-SA"/>
                    </w:rPr>
                    <w:t>新洁尔灭（苯扎溴铵）</w:t>
                  </w:r>
                </w:p>
              </w:tc>
              <w:tc>
                <w:tcPr>
                  <w:tcW w:w="1718" w:type="dxa"/>
                  <w:tcBorders>
                    <w:tl2br w:val="nil"/>
                    <w:tr2bl w:val="nil"/>
                  </w:tcBorders>
                  <w:shd w:val="clear" w:color="auto" w:fill="auto"/>
                  <w:vAlign w:val="center"/>
                </w:tcPr>
                <w:p w14:paraId="6F90A26C">
                  <w:pPr>
                    <w:pStyle w:val="52"/>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药房</w:t>
                  </w:r>
                </w:p>
              </w:tc>
              <w:tc>
                <w:tcPr>
                  <w:tcW w:w="2085" w:type="dxa"/>
                  <w:tcBorders>
                    <w:tl2br w:val="nil"/>
                    <w:tr2bl w:val="nil"/>
                  </w:tcBorders>
                  <w:shd w:val="clear" w:color="auto" w:fill="auto"/>
                  <w:vAlign w:val="center"/>
                </w:tcPr>
                <w:p w14:paraId="41362E48">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0.004925</w:t>
                  </w:r>
                </w:p>
              </w:tc>
            </w:tr>
            <w:tr w14:paraId="2674A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3" w:type="dxa"/>
                  <w:tcBorders>
                    <w:tl2br w:val="nil"/>
                    <w:tr2bl w:val="nil"/>
                  </w:tcBorders>
                  <w:vAlign w:val="center"/>
                </w:tcPr>
                <w:p w14:paraId="28DDFA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2</w:t>
                  </w:r>
                </w:p>
              </w:tc>
              <w:tc>
                <w:tcPr>
                  <w:tcW w:w="3796" w:type="dxa"/>
                  <w:tcBorders>
                    <w:tl2br w:val="nil"/>
                    <w:tr2bl w:val="nil"/>
                  </w:tcBorders>
                  <w:shd w:val="clear" w:color="auto" w:fill="auto"/>
                  <w:vAlign w:val="center"/>
                </w:tcPr>
                <w:p w14:paraId="6D5AD806">
                  <w:pPr>
                    <w:pStyle w:val="52"/>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b w:val="0"/>
                      <w:bCs/>
                      <w:snapToGrid w:val="0"/>
                      <w:color w:val="auto"/>
                      <w:kern w:val="2"/>
                      <w:sz w:val="21"/>
                      <w:szCs w:val="21"/>
                      <w:lang w:val="en-US" w:eastAsia="zh-CN" w:bidi="ar-SA"/>
                    </w:rPr>
                  </w:pPr>
                  <w:r>
                    <w:rPr>
                      <w:rFonts w:hint="eastAsia" w:ascii="Times New Roman" w:hAnsi="Times New Roman" w:eastAsia="宋体" w:cs="Times New Roman"/>
                      <w:b w:val="0"/>
                      <w:bCs/>
                      <w:snapToGrid w:val="0"/>
                      <w:color w:val="auto"/>
                      <w:kern w:val="2"/>
                      <w:sz w:val="21"/>
                      <w:szCs w:val="21"/>
                      <w:lang w:val="en-US" w:eastAsia="zh-CN" w:bidi="ar-SA"/>
                    </w:rPr>
                    <w:t>医用酒精</w:t>
                  </w:r>
                  <w:r>
                    <w:rPr>
                      <w:rFonts w:hint="eastAsia" w:cs="Times New Roman"/>
                      <w:b w:val="0"/>
                      <w:bCs/>
                      <w:snapToGrid w:val="0"/>
                      <w:color w:val="auto"/>
                      <w:kern w:val="2"/>
                      <w:sz w:val="21"/>
                      <w:szCs w:val="21"/>
                      <w:lang w:val="en-US" w:eastAsia="zh-CN" w:bidi="ar-SA"/>
                    </w:rPr>
                    <w:t>（乙醇）</w:t>
                  </w:r>
                </w:p>
              </w:tc>
              <w:tc>
                <w:tcPr>
                  <w:tcW w:w="1718" w:type="dxa"/>
                  <w:tcBorders>
                    <w:tl2br w:val="nil"/>
                    <w:tr2bl w:val="nil"/>
                  </w:tcBorders>
                  <w:shd w:val="clear" w:color="auto" w:fill="auto"/>
                  <w:vAlign w:val="center"/>
                </w:tcPr>
                <w:p w14:paraId="5A44C303">
                  <w:pPr>
                    <w:pStyle w:val="52"/>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药房</w:t>
                  </w:r>
                </w:p>
              </w:tc>
              <w:tc>
                <w:tcPr>
                  <w:tcW w:w="2085" w:type="dxa"/>
                  <w:tcBorders>
                    <w:tl2br w:val="nil"/>
                    <w:tr2bl w:val="nil"/>
                  </w:tcBorders>
                  <w:shd w:val="clear" w:color="auto" w:fill="auto"/>
                  <w:vAlign w:val="center"/>
                </w:tcPr>
                <w:p w14:paraId="3F356F7A">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0</w:t>
                  </w:r>
                  <w:r>
                    <w:rPr>
                      <w:rFonts w:hint="eastAsia" w:cs="Times New Roman"/>
                      <w:b w:val="0"/>
                      <w:bCs/>
                      <w:snapToGrid w:val="0"/>
                      <w:color w:val="auto"/>
                      <w:kern w:val="2"/>
                      <w:sz w:val="21"/>
                      <w:szCs w:val="21"/>
                      <w:highlight w:val="none"/>
                      <w:lang w:val="en-US" w:eastAsia="zh-CN" w:bidi="ar-SA"/>
                    </w:rPr>
                    <w:t>.</w:t>
                  </w:r>
                  <w:r>
                    <w:rPr>
                      <w:rFonts w:hint="eastAsia" w:ascii="Times New Roman" w:hAnsi="Times New Roman" w:eastAsia="宋体" w:cs="Times New Roman"/>
                      <w:b w:val="0"/>
                      <w:bCs/>
                      <w:snapToGrid w:val="0"/>
                      <w:color w:val="auto"/>
                      <w:kern w:val="2"/>
                      <w:sz w:val="21"/>
                      <w:szCs w:val="21"/>
                      <w:highlight w:val="none"/>
                      <w:lang w:val="en-US" w:eastAsia="zh-CN" w:bidi="ar-SA"/>
                    </w:rPr>
                    <w:t>0</w:t>
                  </w:r>
                  <w:r>
                    <w:rPr>
                      <w:rFonts w:hint="eastAsia" w:cs="Times New Roman"/>
                      <w:b w:val="0"/>
                      <w:bCs/>
                      <w:snapToGrid w:val="0"/>
                      <w:color w:val="auto"/>
                      <w:kern w:val="2"/>
                      <w:sz w:val="21"/>
                      <w:szCs w:val="21"/>
                      <w:highlight w:val="none"/>
                      <w:lang w:val="en-US" w:eastAsia="zh-CN" w:bidi="ar-SA"/>
                    </w:rPr>
                    <w:t>085</w:t>
                  </w:r>
                </w:p>
              </w:tc>
            </w:tr>
            <w:tr w14:paraId="5795C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3" w:type="dxa"/>
                  <w:tcBorders>
                    <w:tl2br w:val="nil"/>
                    <w:tr2bl w:val="nil"/>
                  </w:tcBorders>
                  <w:vAlign w:val="center"/>
                </w:tcPr>
                <w:p w14:paraId="0C39BC0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3</w:t>
                  </w:r>
                </w:p>
              </w:tc>
              <w:tc>
                <w:tcPr>
                  <w:tcW w:w="3796" w:type="dxa"/>
                  <w:tcBorders>
                    <w:tl2br w:val="nil"/>
                    <w:tr2bl w:val="nil"/>
                  </w:tcBorders>
                  <w:shd w:val="clear" w:color="auto" w:fill="auto"/>
                  <w:vAlign w:val="center"/>
                </w:tcPr>
                <w:p w14:paraId="0234E51D">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二氧化氯消毒片（二氧化氯）</w:t>
                  </w:r>
                </w:p>
              </w:tc>
              <w:tc>
                <w:tcPr>
                  <w:tcW w:w="1718" w:type="dxa"/>
                  <w:tcBorders>
                    <w:tl2br w:val="nil"/>
                    <w:tr2bl w:val="nil"/>
                  </w:tcBorders>
                  <w:shd w:val="clear" w:color="auto" w:fill="auto"/>
                  <w:vAlign w:val="center"/>
                </w:tcPr>
                <w:p w14:paraId="7F9EAD0A">
                  <w:pPr>
                    <w:pStyle w:val="52"/>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药房</w:t>
                  </w:r>
                </w:p>
              </w:tc>
              <w:tc>
                <w:tcPr>
                  <w:tcW w:w="2085" w:type="dxa"/>
                  <w:tcBorders>
                    <w:tl2br w:val="nil"/>
                    <w:tr2bl w:val="nil"/>
                  </w:tcBorders>
                  <w:shd w:val="clear" w:color="auto" w:fill="auto"/>
                  <w:vAlign w:val="center"/>
                </w:tcPr>
                <w:p w14:paraId="2113B8AE">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0.002</w:t>
                  </w:r>
                </w:p>
              </w:tc>
            </w:tr>
            <w:tr w14:paraId="4E409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3" w:type="dxa"/>
                  <w:tcBorders>
                    <w:tl2br w:val="nil"/>
                    <w:tr2bl w:val="nil"/>
                  </w:tcBorders>
                  <w:vAlign w:val="center"/>
                </w:tcPr>
                <w:p w14:paraId="345304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4</w:t>
                  </w:r>
                </w:p>
              </w:tc>
              <w:tc>
                <w:tcPr>
                  <w:tcW w:w="3796" w:type="dxa"/>
                  <w:tcBorders>
                    <w:tl2br w:val="nil"/>
                    <w:tr2bl w:val="nil"/>
                  </w:tcBorders>
                  <w:shd w:val="clear" w:color="auto" w:fill="auto"/>
                  <w:vAlign w:val="center"/>
                </w:tcPr>
                <w:p w14:paraId="32FCB173">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lang w:val="en-US" w:eastAsia="zh-CN" w:bidi="ar-SA"/>
                    </w:rPr>
                    <w:t>84消毒液</w:t>
                  </w:r>
                  <w:r>
                    <w:rPr>
                      <w:rFonts w:hint="eastAsia" w:cs="Times New Roman"/>
                      <w:b w:val="0"/>
                      <w:bCs/>
                      <w:color w:val="auto"/>
                      <w:kern w:val="2"/>
                      <w:sz w:val="21"/>
                      <w:szCs w:val="21"/>
                      <w:highlight w:val="none"/>
                      <w:lang w:val="en-US" w:eastAsia="zh-CN" w:bidi="ar-SA"/>
                    </w:rPr>
                    <w:t>（次氯酸钠）</w:t>
                  </w:r>
                </w:p>
              </w:tc>
              <w:tc>
                <w:tcPr>
                  <w:tcW w:w="1718" w:type="dxa"/>
                  <w:tcBorders>
                    <w:tl2br w:val="nil"/>
                    <w:tr2bl w:val="nil"/>
                  </w:tcBorders>
                  <w:shd w:val="clear" w:color="auto" w:fill="auto"/>
                  <w:vAlign w:val="center"/>
                </w:tcPr>
                <w:p w14:paraId="44D1A576">
                  <w:pPr>
                    <w:pStyle w:val="52"/>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药房</w:t>
                  </w:r>
                </w:p>
              </w:tc>
              <w:tc>
                <w:tcPr>
                  <w:tcW w:w="2085" w:type="dxa"/>
                  <w:tcBorders>
                    <w:tl2br w:val="nil"/>
                    <w:tr2bl w:val="nil"/>
                  </w:tcBorders>
                  <w:shd w:val="clear" w:color="auto" w:fill="auto"/>
                  <w:vAlign w:val="center"/>
                </w:tcPr>
                <w:p w14:paraId="2B0B97B8">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0.013065</w:t>
                  </w:r>
                </w:p>
              </w:tc>
            </w:tr>
            <w:tr w14:paraId="04F19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3" w:type="dxa"/>
                  <w:vAlign w:val="center"/>
                </w:tcPr>
                <w:p w14:paraId="615691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5</w:t>
                  </w:r>
                </w:p>
              </w:tc>
              <w:tc>
                <w:tcPr>
                  <w:tcW w:w="3796" w:type="dxa"/>
                  <w:shd w:val="clear" w:color="auto" w:fill="auto"/>
                  <w:vAlign w:val="center"/>
                </w:tcPr>
                <w:p w14:paraId="3A2EA76B">
                  <w:pPr>
                    <w:pStyle w:val="53"/>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医疗废物</w:t>
                  </w:r>
                </w:p>
              </w:tc>
              <w:tc>
                <w:tcPr>
                  <w:tcW w:w="1718" w:type="dxa"/>
                  <w:shd w:val="clear" w:color="auto" w:fill="auto"/>
                  <w:vAlign w:val="center"/>
                </w:tcPr>
                <w:p w14:paraId="500FB6B0">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医疗废物贮存点</w:t>
                  </w:r>
                </w:p>
              </w:tc>
              <w:tc>
                <w:tcPr>
                  <w:tcW w:w="2085" w:type="dxa"/>
                  <w:shd w:val="clear" w:color="auto" w:fill="auto"/>
                  <w:vAlign w:val="center"/>
                </w:tcPr>
                <w:p w14:paraId="78BC9D45">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0.0</w:t>
                  </w:r>
                  <w:r>
                    <w:rPr>
                      <w:rFonts w:hint="eastAsia" w:cs="Times New Roman"/>
                      <w:b w:val="0"/>
                      <w:bCs/>
                      <w:snapToGrid w:val="0"/>
                      <w:color w:val="auto"/>
                      <w:kern w:val="2"/>
                      <w:sz w:val="21"/>
                      <w:szCs w:val="21"/>
                      <w:highlight w:val="none"/>
                      <w:lang w:val="en-US" w:eastAsia="zh-CN" w:bidi="ar-SA"/>
                    </w:rPr>
                    <w:t>5</w:t>
                  </w:r>
                </w:p>
              </w:tc>
            </w:tr>
          </w:tbl>
          <w:p w14:paraId="7384CF10">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jc w:val="left"/>
              <w:textAlignment w:val="auto"/>
              <w:rPr>
                <w:rFonts w:hint="default"/>
                <w:b w:val="0"/>
                <w:bCs/>
                <w:color w:val="auto"/>
                <w:sz w:val="24"/>
                <w:highlight w:val="none"/>
                <w:lang w:val="en-US" w:eastAsia="zh-CN"/>
              </w:rPr>
            </w:pPr>
            <w:r>
              <w:rPr>
                <w:rFonts w:hint="eastAsia"/>
                <w:b w:val="0"/>
                <w:bCs/>
                <w:color w:val="auto"/>
                <w:sz w:val="24"/>
                <w:highlight w:val="none"/>
                <w:lang w:val="en-US" w:eastAsia="zh-CN"/>
              </w:rPr>
              <w:t>（1）</w:t>
            </w:r>
            <w:r>
              <w:rPr>
                <w:rFonts w:hint="default"/>
                <w:b w:val="0"/>
                <w:bCs/>
                <w:color w:val="auto"/>
                <w:sz w:val="24"/>
                <w:highlight w:val="none"/>
                <w:lang w:val="en-US" w:eastAsia="zh-CN"/>
              </w:rPr>
              <w:t>临界量Q值计算</w:t>
            </w:r>
          </w:p>
          <w:p w14:paraId="4DDC3E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eastAsia="zh-CN"/>
              </w:rPr>
              <w:t>根据《建设项目环境风险评价技术导则》（HJ169-2018），计算Q值。Q值计算有两种情况：当只涉及一种危险物质时，计算该物质的总量及与其临界量比值，即为Q；当存在多种危险物质时，则按下式计算物质总量与其临界量比值</w:t>
            </w:r>
            <w:r>
              <w:rPr>
                <w:rFonts w:hint="eastAsia"/>
                <w:b w:val="0"/>
                <w:bCs/>
                <w:color w:val="auto"/>
                <w:sz w:val="24"/>
                <w:lang w:val="en-US" w:eastAsia="zh-CN"/>
              </w:rPr>
              <w:t>（Q）：</w:t>
            </w:r>
          </w:p>
          <w:p w14:paraId="5F3BF73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 w:val="0"/>
                <w:bCs/>
                <w:color w:val="auto"/>
                <w:sz w:val="24"/>
                <w:lang w:val="en-US" w:eastAsia="zh-CN"/>
              </w:rPr>
            </w:pPr>
            <w:r>
              <w:rPr>
                <w:rFonts w:hint="eastAsia"/>
                <w:b w:val="0"/>
                <w:bCs/>
                <w:color w:val="auto"/>
                <w:sz w:val="24"/>
                <w:lang w:val="en-US" w:eastAsia="zh-CN"/>
              </w:rPr>
              <w:drawing>
                <wp:inline distT="0" distB="0" distL="114300" distR="114300">
                  <wp:extent cx="2457450" cy="371475"/>
                  <wp:effectExtent l="0" t="0" r="0" b="9525"/>
                  <wp:docPr id="16" name="图片 16" descr="dd81be10106d6cb56e6edfe6fdc0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81be10106d6cb56e6edfe6fdc0d04"/>
                          <pic:cNvPicPr>
                            <a:picLocks noChangeAspect="1"/>
                          </pic:cNvPicPr>
                        </pic:nvPicPr>
                        <pic:blipFill>
                          <a:blip r:embed="rId25"/>
                          <a:stretch>
                            <a:fillRect/>
                          </a:stretch>
                        </pic:blipFill>
                        <pic:spPr>
                          <a:xfrm>
                            <a:off x="0" y="0"/>
                            <a:ext cx="2457450" cy="371475"/>
                          </a:xfrm>
                          <a:prstGeom prst="rect">
                            <a:avLst/>
                          </a:prstGeom>
                        </pic:spPr>
                      </pic:pic>
                    </a:graphicData>
                  </a:graphic>
                </wp:inline>
              </w:drawing>
            </w:r>
          </w:p>
          <w:p w14:paraId="019847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式中</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ql，q2，…，qn</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每种危险物质的最大存在总量，t</w:t>
            </w:r>
            <w:r>
              <w:rPr>
                <w:rFonts w:hint="eastAsia" w:ascii="Times New Roman" w:hAnsi="Times New Roman" w:eastAsia="宋体" w:cs="Times New Roman"/>
                <w:b w:val="0"/>
                <w:bCs/>
                <w:color w:val="auto"/>
                <w:sz w:val="24"/>
                <w:szCs w:val="24"/>
                <w:lang w:val="en-US" w:eastAsia="zh-CN"/>
              </w:rPr>
              <w:t>；</w:t>
            </w:r>
          </w:p>
          <w:p w14:paraId="1736A0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Q1，Q2，…，Qn</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每种危险物质的临界量，t。</w:t>
            </w:r>
          </w:p>
          <w:p w14:paraId="3C0A17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val="en-US" w:eastAsia="zh-CN"/>
              </w:rPr>
              <w:t>项目风险物质临界量比值Q详见下表：</w:t>
            </w:r>
          </w:p>
          <w:p w14:paraId="0B85B503">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表4.2-15 环境风险物质单元、设施及物质情况</w:t>
            </w:r>
          </w:p>
          <w:tbl>
            <w:tblPr>
              <w:tblStyle w:val="21"/>
              <w:tblW w:w="83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038"/>
              <w:gridCol w:w="1325"/>
              <w:gridCol w:w="1659"/>
              <w:gridCol w:w="1508"/>
            </w:tblGrid>
            <w:tr w14:paraId="46918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dxa"/>
                  <w:tcBorders>
                    <w:tl2br w:val="nil"/>
                    <w:tr2bl w:val="nil"/>
                  </w:tcBorders>
                  <w:vAlign w:val="center"/>
                </w:tcPr>
                <w:p w14:paraId="57362F8C">
                  <w:pPr>
                    <w:pStyle w:val="52"/>
                    <w:jc w:val="center"/>
                    <w:rPr>
                      <w:b w:val="0"/>
                      <w:bCs/>
                      <w:color w:val="auto"/>
                      <w:highlight w:val="none"/>
                    </w:rPr>
                  </w:pPr>
                  <w:r>
                    <w:rPr>
                      <w:b w:val="0"/>
                      <w:bCs/>
                      <w:color w:val="auto"/>
                      <w:highlight w:val="none"/>
                    </w:rPr>
                    <w:t>序号</w:t>
                  </w:r>
                </w:p>
              </w:tc>
              <w:tc>
                <w:tcPr>
                  <w:tcW w:w="3038" w:type="dxa"/>
                  <w:tcBorders>
                    <w:tl2br w:val="nil"/>
                    <w:tr2bl w:val="nil"/>
                  </w:tcBorders>
                  <w:vAlign w:val="center"/>
                </w:tcPr>
                <w:p w14:paraId="562C3AC2">
                  <w:pPr>
                    <w:pStyle w:val="52"/>
                    <w:jc w:val="center"/>
                    <w:rPr>
                      <w:b w:val="0"/>
                      <w:bCs/>
                      <w:color w:val="auto"/>
                      <w:highlight w:val="none"/>
                    </w:rPr>
                  </w:pPr>
                  <w:r>
                    <w:rPr>
                      <w:b w:val="0"/>
                      <w:bCs/>
                      <w:color w:val="auto"/>
                      <w:highlight w:val="none"/>
                    </w:rPr>
                    <w:t>风险物质名称</w:t>
                  </w:r>
                </w:p>
              </w:tc>
              <w:tc>
                <w:tcPr>
                  <w:tcW w:w="1325" w:type="dxa"/>
                  <w:tcBorders>
                    <w:tl2br w:val="nil"/>
                    <w:tr2bl w:val="nil"/>
                  </w:tcBorders>
                  <w:vAlign w:val="center"/>
                </w:tcPr>
                <w:p w14:paraId="138F975A">
                  <w:pPr>
                    <w:pStyle w:val="52"/>
                    <w:jc w:val="center"/>
                    <w:rPr>
                      <w:b w:val="0"/>
                      <w:bCs/>
                      <w:color w:val="auto"/>
                      <w:highlight w:val="none"/>
                    </w:rPr>
                  </w:pPr>
                  <w:r>
                    <w:rPr>
                      <w:b w:val="0"/>
                      <w:bCs/>
                      <w:color w:val="auto"/>
                      <w:highlight w:val="none"/>
                    </w:rPr>
                    <w:t>临界量（t）</w:t>
                  </w:r>
                </w:p>
              </w:tc>
              <w:tc>
                <w:tcPr>
                  <w:tcW w:w="1659" w:type="dxa"/>
                  <w:tcBorders>
                    <w:tl2br w:val="nil"/>
                    <w:tr2bl w:val="nil"/>
                  </w:tcBorders>
                  <w:vAlign w:val="center"/>
                </w:tcPr>
                <w:p w14:paraId="6963779B">
                  <w:pPr>
                    <w:pStyle w:val="52"/>
                    <w:jc w:val="center"/>
                    <w:rPr>
                      <w:b w:val="0"/>
                      <w:bCs/>
                      <w:color w:val="auto"/>
                      <w:highlight w:val="none"/>
                    </w:rPr>
                  </w:pPr>
                  <w:r>
                    <w:rPr>
                      <w:b w:val="0"/>
                      <w:bCs/>
                      <w:color w:val="auto"/>
                      <w:highlight w:val="none"/>
                    </w:rPr>
                    <w:t>最大储存量（t）</w:t>
                  </w:r>
                </w:p>
              </w:tc>
              <w:tc>
                <w:tcPr>
                  <w:tcW w:w="1508" w:type="dxa"/>
                  <w:tcBorders>
                    <w:tl2br w:val="nil"/>
                    <w:tr2bl w:val="nil"/>
                  </w:tcBorders>
                  <w:vAlign w:val="center"/>
                </w:tcPr>
                <w:p w14:paraId="5381F604">
                  <w:pPr>
                    <w:pStyle w:val="52"/>
                    <w:jc w:val="center"/>
                    <w:rPr>
                      <w:b w:val="0"/>
                      <w:bCs/>
                      <w:color w:val="auto"/>
                      <w:highlight w:val="none"/>
                    </w:rPr>
                  </w:pPr>
                  <w:r>
                    <w:rPr>
                      <w:b w:val="0"/>
                      <w:bCs/>
                      <w:color w:val="auto"/>
                      <w:highlight w:val="none"/>
                    </w:rPr>
                    <w:t>q/Q</w:t>
                  </w:r>
                </w:p>
              </w:tc>
            </w:tr>
            <w:tr w14:paraId="05920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2" w:type="dxa"/>
                  <w:tcBorders>
                    <w:tl2br w:val="nil"/>
                    <w:tr2bl w:val="nil"/>
                  </w:tcBorders>
                  <w:shd w:val="clear" w:color="auto" w:fill="auto"/>
                  <w:vAlign w:val="center"/>
                </w:tcPr>
                <w:p w14:paraId="0F9774F1">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color w:val="auto"/>
                      <w:highlight w:val="none"/>
                      <w:lang w:val="en-US" w:eastAsia="zh-CN"/>
                    </w:rPr>
                    <w:t>1</w:t>
                  </w:r>
                </w:p>
              </w:tc>
              <w:tc>
                <w:tcPr>
                  <w:tcW w:w="3038" w:type="dxa"/>
                  <w:tcBorders>
                    <w:tl2br w:val="nil"/>
                    <w:tr2bl w:val="nil"/>
                  </w:tcBorders>
                  <w:shd w:val="clear" w:color="auto" w:fill="auto"/>
                  <w:vAlign w:val="center"/>
                </w:tcPr>
                <w:p w14:paraId="4BB7DC80">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kern w:val="2"/>
                      <w:sz w:val="21"/>
                      <w:szCs w:val="21"/>
                      <w:lang w:val="en-US" w:eastAsia="zh-CN" w:bidi="ar-SA"/>
                    </w:rPr>
                    <w:t>新洁尔灭（苯扎溴铵）</w:t>
                  </w:r>
                </w:p>
              </w:tc>
              <w:tc>
                <w:tcPr>
                  <w:tcW w:w="1325" w:type="dxa"/>
                  <w:tcBorders>
                    <w:tl2br w:val="nil"/>
                    <w:tr2bl w:val="nil"/>
                  </w:tcBorders>
                  <w:shd w:val="clear" w:color="auto" w:fill="auto"/>
                  <w:vAlign w:val="center"/>
                </w:tcPr>
                <w:p w14:paraId="1C7FE555">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5</w:t>
                  </w:r>
                  <w:r>
                    <w:rPr>
                      <w:rFonts w:hint="eastAsia" w:cs="Times New Roman"/>
                      <w:b w:val="0"/>
                      <w:bCs/>
                      <w:snapToGrid w:val="0"/>
                      <w:color w:val="auto"/>
                      <w:kern w:val="2"/>
                      <w:sz w:val="21"/>
                      <w:szCs w:val="21"/>
                      <w:highlight w:val="none"/>
                      <w:vertAlign w:val="superscript"/>
                      <w:lang w:val="en-US" w:eastAsia="zh-CN" w:bidi="ar-SA"/>
                    </w:rPr>
                    <w:t>①</w:t>
                  </w:r>
                </w:p>
              </w:tc>
              <w:tc>
                <w:tcPr>
                  <w:tcW w:w="1659" w:type="dxa"/>
                  <w:tcBorders>
                    <w:tl2br w:val="nil"/>
                    <w:tr2bl w:val="nil"/>
                  </w:tcBorders>
                  <w:shd w:val="clear" w:color="auto" w:fill="auto"/>
                  <w:vAlign w:val="center"/>
                </w:tcPr>
                <w:p w14:paraId="3DDF8E0D">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0.004925</w:t>
                  </w:r>
                </w:p>
              </w:tc>
              <w:tc>
                <w:tcPr>
                  <w:tcW w:w="1508" w:type="dxa"/>
                  <w:tcBorders>
                    <w:tl2br w:val="nil"/>
                    <w:tr2bl w:val="nil"/>
                  </w:tcBorders>
                  <w:shd w:val="clear" w:color="auto" w:fill="auto"/>
                  <w:vAlign w:val="center"/>
                </w:tcPr>
                <w:p w14:paraId="74E53324">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0.000985</w:t>
                  </w:r>
                </w:p>
              </w:tc>
            </w:tr>
            <w:tr w14:paraId="39EEF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2" w:type="dxa"/>
                  <w:tcBorders>
                    <w:tl2br w:val="nil"/>
                    <w:tr2bl w:val="nil"/>
                  </w:tcBorders>
                  <w:shd w:val="clear" w:color="auto" w:fill="auto"/>
                  <w:vAlign w:val="center"/>
                </w:tcPr>
                <w:p w14:paraId="1F6B79F8">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color w:val="auto"/>
                      <w:highlight w:val="none"/>
                      <w:lang w:val="en-US" w:eastAsia="zh-CN"/>
                    </w:rPr>
                    <w:t>2</w:t>
                  </w:r>
                </w:p>
              </w:tc>
              <w:tc>
                <w:tcPr>
                  <w:tcW w:w="3038" w:type="dxa"/>
                  <w:tcBorders>
                    <w:tl2br w:val="nil"/>
                    <w:tr2bl w:val="nil"/>
                  </w:tcBorders>
                  <w:shd w:val="clear" w:color="auto" w:fill="auto"/>
                  <w:vAlign w:val="center"/>
                </w:tcPr>
                <w:p w14:paraId="57B1D41E">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snapToGrid w:val="0"/>
                      <w:color w:val="auto"/>
                      <w:kern w:val="2"/>
                      <w:sz w:val="21"/>
                      <w:szCs w:val="21"/>
                      <w:lang w:val="en-US" w:eastAsia="zh-CN" w:bidi="ar-SA"/>
                    </w:rPr>
                  </w:pPr>
                  <w:r>
                    <w:rPr>
                      <w:rFonts w:hint="eastAsia" w:ascii="Times New Roman" w:hAnsi="Times New Roman" w:eastAsia="宋体" w:cs="Times New Roman"/>
                      <w:b w:val="0"/>
                      <w:bCs/>
                      <w:snapToGrid w:val="0"/>
                      <w:color w:val="auto"/>
                      <w:kern w:val="2"/>
                      <w:sz w:val="21"/>
                      <w:szCs w:val="21"/>
                      <w:lang w:val="en-US" w:eastAsia="zh-CN" w:bidi="ar-SA"/>
                    </w:rPr>
                    <w:t>医用酒精</w:t>
                  </w:r>
                  <w:r>
                    <w:rPr>
                      <w:rFonts w:hint="eastAsia" w:cs="Times New Roman"/>
                      <w:b w:val="0"/>
                      <w:bCs/>
                      <w:snapToGrid w:val="0"/>
                      <w:color w:val="auto"/>
                      <w:kern w:val="2"/>
                      <w:sz w:val="21"/>
                      <w:szCs w:val="21"/>
                      <w:lang w:val="en-US" w:eastAsia="zh-CN" w:bidi="ar-SA"/>
                    </w:rPr>
                    <w:t>（乙醇）</w:t>
                  </w:r>
                </w:p>
              </w:tc>
              <w:tc>
                <w:tcPr>
                  <w:tcW w:w="1325" w:type="dxa"/>
                  <w:tcBorders>
                    <w:tl2br w:val="nil"/>
                    <w:tr2bl w:val="nil"/>
                  </w:tcBorders>
                  <w:shd w:val="clear" w:color="auto" w:fill="auto"/>
                  <w:vAlign w:val="center"/>
                </w:tcPr>
                <w:p w14:paraId="71175AC3">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500</w:t>
                  </w:r>
                </w:p>
              </w:tc>
              <w:tc>
                <w:tcPr>
                  <w:tcW w:w="1659" w:type="dxa"/>
                  <w:tcBorders>
                    <w:tl2br w:val="nil"/>
                    <w:tr2bl w:val="nil"/>
                  </w:tcBorders>
                  <w:shd w:val="clear" w:color="auto" w:fill="auto"/>
                  <w:vAlign w:val="center"/>
                </w:tcPr>
                <w:p w14:paraId="1E3AEE8E">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0</w:t>
                  </w:r>
                  <w:r>
                    <w:rPr>
                      <w:rFonts w:hint="eastAsia" w:cs="Times New Roman"/>
                      <w:b w:val="0"/>
                      <w:bCs/>
                      <w:snapToGrid w:val="0"/>
                      <w:color w:val="auto"/>
                      <w:kern w:val="2"/>
                      <w:sz w:val="21"/>
                      <w:szCs w:val="21"/>
                      <w:highlight w:val="none"/>
                      <w:lang w:val="en-US" w:eastAsia="zh-CN" w:bidi="ar-SA"/>
                    </w:rPr>
                    <w:t>.</w:t>
                  </w:r>
                  <w:r>
                    <w:rPr>
                      <w:rFonts w:hint="eastAsia" w:ascii="Times New Roman" w:hAnsi="Times New Roman" w:eastAsia="宋体" w:cs="Times New Roman"/>
                      <w:b w:val="0"/>
                      <w:bCs/>
                      <w:snapToGrid w:val="0"/>
                      <w:color w:val="auto"/>
                      <w:kern w:val="2"/>
                      <w:sz w:val="21"/>
                      <w:szCs w:val="21"/>
                      <w:highlight w:val="none"/>
                      <w:lang w:val="en-US" w:eastAsia="zh-CN" w:bidi="ar-SA"/>
                    </w:rPr>
                    <w:t>0</w:t>
                  </w:r>
                  <w:r>
                    <w:rPr>
                      <w:rFonts w:hint="eastAsia" w:cs="Times New Roman"/>
                      <w:b w:val="0"/>
                      <w:bCs/>
                      <w:snapToGrid w:val="0"/>
                      <w:color w:val="auto"/>
                      <w:kern w:val="2"/>
                      <w:sz w:val="21"/>
                      <w:szCs w:val="21"/>
                      <w:highlight w:val="none"/>
                      <w:lang w:val="en-US" w:eastAsia="zh-CN" w:bidi="ar-SA"/>
                    </w:rPr>
                    <w:t>085</w:t>
                  </w:r>
                </w:p>
              </w:tc>
              <w:tc>
                <w:tcPr>
                  <w:tcW w:w="1508" w:type="dxa"/>
                  <w:tcBorders>
                    <w:tl2br w:val="nil"/>
                    <w:tr2bl w:val="nil"/>
                  </w:tcBorders>
                  <w:shd w:val="clear" w:color="auto" w:fill="auto"/>
                  <w:vAlign w:val="center"/>
                </w:tcPr>
                <w:p w14:paraId="0F05AA73">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0.000017</w:t>
                  </w:r>
                </w:p>
              </w:tc>
            </w:tr>
            <w:tr w14:paraId="58EE6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2" w:type="dxa"/>
                  <w:tcBorders>
                    <w:tl2br w:val="nil"/>
                    <w:tr2bl w:val="nil"/>
                  </w:tcBorders>
                  <w:shd w:val="clear" w:color="auto" w:fill="auto"/>
                  <w:vAlign w:val="center"/>
                </w:tcPr>
                <w:p w14:paraId="369E6C31">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color w:val="auto"/>
                      <w:highlight w:val="none"/>
                      <w:lang w:val="en-US" w:eastAsia="zh-CN"/>
                    </w:rPr>
                    <w:t>3</w:t>
                  </w:r>
                </w:p>
              </w:tc>
              <w:tc>
                <w:tcPr>
                  <w:tcW w:w="3038" w:type="dxa"/>
                  <w:tcBorders>
                    <w:tl2br w:val="nil"/>
                    <w:tr2bl w:val="nil"/>
                  </w:tcBorders>
                  <w:shd w:val="clear" w:color="auto" w:fill="auto"/>
                  <w:vAlign w:val="center"/>
                </w:tcPr>
                <w:p w14:paraId="445FAC23">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二氧化氯消毒片（二氧化氯）</w:t>
                  </w:r>
                </w:p>
              </w:tc>
              <w:tc>
                <w:tcPr>
                  <w:tcW w:w="1325" w:type="dxa"/>
                  <w:tcBorders>
                    <w:tl2br w:val="nil"/>
                    <w:tr2bl w:val="nil"/>
                  </w:tcBorders>
                  <w:shd w:val="clear" w:color="auto" w:fill="auto"/>
                  <w:vAlign w:val="center"/>
                </w:tcPr>
                <w:p w14:paraId="0674701A">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0.5</w:t>
                  </w:r>
                </w:p>
              </w:tc>
              <w:tc>
                <w:tcPr>
                  <w:tcW w:w="1659" w:type="dxa"/>
                  <w:tcBorders>
                    <w:tl2br w:val="nil"/>
                    <w:tr2bl w:val="nil"/>
                  </w:tcBorders>
                  <w:shd w:val="clear" w:color="auto" w:fill="auto"/>
                  <w:vAlign w:val="center"/>
                </w:tcPr>
                <w:p w14:paraId="2BB83511">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0.002</w:t>
                  </w:r>
                </w:p>
              </w:tc>
              <w:tc>
                <w:tcPr>
                  <w:tcW w:w="1508" w:type="dxa"/>
                  <w:tcBorders>
                    <w:tl2br w:val="nil"/>
                    <w:tr2bl w:val="nil"/>
                  </w:tcBorders>
                  <w:shd w:val="clear" w:color="auto" w:fill="auto"/>
                  <w:vAlign w:val="center"/>
                </w:tcPr>
                <w:p w14:paraId="72331E6B">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w:t>
                  </w:r>
                </w:p>
              </w:tc>
            </w:tr>
            <w:tr w14:paraId="3E516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2" w:type="dxa"/>
                  <w:tcBorders>
                    <w:tl2br w:val="nil"/>
                    <w:tr2bl w:val="nil"/>
                  </w:tcBorders>
                  <w:shd w:val="clear" w:color="auto" w:fill="auto"/>
                  <w:vAlign w:val="center"/>
                </w:tcPr>
                <w:p w14:paraId="21350785">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4</w:t>
                  </w:r>
                </w:p>
              </w:tc>
              <w:tc>
                <w:tcPr>
                  <w:tcW w:w="3038" w:type="dxa"/>
                  <w:tcBorders>
                    <w:tl2br w:val="nil"/>
                    <w:tr2bl w:val="nil"/>
                  </w:tcBorders>
                  <w:shd w:val="clear" w:color="auto" w:fill="auto"/>
                  <w:vAlign w:val="center"/>
                </w:tcPr>
                <w:p w14:paraId="65736C01">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lang w:val="en-US" w:eastAsia="zh-CN" w:bidi="ar-SA"/>
                    </w:rPr>
                    <w:t>84消毒液</w:t>
                  </w:r>
                  <w:r>
                    <w:rPr>
                      <w:rFonts w:hint="eastAsia" w:cs="Times New Roman"/>
                      <w:b w:val="0"/>
                      <w:bCs/>
                      <w:color w:val="auto"/>
                      <w:kern w:val="2"/>
                      <w:sz w:val="21"/>
                      <w:szCs w:val="21"/>
                      <w:highlight w:val="none"/>
                      <w:lang w:val="en-US" w:eastAsia="zh-CN" w:bidi="ar-SA"/>
                    </w:rPr>
                    <w:t>（次氯酸钠）</w:t>
                  </w:r>
                </w:p>
              </w:tc>
              <w:tc>
                <w:tcPr>
                  <w:tcW w:w="1325" w:type="dxa"/>
                  <w:tcBorders>
                    <w:tl2br w:val="nil"/>
                    <w:tr2bl w:val="nil"/>
                  </w:tcBorders>
                  <w:shd w:val="clear" w:color="auto" w:fill="auto"/>
                  <w:vAlign w:val="center"/>
                </w:tcPr>
                <w:p w14:paraId="369627EB">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5</w:t>
                  </w:r>
                </w:p>
              </w:tc>
              <w:tc>
                <w:tcPr>
                  <w:tcW w:w="1659" w:type="dxa"/>
                  <w:tcBorders>
                    <w:tl2br w:val="nil"/>
                    <w:tr2bl w:val="nil"/>
                  </w:tcBorders>
                  <w:shd w:val="clear" w:color="auto" w:fill="auto"/>
                  <w:vAlign w:val="center"/>
                </w:tcPr>
                <w:p w14:paraId="64BE7EE1">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0.013065</w:t>
                  </w:r>
                </w:p>
              </w:tc>
              <w:tc>
                <w:tcPr>
                  <w:tcW w:w="1508" w:type="dxa"/>
                  <w:tcBorders>
                    <w:tl2br w:val="nil"/>
                    <w:tr2bl w:val="nil"/>
                  </w:tcBorders>
                  <w:shd w:val="clear" w:color="auto" w:fill="auto"/>
                  <w:vAlign w:val="center"/>
                </w:tcPr>
                <w:p w14:paraId="6158381B">
                  <w:pPr>
                    <w:keepNext w:val="0"/>
                    <w:keepLines w:val="0"/>
                    <w:widowControl/>
                    <w:suppressLineNumbers w:val="0"/>
                    <w:jc w:val="center"/>
                    <w:textAlignment w:val="center"/>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0.002613</w:t>
                  </w:r>
                </w:p>
              </w:tc>
            </w:tr>
            <w:tr w14:paraId="2AE24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2" w:type="dxa"/>
                  <w:tcBorders>
                    <w:tl2br w:val="nil"/>
                    <w:tr2bl w:val="nil"/>
                  </w:tcBorders>
                  <w:shd w:val="clear" w:color="auto" w:fill="auto"/>
                  <w:vAlign w:val="center"/>
                </w:tcPr>
                <w:p w14:paraId="677C51C8">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color w:val="auto"/>
                      <w:highlight w:val="none"/>
                      <w:lang w:val="en-US" w:eastAsia="zh-CN"/>
                    </w:rPr>
                    <w:t>4</w:t>
                  </w:r>
                </w:p>
              </w:tc>
              <w:tc>
                <w:tcPr>
                  <w:tcW w:w="3038" w:type="dxa"/>
                  <w:tcBorders>
                    <w:tl2br w:val="nil"/>
                    <w:tr2bl w:val="nil"/>
                  </w:tcBorders>
                  <w:shd w:val="clear" w:color="auto" w:fill="auto"/>
                  <w:vAlign w:val="center"/>
                </w:tcPr>
                <w:p w14:paraId="457D2C23">
                  <w:pPr>
                    <w:pStyle w:val="53"/>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医疗废物</w:t>
                  </w:r>
                </w:p>
              </w:tc>
              <w:tc>
                <w:tcPr>
                  <w:tcW w:w="1325" w:type="dxa"/>
                  <w:tcBorders>
                    <w:tl2br w:val="nil"/>
                    <w:tr2bl w:val="nil"/>
                  </w:tcBorders>
                  <w:shd w:val="clear" w:color="auto" w:fill="auto"/>
                  <w:vAlign w:val="center"/>
                </w:tcPr>
                <w:p w14:paraId="2A934BFE">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50</w:t>
                  </w:r>
                  <w:r>
                    <w:rPr>
                      <w:rFonts w:hint="eastAsia" w:ascii="Times New Roman" w:hAnsi="Times New Roman" w:eastAsia="宋体" w:cs="Times New Roman"/>
                      <w:b w:val="0"/>
                      <w:bCs/>
                      <w:snapToGrid w:val="0"/>
                      <w:color w:val="auto"/>
                      <w:kern w:val="2"/>
                      <w:sz w:val="21"/>
                      <w:szCs w:val="21"/>
                      <w:highlight w:val="none"/>
                      <w:vertAlign w:val="superscript"/>
                      <w:lang w:val="en-US" w:eastAsia="zh-CN" w:bidi="ar-SA"/>
                    </w:rPr>
                    <w:t>②</w:t>
                  </w:r>
                </w:p>
              </w:tc>
              <w:tc>
                <w:tcPr>
                  <w:tcW w:w="1659" w:type="dxa"/>
                  <w:tcBorders>
                    <w:tl2br w:val="nil"/>
                    <w:tr2bl w:val="nil"/>
                  </w:tcBorders>
                  <w:shd w:val="clear" w:color="auto" w:fill="auto"/>
                  <w:vAlign w:val="center"/>
                </w:tcPr>
                <w:p w14:paraId="71AB9CC9">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0.0</w:t>
                  </w:r>
                  <w:r>
                    <w:rPr>
                      <w:rFonts w:hint="eastAsia" w:cs="Times New Roman"/>
                      <w:b w:val="0"/>
                      <w:bCs/>
                      <w:snapToGrid w:val="0"/>
                      <w:color w:val="auto"/>
                      <w:kern w:val="2"/>
                      <w:sz w:val="21"/>
                      <w:szCs w:val="21"/>
                      <w:highlight w:val="none"/>
                      <w:lang w:val="en-US" w:eastAsia="zh-CN" w:bidi="ar-SA"/>
                    </w:rPr>
                    <w:t>5</w:t>
                  </w:r>
                </w:p>
              </w:tc>
              <w:tc>
                <w:tcPr>
                  <w:tcW w:w="1508" w:type="dxa"/>
                  <w:tcBorders>
                    <w:tl2br w:val="nil"/>
                    <w:tr2bl w:val="nil"/>
                  </w:tcBorders>
                  <w:shd w:val="clear" w:color="auto" w:fill="auto"/>
                  <w:vAlign w:val="center"/>
                </w:tcPr>
                <w:p w14:paraId="57F2DBE4">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p>
              </w:tc>
            </w:tr>
            <w:tr w14:paraId="07C28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4" w:type="dxa"/>
                  <w:gridSpan w:val="4"/>
                  <w:tcBorders>
                    <w:tl2br w:val="nil"/>
                    <w:tr2bl w:val="nil"/>
                  </w:tcBorders>
                  <w:vAlign w:val="center"/>
                </w:tcPr>
                <w:p w14:paraId="2E767253">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合计</w:t>
                  </w:r>
                </w:p>
              </w:tc>
              <w:tc>
                <w:tcPr>
                  <w:tcW w:w="1508" w:type="dxa"/>
                  <w:tcBorders>
                    <w:tl2br w:val="nil"/>
                    <w:tr2bl w:val="nil"/>
                  </w:tcBorders>
                  <w:vAlign w:val="center"/>
                </w:tcPr>
                <w:p w14:paraId="6B6B1A2B">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0.008615</w:t>
                  </w:r>
                </w:p>
              </w:tc>
            </w:tr>
            <w:tr w14:paraId="061CD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22" w:type="dxa"/>
                  <w:gridSpan w:val="5"/>
                  <w:tcBorders>
                    <w:tl2br w:val="nil"/>
                    <w:tr2bl w:val="nil"/>
                  </w:tcBorders>
                  <w:vAlign w:val="center"/>
                </w:tcPr>
                <w:p w14:paraId="29DE9F9D">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b w:val="0"/>
                      <w:bCs/>
                      <w:snapToGrid w:val="0"/>
                      <w:color w:val="auto"/>
                      <w:kern w:val="2"/>
                      <w:sz w:val="21"/>
                      <w:szCs w:val="21"/>
                      <w:highlight w:val="none"/>
                      <w:vertAlign w:val="superscript"/>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注：</w:t>
                  </w:r>
                  <w:r>
                    <w:rPr>
                      <w:rFonts w:hint="eastAsia" w:cs="Times New Roman"/>
                      <w:b w:val="0"/>
                      <w:bCs/>
                      <w:snapToGrid w:val="0"/>
                      <w:color w:val="auto"/>
                      <w:kern w:val="2"/>
                      <w:sz w:val="21"/>
                      <w:szCs w:val="21"/>
                      <w:highlight w:val="none"/>
                      <w:vertAlign w:val="baseline"/>
                      <w:lang w:val="en-US" w:eastAsia="zh-CN" w:bidi="ar-SA"/>
                    </w:rPr>
                    <w:t>①</w:t>
                  </w:r>
                  <w:r>
                    <w:rPr>
                      <w:rFonts w:hint="eastAsia" w:ascii="Times New Roman" w:hAnsi="Times New Roman" w:eastAsia="宋体" w:cs="Times New Roman"/>
                      <w:b w:val="0"/>
                      <w:bCs/>
                      <w:snapToGrid w:val="0"/>
                      <w:color w:val="auto"/>
                      <w:kern w:val="2"/>
                      <w:sz w:val="21"/>
                      <w:szCs w:val="21"/>
                      <w:highlight w:val="none"/>
                      <w:lang w:val="en-US" w:eastAsia="zh-CN" w:bidi="ar-SA"/>
                    </w:rPr>
                    <w:t>参考《建设项目环境风险评价技术导则》（HJ 169-2018）表B.2其他危险物质临界量推荐值中健康危险急性毒性物质（类别1）推荐临界值。</w:t>
                  </w:r>
                </w:p>
                <w:p w14:paraId="048FDFA5">
                  <w:pPr>
                    <w:pStyle w:val="52"/>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②参考《建设项目环境风险评价技术导则》（HJ 169-2018）表B.2其他危险物质临界量推荐值中健康危险急性毒性物质（类别2，类别3）推荐临界值。</w:t>
                  </w:r>
                </w:p>
              </w:tc>
            </w:tr>
          </w:tbl>
          <w:p w14:paraId="251598F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val="en-US" w:eastAsia="zh-CN"/>
              </w:rPr>
              <w:t>由上表可知：项目危险物质最大储存量不超过临界量，未构成重大危险源；Q&lt;1，风险潜势为I，仅进行简单分析并提出风险防控措施。</w:t>
            </w:r>
          </w:p>
          <w:p w14:paraId="642536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val="en-US" w:eastAsia="zh-CN"/>
              </w:rPr>
              <w:t>（2）环境风险识别</w:t>
            </w:r>
          </w:p>
          <w:p w14:paraId="0F31995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lang w:val="en-US" w:eastAsia="zh-CN"/>
              </w:rPr>
              <w:t>项目环境风险识别一览表见表4.2-16。</w:t>
            </w:r>
          </w:p>
          <w:p w14:paraId="2A655F16">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表4.2-16 环境风险识别一览表</w:t>
            </w:r>
          </w:p>
          <w:tbl>
            <w:tblPr>
              <w:tblStyle w:val="21"/>
              <w:tblW w:w="83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117"/>
              <w:gridCol w:w="1634"/>
              <w:gridCol w:w="5077"/>
            </w:tblGrid>
            <w:tr w14:paraId="49A7E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noWrap w:val="0"/>
                  <w:vAlign w:val="center"/>
                </w:tcPr>
                <w:p w14:paraId="29020F45">
                  <w:pPr>
                    <w:pStyle w:val="5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序号</w:t>
                  </w:r>
                </w:p>
              </w:tc>
              <w:tc>
                <w:tcPr>
                  <w:tcW w:w="1117" w:type="dxa"/>
                  <w:tcBorders>
                    <w:tl2br w:val="nil"/>
                    <w:tr2bl w:val="nil"/>
                  </w:tcBorders>
                  <w:noWrap w:val="0"/>
                  <w:vAlign w:val="center"/>
                </w:tcPr>
                <w:p w14:paraId="1A4F4FD6">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风险源</w:t>
                  </w:r>
                </w:p>
              </w:tc>
              <w:tc>
                <w:tcPr>
                  <w:tcW w:w="1634" w:type="dxa"/>
                  <w:tcBorders>
                    <w:tl2br w:val="nil"/>
                    <w:tr2bl w:val="nil"/>
                  </w:tcBorders>
                  <w:noWrap w:val="0"/>
                  <w:vAlign w:val="center"/>
                </w:tcPr>
                <w:p w14:paraId="2ACB9887">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风险物质</w:t>
                  </w:r>
                </w:p>
              </w:tc>
              <w:tc>
                <w:tcPr>
                  <w:tcW w:w="5077" w:type="dxa"/>
                  <w:tcBorders>
                    <w:tl2br w:val="nil"/>
                    <w:tr2bl w:val="nil"/>
                  </w:tcBorders>
                  <w:noWrap w:val="0"/>
                  <w:vAlign w:val="center"/>
                </w:tcPr>
                <w:p w14:paraId="14D4075C">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风险影响途径</w:t>
                  </w:r>
                </w:p>
              </w:tc>
            </w:tr>
            <w:tr w14:paraId="2A345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shd w:val="clear" w:color="auto" w:fill="auto"/>
                  <w:noWrap w:val="0"/>
                  <w:vAlign w:val="center"/>
                </w:tcPr>
                <w:p w14:paraId="0026115F">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1</w:t>
                  </w:r>
                </w:p>
              </w:tc>
              <w:tc>
                <w:tcPr>
                  <w:tcW w:w="1117" w:type="dxa"/>
                  <w:tcBorders>
                    <w:tl2br w:val="nil"/>
                    <w:tr2bl w:val="nil"/>
                  </w:tcBorders>
                  <w:noWrap w:val="0"/>
                  <w:vAlign w:val="center"/>
                </w:tcPr>
                <w:p w14:paraId="73CA3B86">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snapToGrid w:val="0"/>
                      <w:color w:val="auto"/>
                      <w:kern w:val="2"/>
                      <w:sz w:val="21"/>
                      <w:szCs w:val="21"/>
                      <w:highlight w:val="none"/>
                      <w:lang w:val="en-US" w:eastAsia="zh-CN" w:bidi="ar-SA"/>
                    </w:rPr>
                    <w:t>消毒设施</w:t>
                  </w:r>
                </w:p>
              </w:tc>
              <w:tc>
                <w:tcPr>
                  <w:tcW w:w="1634" w:type="dxa"/>
                  <w:tcBorders>
                    <w:tl2br w:val="nil"/>
                    <w:tr2bl w:val="nil"/>
                  </w:tcBorders>
                  <w:noWrap w:val="0"/>
                  <w:vAlign w:val="center"/>
                </w:tcPr>
                <w:p w14:paraId="022541F0">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医疗废水</w:t>
                  </w:r>
                </w:p>
              </w:tc>
              <w:tc>
                <w:tcPr>
                  <w:tcW w:w="5077" w:type="dxa"/>
                  <w:tcBorders>
                    <w:tl2br w:val="nil"/>
                    <w:tr2bl w:val="nil"/>
                  </w:tcBorders>
                  <w:noWrap w:val="0"/>
                  <w:vAlign w:val="center"/>
                </w:tcPr>
                <w:p w14:paraId="43D78A1B">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医疗废水</w:t>
                  </w:r>
                  <w:r>
                    <w:rPr>
                      <w:rFonts w:hint="eastAsia" w:ascii="Times New Roman" w:hAnsi="Times New Roman" w:eastAsia="宋体" w:cs="Times New Roman"/>
                      <w:b w:val="0"/>
                      <w:bCs/>
                      <w:color w:val="auto"/>
                      <w:highlight w:val="none"/>
                      <w:lang w:val="en-US" w:eastAsia="zh-CN"/>
                    </w:rPr>
                    <w:t>超标排放</w:t>
                  </w:r>
                  <w:r>
                    <w:rPr>
                      <w:rFonts w:hint="eastAsia" w:cs="Times New Roman"/>
                      <w:b w:val="0"/>
                      <w:bCs/>
                      <w:color w:val="auto"/>
                      <w:highlight w:val="none"/>
                      <w:lang w:val="en-US" w:eastAsia="zh-CN"/>
                    </w:rPr>
                    <w:t>。</w:t>
                  </w:r>
                </w:p>
              </w:tc>
            </w:tr>
            <w:tr w14:paraId="27EF8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shd w:val="clear" w:color="auto" w:fill="auto"/>
                  <w:noWrap w:val="0"/>
                  <w:vAlign w:val="center"/>
                </w:tcPr>
                <w:p w14:paraId="25DEE4B7">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color w:val="auto"/>
                      <w:highlight w:val="none"/>
                      <w:lang w:val="en-US" w:eastAsia="zh-CN"/>
                    </w:rPr>
                    <w:t>2</w:t>
                  </w:r>
                </w:p>
              </w:tc>
              <w:tc>
                <w:tcPr>
                  <w:tcW w:w="1117" w:type="dxa"/>
                  <w:tcBorders>
                    <w:tl2br w:val="nil"/>
                    <w:tr2bl w:val="nil"/>
                  </w:tcBorders>
                  <w:shd w:val="clear" w:color="auto" w:fill="auto"/>
                  <w:noWrap w:val="0"/>
                  <w:vAlign w:val="center"/>
                </w:tcPr>
                <w:p w14:paraId="6605FF88">
                  <w:pPr>
                    <w:pStyle w:val="5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医疗废物贮存点</w:t>
                  </w:r>
                </w:p>
              </w:tc>
              <w:tc>
                <w:tcPr>
                  <w:tcW w:w="1634" w:type="dxa"/>
                  <w:tcBorders>
                    <w:tl2br w:val="nil"/>
                    <w:tr2bl w:val="nil"/>
                  </w:tcBorders>
                  <w:shd w:val="clear" w:color="auto" w:fill="auto"/>
                  <w:noWrap w:val="0"/>
                  <w:vAlign w:val="center"/>
                </w:tcPr>
                <w:p w14:paraId="08AD1CA2">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color w:val="auto"/>
                      <w:highlight w:val="none"/>
                      <w:lang w:val="en-US" w:eastAsia="zh-CN"/>
                    </w:rPr>
                    <w:t>医疗废物</w:t>
                  </w:r>
                </w:p>
              </w:tc>
              <w:tc>
                <w:tcPr>
                  <w:tcW w:w="5077" w:type="dxa"/>
                  <w:tcBorders>
                    <w:tl2br w:val="nil"/>
                    <w:tr2bl w:val="nil"/>
                  </w:tcBorders>
                  <w:shd w:val="clear" w:color="auto" w:fill="auto"/>
                  <w:noWrap w:val="0"/>
                  <w:vAlign w:val="center"/>
                </w:tcPr>
                <w:p w14:paraId="7FE02213">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液态医疗废物贮存过程中若操作不善导致料桶侧翻或破裂，泄漏至外环境会影响人员健康，可能影响土壤土质并进一步影响地下水。医疗废物管理不善，残留及衍生的大量细菌危害院内人员健康。</w:t>
                  </w:r>
                </w:p>
              </w:tc>
            </w:tr>
            <w:tr w14:paraId="6BA63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noWrap w:val="0"/>
                  <w:vAlign w:val="center"/>
                </w:tcPr>
                <w:p w14:paraId="74E2F53D">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3</w:t>
                  </w:r>
                </w:p>
              </w:tc>
              <w:tc>
                <w:tcPr>
                  <w:tcW w:w="1117" w:type="dxa"/>
                  <w:tcBorders>
                    <w:tl2br w:val="nil"/>
                    <w:tr2bl w:val="nil"/>
                  </w:tcBorders>
                  <w:shd w:val="clear" w:color="auto" w:fill="auto"/>
                  <w:noWrap w:val="0"/>
                  <w:vAlign w:val="center"/>
                </w:tcPr>
                <w:p w14:paraId="2331889D">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药房</w:t>
                  </w:r>
                </w:p>
              </w:tc>
              <w:tc>
                <w:tcPr>
                  <w:tcW w:w="1634" w:type="dxa"/>
                  <w:tcBorders>
                    <w:tl2br w:val="nil"/>
                    <w:tr2bl w:val="nil"/>
                  </w:tcBorders>
                  <w:shd w:val="clear" w:color="auto" w:fill="auto"/>
                  <w:noWrap w:val="0"/>
                  <w:vAlign w:val="center"/>
                </w:tcPr>
                <w:p w14:paraId="31B44D85">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eastAsia" w:cs="Times New Roman"/>
                      <w:b w:val="0"/>
                      <w:bCs/>
                      <w:color w:val="auto"/>
                      <w:highlight w:val="none"/>
                      <w:lang w:val="en-US" w:eastAsia="zh-CN"/>
                    </w:rPr>
                    <w:t>新洁尔灭</w:t>
                  </w:r>
                  <w:r>
                    <w:rPr>
                      <w:rFonts w:hint="default" w:ascii="Times New Roman" w:hAnsi="Times New Roman" w:eastAsia="宋体" w:cs="Times New Roman"/>
                      <w:b w:val="0"/>
                      <w:bCs/>
                      <w:color w:val="auto"/>
                      <w:highlight w:val="none"/>
                      <w:lang w:val="en-US" w:eastAsia="zh-CN"/>
                    </w:rPr>
                    <w:t>、医用酒精、</w:t>
                  </w:r>
                  <w:r>
                    <w:rPr>
                      <w:rFonts w:hint="eastAsia" w:cs="Times New Roman"/>
                      <w:b w:val="0"/>
                      <w:bCs/>
                      <w:color w:val="auto"/>
                      <w:highlight w:val="none"/>
                      <w:lang w:val="en-US" w:eastAsia="zh-CN"/>
                    </w:rPr>
                    <w:t>二氧化氯消毒片、84消毒液</w:t>
                  </w:r>
                </w:p>
              </w:tc>
              <w:tc>
                <w:tcPr>
                  <w:tcW w:w="5077" w:type="dxa"/>
                  <w:tcBorders>
                    <w:tl2br w:val="nil"/>
                    <w:tr2bl w:val="nil"/>
                  </w:tcBorders>
                  <w:shd w:val="clear" w:color="auto" w:fill="auto"/>
                  <w:noWrap w:val="0"/>
                  <w:vAlign w:val="center"/>
                </w:tcPr>
                <w:p w14:paraId="5CFAF5E1">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snapToGrid w:val="0"/>
                      <w:color w:val="auto"/>
                      <w:kern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在储存、使用过程中发生泄漏，或遇明火发生火灾引起次生、伴生污染物排放风险。消毒液贮存或操作不当，造成泄漏，可能导致人员中毒和环境污染。</w:t>
                  </w:r>
                </w:p>
              </w:tc>
            </w:tr>
            <w:tr w14:paraId="32470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491" w:type="dxa"/>
                  <w:tcBorders>
                    <w:tl2br w:val="nil"/>
                    <w:tr2bl w:val="nil"/>
                  </w:tcBorders>
                  <w:noWrap w:val="0"/>
                  <w:vAlign w:val="center"/>
                </w:tcPr>
                <w:p w14:paraId="78C45F20">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4</w:t>
                  </w:r>
                </w:p>
              </w:tc>
              <w:tc>
                <w:tcPr>
                  <w:tcW w:w="1117" w:type="dxa"/>
                  <w:tcBorders>
                    <w:tl2br w:val="nil"/>
                    <w:tr2bl w:val="nil"/>
                  </w:tcBorders>
                  <w:noWrap w:val="0"/>
                  <w:vAlign w:val="center"/>
                </w:tcPr>
                <w:p w14:paraId="62ED04A7">
                  <w:pPr>
                    <w:pStyle w:val="5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药房</w:t>
                  </w:r>
                </w:p>
              </w:tc>
              <w:tc>
                <w:tcPr>
                  <w:tcW w:w="1634" w:type="dxa"/>
                  <w:tcBorders>
                    <w:tl2br w:val="nil"/>
                    <w:tr2bl w:val="nil"/>
                  </w:tcBorders>
                  <w:noWrap w:val="0"/>
                  <w:vAlign w:val="center"/>
                </w:tcPr>
                <w:p w14:paraId="05D4ABA7">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各类药品和化学品</w:t>
                  </w:r>
                </w:p>
              </w:tc>
              <w:tc>
                <w:tcPr>
                  <w:tcW w:w="5077" w:type="dxa"/>
                  <w:tcBorders>
                    <w:tl2br w:val="nil"/>
                    <w:tr2bl w:val="nil"/>
                  </w:tcBorders>
                  <w:noWrap w:val="0"/>
                  <w:vAlign w:val="center"/>
                </w:tcPr>
                <w:p w14:paraId="10345D28">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管理不善，主要考虑人为因素情况将涉毒等危险药品</w:t>
                  </w:r>
                  <w:r>
                    <w:rPr>
                      <w:rFonts w:hint="eastAsia" w:cs="Times New Roman"/>
                      <w:b w:val="0"/>
                      <w:bCs/>
                      <w:color w:val="auto"/>
                      <w:highlight w:val="none"/>
                      <w:lang w:val="en-US" w:eastAsia="zh-CN"/>
                    </w:rPr>
                    <w:t>和化学品</w:t>
                  </w:r>
                  <w:r>
                    <w:rPr>
                      <w:rFonts w:hint="eastAsia" w:ascii="Times New Roman" w:hAnsi="Times New Roman" w:eastAsia="宋体" w:cs="Times New Roman"/>
                      <w:b w:val="0"/>
                      <w:bCs/>
                      <w:color w:val="auto"/>
                      <w:highlight w:val="none"/>
                      <w:lang w:val="en-US" w:eastAsia="zh-CN"/>
                    </w:rPr>
                    <w:t>投入外环境，造成环境污染及危害人员健康。</w:t>
                  </w:r>
                </w:p>
              </w:tc>
            </w:tr>
            <w:tr w14:paraId="700FE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noWrap w:val="0"/>
                  <w:vAlign w:val="center"/>
                </w:tcPr>
                <w:p w14:paraId="53670604">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5</w:t>
                  </w:r>
                </w:p>
              </w:tc>
              <w:tc>
                <w:tcPr>
                  <w:tcW w:w="1117" w:type="dxa"/>
                  <w:tcBorders>
                    <w:tl2br w:val="nil"/>
                    <w:tr2bl w:val="nil"/>
                  </w:tcBorders>
                  <w:noWrap w:val="0"/>
                  <w:vAlign w:val="center"/>
                </w:tcPr>
                <w:p w14:paraId="1AFFD1CC">
                  <w:pPr>
                    <w:pStyle w:val="5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cs="Times New Roman"/>
                      <w:b w:val="0"/>
                      <w:bCs/>
                      <w:snapToGrid w:val="0"/>
                      <w:color w:val="auto"/>
                      <w:kern w:val="2"/>
                      <w:sz w:val="21"/>
                      <w:szCs w:val="21"/>
                      <w:highlight w:val="none"/>
                      <w:lang w:val="en-US" w:eastAsia="zh-CN" w:bidi="ar-SA"/>
                    </w:rPr>
                  </w:pPr>
                  <w:r>
                    <w:rPr>
                      <w:rFonts w:hint="eastAsia" w:cs="Times New Roman"/>
                      <w:b w:val="0"/>
                      <w:bCs/>
                      <w:snapToGrid w:val="0"/>
                      <w:color w:val="auto"/>
                      <w:kern w:val="2"/>
                      <w:sz w:val="21"/>
                      <w:szCs w:val="21"/>
                      <w:highlight w:val="none"/>
                      <w:lang w:val="en-US" w:eastAsia="zh-CN" w:bidi="ar-SA"/>
                    </w:rPr>
                    <w:t>手术室</w:t>
                  </w:r>
                </w:p>
              </w:tc>
              <w:tc>
                <w:tcPr>
                  <w:tcW w:w="1634" w:type="dxa"/>
                  <w:tcBorders>
                    <w:tl2br w:val="nil"/>
                    <w:tr2bl w:val="nil"/>
                  </w:tcBorders>
                  <w:noWrap w:val="0"/>
                  <w:vAlign w:val="center"/>
                </w:tcPr>
                <w:p w14:paraId="5B6A263B">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氧气</w:t>
                  </w:r>
                </w:p>
              </w:tc>
              <w:tc>
                <w:tcPr>
                  <w:tcW w:w="5077" w:type="dxa"/>
                  <w:tcBorders>
                    <w:tl2br w:val="nil"/>
                    <w:tr2bl w:val="nil"/>
                  </w:tcBorders>
                  <w:noWrap w:val="0"/>
                  <w:vAlign w:val="center"/>
                </w:tcPr>
                <w:p w14:paraId="40F7B451">
                  <w:pPr>
                    <w:pStyle w:val="5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如操作不当，造成氧气泄漏，可能发生火灾、爆炸。</w:t>
                  </w:r>
                </w:p>
              </w:tc>
            </w:tr>
          </w:tbl>
          <w:p w14:paraId="71F007C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41" w:firstLineChars="100"/>
              <w:jc w:val="left"/>
              <w:textAlignment w:val="auto"/>
              <w:rPr>
                <w:rFonts w:hint="eastAsia"/>
                <w:b/>
                <w:bCs w:val="0"/>
                <w:color w:val="auto"/>
                <w:sz w:val="24"/>
                <w:lang w:val="en-US" w:eastAsia="zh-CN"/>
              </w:rPr>
            </w:pPr>
            <w:r>
              <w:rPr>
                <w:rFonts w:hint="eastAsia"/>
                <w:b/>
                <w:bCs w:val="0"/>
                <w:color w:val="auto"/>
                <w:sz w:val="24"/>
                <w:lang w:val="en-US" w:eastAsia="zh-CN"/>
              </w:rPr>
              <w:t>4.2.5.2 环境风险防范措施</w:t>
            </w:r>
          </w:p>
          <w:p w14:paraId="4AC86B36">
            <w:pPr>
              <w:keepNext w:val="0"/>
              <w:keepLines w:val="0"/>
              <w:pageBreakBefore w:val="0"/>
              <w:widowControl w:val="0"/>
              <w:kinsoku/>
              <w:wordWrap/>
              <w:overflowPunct/>
              <w:topLinePunct w:val="0"/>
              <w:autoSpaceDE/>
              <w:autoSpaceDN/>
              <w:bidi w:val="0"/>
              <w:spacing w:line="360" w:lineRule="auto"/>
              <w:ind w:firstLine="480" w:firstLineChars="200"/>
              <w:textAlignment w:val="auto"/>
              <w:rPr>
                <w:b w:val="0"/>
                <w:bCs/>
                <w:color w:val="auto"/>
                <w:sz w:val="24"/>
                <w:szCs w:val="24"/>
              </w:rPr>
            </w:pPr>
            <w:r>
              <w:rPr>
                <w:b w:val="0"/>
                <w:bCs/>
                <w:color w:val="auto"/>
                <w:sz w:val="24"/>
                <w:szCs w:val="24"/>
              </w:rPr>
              <w:t>（1）</w:t>
            </w:r>
            <w:r>
              <w:rPr>
                <w:rFonts w:hint="eastAsia"/>
                <w:b w:val="0"/>
                <w:bCs/>
                <w:color w:val="auto"/>
                <w:sz w:val="24"/>
                <w:szCs w:val="24"/>
              </w:rPr>
              <w:t>医疗废水事故排放防范及应急措施</w:t>
            </w:r>
          </w:p>
          <w:p w14:paraId="7247346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为减轻污染负荷，应避免出现废水事故性排放，本项目采取以下防范及应急措施：</w:t>
            </w:r>
          </w:p>
          <w:p w14:paraId="7DC773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szCs w:val="24"/>
              </w:rPr>
            </w:pPr>
            <w:r>
              <w:rPr>
                <w:rFonts w:hint="eastAsia"/>
                <w:b w:val="0"/>
                <w:bCs/>
                <w:color w:val="auto"/>
                <w:sz w:val="24"/>
                <w:szCs w:val="24"/>
                <w:lang w:val="en-US" w:eastAsia="zh-CN"/>
              </w:rPr>
              <w:t>①</w:t>
            </w:r>
            <w:r>
              <w:rPr>
                <w:rFonts w:hint="eastAsia"/>
                <w:b w:val="0"/>
                <w:bCs/>
                <w:color w:val="auto"/>
                <w:sz w:val="24"/>
                <w:szCs w:val="24"/>
              </w:rPr>
              <w:t>加强项目消毒设备、管线、阀门等设备元器件的维护保养，对系统的薄弱环节的地方，加强检查、维护保养，及时更新。对处理设备故障要及时抢修，防止因处理设备故障抢修不及时而造成污水超标排放。</w:t>
            </w:r>
          </w:p>
          <w:p w14:paraId="28EB8339">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lang w:val="en-US" w:eastAsia="zh-CN"/>
              </w:rPr>
              <w:t>②</w:t>
            </w:r>
            <w:r>
              <w:rPr>
                <w:rFonts w:hint="eastAsia"/>
                <w:b w:val="0"/>
                <w:bCs/>
                <w:color w:val="auto"/>
                <w:sz w:val="24"/>
                <w:szCs w:val="24"/>
              </w:rPr>
              <w:t>加强对操作人员的岗位培训，建立健全的环保管理机制和各项环保规章制度，落实岗位环保责任制，加强环境风险防范工作，防止事故排放导致环境问题。</w:t>
            </w:r>
          </w:p>
          <w:p w14:paraId="4CE675FD">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default" w:ascii="Times New Roman" w:hAnsi="Times New Roman" w:eastAsia="宋体" w:cs="Times New Roman"/>
                <w:b w:val="0"/>
                <w:bCs/>
                <w:color w:val="auto"/>
                <w:sz w:val="24"/>
                <w:highlight w:val="none"/>
                <w:lang w:val="en-US" w:eastAsia="zh-CN"/>
              </w:rPr>
              <w:t>③污水处理设施配套一个</w:t>
            </w:r>
            <w:r>
              <w:rPr>
                <w:rFonts w:hint="eastAsia" w:ascii="Times New Roman" w:hAnsi="Times New Roman" w:cs="Times New Roman"/>
                <w:b w:val="0"/>
                <w:bCs/>
                <w:color w:val="auto"/>
                <w:sz w:val="24"/>
                <w:highlight w:val="none"/>
                <w:lang w:val="en-US" w:eastAsia="zh-CN"/>
              </w:rPr>
              <w:t>应急事故</w:t>
            </w:r>
            <w:r>
              <w:rPr>
                <w:rFonts w:hint="default" w:ascii="Times New Roman" w:hAnsi="Times New Roman" w:eastAsia="宋体" w:cs="Times New Roman"/>
                <w:b w:val="0"/>
                <w:bCs/>
                <w:color w:val="auto"/>
                <w:sz w:val="24"/>
                <w:highlight w:val="none"/>
                <w:lang w:val="en-US" w:eastAsia="zh-CN"/>
              </w:rPr>
              <w:t>收集桶，有效容积为1m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，若污水处理设施发生突发情况下，可将项目废水收集至收集桶，待事故结束后再分批次将收集内的污废水引入污水处理设施进行处理，直到事故解除。</w:t>
            </w:r>
          </w:p>
          <w:p w14:paraId="4D0B9D2F">
            <w:pPr>
              <w:pStyle w:val="15"/>
              <w:keepNext w:val="0"/>
              <w:keepLines w:val="0"/>
              <w:pageBreakBefore w:val="0"/>
              <w:widowControl w:val="0"/>
              <w:kinsoku/>
              <w:wordWrap/>
              <w:overflowPunct/>
              <w:topLinePunct w:val="0"/>
              <w:autoSpaceDE/>
              <w:autoSpaceDN/>
              <w:bidi w:val="0"/>
              <w:spacing w:line="360" w:lineRule="auto"/>
              <w:ind w:firstLine="480" w:firstLineChars="200"/>
              <w:textAlignment w:val="auto"/>
              <w:rPr>
                <w:b w:val="0"/>
                <w:bCs/>
                <w:color w:val="auto"/>
                <w:sz w:val="24"/>
                <w:szCs w:val="24"/>
              </w:rPr>
            </w:pPr>
            <w:r>
              <w:rPr>
                <w:b w:val="0"/>
                <w:bCs/>
                <w:color w:val="auto"/>
                <w:sz w:val="24"/>
                <w:szCs w:val="24"/>
              </w:rPr>
              <w:t>（</w:t>
            </w:r>
            <w:r>
              <w:rPr>
                <w:rFonts w:hint="eastAsia"/>
                <w:b w:val="0"/>
                <w:bCs/>
                <w:color w:val="auto"/>
                <w:sz w:val="24"/>
                <w:szCs w:val="24"/>
                <w:lang w:val="en-US" w:eastAsia="zh-CN"/>
              </w:rPr>
              <w:t>2</w:t>
            </w:r>
            <w:r>
              <w:rPr>
                <w:b w:val="0"/>
                <w:bCs/>
                <w:color w:val="auto"/>
                <w:sz w:val="24"/>
                <w:szCs w:val="24"/>
              </w:rPr>
              <w:t>）</w:t>
            </w:r>
            <w:r>
              <w:rPr>
                <w:rFonts w:hint="eastAsia"/>
                <w:b w:val="0"/>
                <w:bCs/>
                <w:color w:val="auto"/>
                <w:sz w:val="24"/>
                <w:szCs w:val="24"/>
              </w:rPr>
              <w:t>医疗废物收集、贮存和运输风险防范措施</w:t>
            </w:r>
          </w:p>
          <w:p w14:paraId="738EB3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根据《国家危险废物名录》《医疗废物分类目录》等相关规定，合理分类并严格按照有关规定进行运转及暂时存放前提下，</w:t>
            </w:r>
            <w:r>
              <w:rPr>
                <w:rFonts w:hint="eastAsia"/>
                <w:b w:val="0"/>
                <w:bCs/>
                <w:color w:val="auto"/>
                <w:sz w:val="24"/>
                <w:szCs w:val="24"/>
                <w:lang w:val="en-US" w:eastAsia="zh-CN"/>
              </w:rPr>
              <w:t>本</w:t>
            </w:r>
            <w:r>
              <w:rPr>
                <w:rFonts w:hint="eastAsia"/>
                <w:b w:val="0"/>
                <w:bCs/>
                <w:color w:val="auto"/>
                <w:sz w:val="24"/>
                <w:szCs w:val="24"/>
              </w:rPr>
              <w:t>项目医疗废物经预消毒后统一交由有资质的单位集中处置，不会对周围环境产生大的影响。</w:t>
            </w:r>
          </w:p>
          <w:p w14:paraId="6A252DC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医院设置负责医疗废物管理的监控部门或者专（兼）职人员，负责检查、督促、落实本单位医疗废物的管理工作，建立医疗废物管理责任制；制定并落实相应的规章制度、工作程序和要求、有关人员的工作职责；对本单位从事医疗废物收集、运送、贮存等工作的人员和管理人员，进行相关法律和专业技术、安全防护以及紧急处理等知识的培训。</w:t>
            </w:r>
          </w:p>
          <w:p w14:paraId="56FD94C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根据《医院感染管理办法》</w:t>
            </w:r>
            <w:r>
              <w:rPr>
                <w:rFonts w:hint="eastAsia"/>
                <w:b w:val="0"/>
                <w:bCs/>
                <w:color w:val="auto"/>
                <w:sz w:val="24"/>
                <w:szCs w:val="24"/>
                <w:lang w:eastAsia="zh-CN"/>
              </w:rPr>
              <w:t>（</w:t>
            </w:r>
            <w:r>
              <w:rPr>
                <w:rFonts w:hint="eastAsia"/>
                <w:b w:val="0"/>
                <w:bCs/>
                <w:color w:val="auto"/>
                <w:sz w:val="24"/>
                <w:szCs w:val="24"/>
              </w:rPr>
              <w:t>卫生部令</w:t>
            </w:r>
            <w:r>
              <w:rPr>
                <w:rFonts w:hint="eastAsia"/>
                <w:b w:val="0"/>
                <w:bCs/>
                <w:color w:val="auto"/>
                <w:sz w:val="24"/>
                <w:szCs w:val="24"/>
                <w:lang w:val="en-US" w:eastAsia="zh-CN"/>
              </w:rPr>
              <w:t>第</w:t>
            </w:r>
            <w:r>
              <w:rPr>
                <w:rFonts w:hint="eastAsia"/>
                <w:b w:val="0"/>
                <w:bCs/>
                <w:color w:val="auto"/>
                <w:sz w:val="24"/>
                <w:szCs w:val="24"/>
              </w:rPr>
              <w:t>48号</w:t>
            </w:r>
            <w:r>
              <w:rPr>
                <w:rFonts w:hint="eastAsia"/>
                <w:b w:val="0"/>
                <w:bCs/>
                <w:color w:val="auto"/>
                <w:sz w:val="24"/>
                <w:szCs w:val="24"/>
                <w:lang w:eastAsia="zh-CN"/>
              </w:rPr>
              <w:t>）</w:t>
            </w:r>
            <w:r>
              <w:rPr>
                <w:rFonts w:hint="eastAsia"/>
                <w:b w:val="0"/>
                <w:bCs/>
                <w:color w:val="auto"/>
                <w:sz w:val="24"/>
                <w:szCs w:val="24"/>
              </w:rPr>
              <w:t>医院感染管理部门的职责中对医疗废物管理工作提供指导的要求，如发生医疗废物流失、泄漏、扩散和意外事故时，应当按照以下要求及时采取紧急处理措施：</w:t>
            </w:r>
          </w:p>
          <w:p w14:paraId="2EB9FD0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①医院发生医疗废物流失、泄漏、扩散和意外事故时，应当在48小时内向当地相关部门报告；发生因医疗废物管理不当导致1人以上死亡或者3人以上健康损害，需要对致病人员提供医疗救护和现场救援时，应当在24小时内向相关部门报告，并按以下规定采取紧急处理措施：</w:t>
            </w:r>
          </w:p>
          <w:p w14:paraId="53E7B678">
            <w:pPr>
              <w:keepNext w:val="0"/>
              <w:keepLines w:val="0"/>
              <w:pageBreakBefore w:val="0"/>
              <w:widowControl w:val="0"/>
              <w:kinsoku/>
              <w:wordWrap/>
              <w:overflowPunct/>
              <w:topLinePunct w:val="0"/>
              <w:autoSpaceDE/>
              <w:autoSpaceDN/>
              <w:bidi w:val="0"/>
              <w:spacing w:line="360" w:lineRule="auto"/>
              <w:ind w:firstLine="480" w:firstLineChars="200"/>
              <w:textAlignment w:val="auto"/>
              <w:rPr>
                <w:b w:val="0"/>
                <w:bCs/>
                <w:color w:val="auto"/>
                <w:sz w:val="24"/>
                <w:szCs w:val="24"/>
              </w:rPr>
            </w:pPr>
            <w:r>
              <w:rPr>
                <w:rFonts w:hint="eastAsia"/>
                <w:b w:val="0"/>
                <w:bCs/>
                <w:color w:val="auto"/>
                <w:sz w:val="24"/>
                <w:szCs w:val="24"/>
                <w:lang w:val="en-US" w:eastAsia="zh-CN"/>
              </w:rPr>
              <w:t>a.</w:t>
            </w:r>
            <w:r>
              <w:rPr>
                <w:rFonts w:hint="eastAsia"/>
                <w:b w:val="0"/>
                <w:bCs/>
                <w:color w:val="auto"/>
                <w:sz w:val="24"/>
                <w:szCs w:val="24"/>
              </w:rPr>
              <w:t>确定流失、泄漏、扩散的医疗废物的类别、数量、发生时间、影响范围及严重程度；</w:t>
            </w:r>
          </w:p>
          <w:p w14:paraId="30E95CE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b.组织有关人员尽快按照应急方案，对发生医疗废物泄漏、扩散的现场进行处理；</w:t>
            </w:r>
          </w:p>
          <w:p w14:paraId="5AE341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 w:val="0"/>
                <w:bCs/>
                <w:color w:val="auto"/>
                <w:sz w:val="24"/>
                <w:szCs w:val="24"/>
              </w:rPr>
            </w:pPr>
            <w:r>
              <w:rPr>
                <w:rFonts w:hint="eastAsia"/>
                <w:b w:val="0"/>
                <w:bCs/>
                <w:color w:val="auto"/>
                <w:sz w:val="24"/>
                <w:szCs w:val="24"/>
                <w:lang w:val="en-US" w:eastAsia="zh-CN"/>
              </w:rPr>
              <w:t>c.</w:t>
            </w:r>
            <w:r>
              <w:rPr>
                <w:rFonts w:hint="eastAsia"/>
                <w:b w:val="0"/>
                <w:bCs/>
                <w:color w:val="auto"/>
                <w:sz w:val="24"/>
                <w:szCs w:val="24"/>
              </w:rPr>
              <w:t>对被医疗废物污染的区域进行处理时，应当尽可能减少对病例、</w:t>
            </w:r>
            <w:r>
              <w:rPr>
                <w:rFonts w:hint="eastAsia"/>
                <w:b w:val="0"/>
                <w:bCs/>
                <w:color w:val="auto"/>
                <w:sz w:val="24"/>
                <w:szCs w:val="24"/>
                <w:lang w:eastAsia="zh-CN"/>
              </w:rPr>
              <w:t>医护人员</w:t>
            </w:r>
            <w:r>
              <w:rPr>
                <w:rFonts w:hint="eastAsia"/>
                <w:b w:val="0"/>
                <w:bCs/>
                <w:color w:val="auto"/>
                <w:sz w:val="24"/>
                <w:szCs w:val="24"/>
              </w:rPr>
              <w:t>、</w:t>
            </w:r>
            <w:r>
              <w:rPr>
                <w:rFonts w:hint="eastAsia"/>
                <w:b w:val="0"/>
                <w:bCs/>
                <w:color w:val="auto"/>
                <w:sz w:val="24"/>
                <w:szCs w:val="24"/>
                <w:lang w:eastAsia="zh-CN"/>
              </w:rPr>
              <w:t>其他</w:t>
            </w:r>
            <w:r>
              <w:rPr>
                <w:rFonts w:hint="eastAsia"/>
                <w:b w:val="0"/>
                <w:bCs/>
                <w:color w:val="auto"/>
                <w:sz w:val="24"/>
                <w:szCs w:val="24"/>
              </w:rPr>
              <w:t>现场人员及环境的影响；</w:t>
            </w:r>
          </w:p>
          <w:p w14:paraId="56CA72B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d.采取适当的安全处置措施，对泄漏物及受污染的区域、物品进行消毒或者其他无害化处置，污染或可疑污染处用2000mg/L含氯消毒剂喷洒消毒，停留30分钟后再做处理。必要时封锁污染区域，以防扩大污染；</w:t>
            </w:r>
          </w:p>
          <w:p w14:paraId="09E9AE6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e.对感染性废物污染区域进行消毒时，消毒工作从污染最轻区域向污染最严重区域进行，对可能被污染的所有使用过的工具也应当用2000mg/L含氯消毒剂喷洒消毒；</w:t>
            </w:r>
          </w:p>
          <w:p w14:paraId="6EC1D9C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f.工作人员应当做好卫生安全防护后进行工作，戴口罩、帽子和手套，进行工作时应避免用污染的手套接触其他物品，以避免污染环境。</w:t>
            </w:r>
          </w:p>
          <w:p w14:paraId="4A11E2D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rPr>
            </w:pPr>
            <w:r>
              <w:rPr>
                <w:rFonts w:hint="eastAsia"/>
                <w:b w:val="0"/>
                <w:bCs/>
                <w:color w:val="auto"/>
                <w:sz w:val="24"/>
                <w:szCs w:val="24"/>
              </w:rPr>
              <w:t>②调查处理工作结束后，及时将处理结果报告相关部门。</w:t>
            </w:r>
          </w:p>
          <w:p w14:paraId="3A74A0E4">
            <w:pPr>
              <w:keepNext w:val="0"/>
              <w:keepLines w:val="0"/>
              <w:pageBreakBefore w:val="0"/>
              <w:widowControl w:val="0"/>
              <w:kinsoku/>
              <w:wordWrap/>
              <w:overflowPunct/>
              <w:topLinePunct w:val="0"/>
              <w:autoSpaceDE/>
              <w:autoSpaceDN/>
              <w:bidi w:val="0"/>
              <w:spacing w:line="360" w:lineRule="auto"/>
              <w:ind w:firstLine="480" w:firstLineChars="200"/>
              <w:textAlignment w:val="auto"/>
              <w:rPr>
                <w:b w:val="0"/>
                <w:bCs/>
                <w:color w:val="auto"/>
                <w:sz w:val="24"/>
                <w:szCs w:val="24"/>
              </w:rPr>
            </w:pPr>
            <w:r>
              <w:rPr>
                <w:rFonts w:hint="eastAsia"/>
                <w:b w:val="0"/>
                <w:bCs/>
                <w:color w:val="auto"/>
                <w:sz w:val="24"/>
                <w:szCs w:val="24"/>
              </w:rPr>
              <w:t>③处理工作结束后，及时对事件的起因进行调查，并采取有效的防范措施预防类似事件的发生。</w:t>
            </w:r>
          </w:p>
          <w:p w14:paraId="183C9C57">
            <w:pPr>
              <w:keepNext w:val="0"/>
              <w:keepLines w:val="0"/>
              <w:pageBreakBefore w:val="0"/>
              <w:widowControl w:val="0"/>
              <w:kinsoku/>
              <w:wordWrap/>
              <w:overflowPunct/>
              <w:topLinePunct w:val="0"/>
              <w:autoSpaceDE/>
              <w:autoSpaceDN/>
              <w:bidi w:val="0"/>
              <w:spacing w:line="360" w:lineRule="auto"/>
              <w:ind w:firstLine="480" w:firstLineChars="200"/>
              <w:textAlignment w:val="auto"/>
              <w:rPr>
                <w:b w:val="0"/>
                <w:bCs/>
                <w:color w:val="auto"/>
                <w:sz w:val="24"/>
                <w:szCs w:val="24"/>
              </w:rPr>
            </w:pPr>
            <w:r>
              <w:rPr>
                <w:b w:val="0"/>
                <w:bCs/>
                <w:color w:val="auto"/>
                <w:sz w:val="24"/>
                <w:szCs w:val="24"/>
              </w:rPr>
              <w:t>（</w:t>
            </w:r>
            <w:r>
              <w:rPr>
                <w:rFonts w:hint="eastAsia"/>
                <w:b w:val="0"/>
                <w:bCs/>
                <w:color w:val="auto"/>
                <w:sz w:val="24"/>
                <w:szCs w:val="24"/>
                <w:lang w:val="en-US" w:eastAsia="zh-CN"/>
              </w:rPr>
              <w:t>3</w:t>
            </w:r>
            <w:r>
              <w:rPr>
                <w:b w:val="0"/>
                <w:bCs/>
                <w:color w:val="auto"/>
                <w:sz w:val="24"/>
                <w:szCs w:val="24"/>
              </w:rPr>
              <w:t>）</w:t>
            </w:r>
            <w:r>
              <w:rPr>
                <w:rFonts w:hint="eastAsia"/>
                <w:b w:val="0"/>
                <w:bCs/>
                <w:color w:val="auto"/>
                <w:sz w:val="24"/>
                <w:szCs w:val="24"/>
                <w:lang w:val="en-US" w:eastAsia="zh-CN"/>
              </w:rPr>
              <w:t>药品和化学品贮存及使用风险防范措施</w:t>
            </w:r>
          </w:p>
          <w:p w14:paraId="465B572B">
            <w:pPr>
              <w:keepNext w:val="0"/>
              <w:keepLines w:val="0"/>
              <w:pageBreakBefore w:val="0"/>
              <w:widowControl w:val="0"/>
              <w:kinsoku/>
              <w:wordWrap/>
              <w:overflowPunct/>
              <w:topLinePunct w:val="0"/>
              <w:autoSpaceDE/>
              <w:autoSpaceDN/>
              <w:bidi w:val="0"/>
              <w:spacing w:line="360" w:lineRule="auto"/>
              <w:ind w:firstLine="480" w:firstLineChars="200"/>
              <w:textAlignment w:val="auto"/>
              <w:rPr>
                <w:b w:val="0"/>
                <w:bCs/>
                <w:color w:val="auto"/>
                <w:sz w:val="24"/>
                <w:szCs w:val="24"/>
              </w:rPr>
            </w:pPr>
            <w:r>
              <w:rPr>
                <w:rFonts w:hint="eastAsia"/>
                <w:b w:val="0"/>
                <w:bCs/>
                <w:color w:val="auto"/>
                <w:sz w:val="24"/>
                <w:szCs w:val="24"/>
                <w:lang w:val="en-US" w:eastAsia="zh-CN"/>
              </w:rPr>
              <w:t>本项目不涉及配制试剂，故项目风险管理主要为药品的风险管理。</w:t>
            </w:r>
          </w:p>
          <w:p w14:paraId="6018CE0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本项目为正规宠物医院，其药品专门放置在配药台、化验台处。类似于实验室药品管理：所有试剂应摆放至相应位置，贴上相应标签；配制试剂应放置在固定的通风橱或冰箱内；有效期已过的试剂、药品，由实验室人员负责按照“危险废弃物及其包装物管理”进行处理，并负责清洗容器；检测人员应不断增强自我保护意识，加强学习，避免出现玻璃塞试剂瓶盛放碱性试剂等低级失误。</w:t>
            </w:r>
          </w:p>
          <w:p w14:paraId="4F794B7C">
            <w:pPr>
              <w:keepNext w:val="0"/>
              <w:keepLines w:val="0"/>
              <w:pageBreakBefore w:val="0"/>
              <w:widowControl w:val="0"/>
              <w:kinsoku/>
              <w:wordWrap/>
              <w:overflowPunct/>
              <w:topLinePunct w:val="0"/>
              <w:autoSpaceDE/>
              <w:autoSpaceDN/>
              <w:bidi w:val="0"/>
              <w:spacing w:line="360" w:lineRule="auto"/>
              <w:ind w:firstLine="480" w:firstLineChars="200"/>
              <w:textAlignment w:val="auto"/>
              <w:rPr>
                <w:b w:val="0"/>
                <w:bCs/>
                <w:color w:val="auto"/>
                <w:sz w:val="24"/>
                <w:szCs w:val="24"/>
              </w:rPr>
            </w:pPr>
            <w:r>
              <w:rPr>
                <w:rFonts w:hint="eastAsia"/>
                <w:b w:val="0"/>
                <w:bCs/>
                <w:color w:val="auto"/>
                <w:sz w:val="24"/>
                <w:szCs w:val="24"/>
                <w:lang w:val="en-US" w:eastAsia="zh-CN"/>
              </w:rPr>
              <w:t>医用危险化学品的购买、储存、保管和使用，以及运输应当按照《危险化学品安全管理条例》的规定进行管理，危险化学品必须储存在专用的储存室内，其存储方式、方法和数量必须符合国家标准，并由专人管理，危险化学品出入库应进行核查登记，并定期检查库存，实行双人双发、双人保管制度。</w:t>
            </w:r>
          </w:p>
          <w:p w14:paraId="4989779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存放的酒精每次取用后应立即将容器上盖封闭，严禁敞开放置；酒精应避免用玻璃瓶存放，防止跌落破损；酒精应远离火种、热源，温度不宜超过30℃，防止阳光直射。若酒精着火后，着火面积较大时，应第一时间拨打119，使用干粉灭火器或二氧化碳灭火器进行灭火。如果有沙子或土，可使用沙子或土进行灭火。不能使用水进行泼洒灭火。</w:t>
            </w:r>
          </w:p>
          <w:p w14:paraId="55274D5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（4）氧气储存风险防范及应急措施</w:t>
            </w:r>
          </w:p>
          <w:p w14:paraId="556CEAC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lang w:val="en-US" w:eastAsia="zh-CN"/>
              </w:rPr>
            </w:pPr>
            <w:r>
              <w:rPr>
                <w:rFonts w:hint="eastAsia"/>
                <w:b w:val="0"/>
                <w:bCs/>
                <w:color w:val="auto"/>
                <w:sz w:val="24"/>
                <w:szCs w:val="24"/>
                <w:lang w:val="en-US" w:eastAsia="zh-CN"/>
              </w:rPr>
              <w:t>本项目氧气瓶存放于手术室内，由专人进行管理，氧气瓶不得与可燃气体气瓶同室储存。储存室内禁绝烟火，并远离热源和明火，必须禁绝抽烟及其他一切火源。防止瓶内积水及积存其他污物，防止气瓶腐蚀及其他损害，进而避免气瓶爆炸。严禁使用超过检验期的气瓶。氧气瓶发生爆炸后会带来安全问题，但不会造成环境危害。</w:t>
            </w:r>
          </w:p>
          <w:p w14:paraId="19CEED2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（5）动物疫病风险防控措施</w:t>
            </w:r>
          </w:p>
          <w:p w14:paraId="618F240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①</w:t>
            </w:r>
            <w:r>
              <w:rPr>
                <w:rFonts w:hint="default"/>
                <w:b w:val="0"/>
                <w:bCs/>
                <w:color w:val="auto"/>
                <w:sz w:val="24"/>
                <w:szCs w:val="24"/>
                <w:lang w:val="en-US" w:eastAsia="zh-CN"/>
              </w:rPr>
              <w:t>严格遵守《中华人民共和国动物防疫法</w:t>
            </w:r>
            <w:r>
              <w:rPr>
                <w:rFonts w:hint="eastAsia"/>
                <w:b w:val="0"/>
                <w:bCs/>
                <w:color w:val="auto"/>
                <w:sz w:val="24"/>
                <w:szCs w:val="24"/>
                <w:lang w:val="en-US" w:eastAsia="zh-CN"/>
              </w:rPr>
              <w:t>》《</w:t>
            </w:r>
            <w:r>
              <w:rPr>
                <w:rFonts w:hint="default"/>
                <w:b w:val="0"/>
                <w:bCs/>
                <w:color w:val="auto"/>
                <w:sz w:val="24"/>
                <w:szCs w:val="24"/>
                <w:lang w:val="en-US" w:eastAsia="zh-CN"/>
              </w:rPr>
              <w:t>重庆市动物防疫条例</w:t>
            </w:r>
            <w:r>
              <w:rPr>
                <w:rFonts w:hint="eastAsia"/>
                <w:b w:val="0"/>
                <w:bCs/>
                <w:color w:val="auto"/>
                <w:sz w:val="24"/>
                <w:szCs w:val="24"/>
                <w:lang w:val="en-US" w:eastAsia="zh-CN"/>
              </w:rPr>
              <w:t>》《</w:t>
            </w:r>
            <w:r>
              <w:rPr>
                <w:rFonts w:hint="default"/>
                <w:b w:val="0"/>
                <w:bCs/>
                <w:color w:val="auto"/>
                <w:sz w:val="24"/>
                <w:szCs w:val="24"/>
                <w:lang w:val="en-US" w:eastAsia="zh-CN"/>
              </w:rPr>
              <w:t>重庆市无规定动物疫病区管理办法》等相关规定，杜绝动物疫病传播。</w:t>
            </w:r>
          </w:p>
          <w:p w14:paraId="0939CEB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②</w:t>
            </w:r>
            <w:r>
              <w:rPr>
                <w:rFonts w:hint="default"/>
                <w:b w:val="0"/>
                <w:bCs/>
                <w:color w:val="auto"/>
                <w:sz w:val="24"/>
                <w:szCs w:val="24"/>
                <w:lang w:val="en-US" w:eastAsia="zh-CN"/>
              </w:rPr>
              <w:t>依照有关规定，妥善处理宠物及其排泄物；妥善处理宠物医疗废弃物，不得随意丢弃。</w:t>
            </w:r>
          </w:p>
          <w:p w14:paraId="0B33FB3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③</w:t>
            </w:r>
            <w:r>
              <w:rPr>
                <w:rFonts w:hint="default"/>
                <w:b w:val="0"/>
                <w:bCs/>
                <w:color w:val="auto"/>
                <w:sz w:val="24"/>
                <w:szCs w:val="24"/>
                <w:lang w:val="en-US" w:eastAsia="zh-CN"/>
              </w:rPr>
              <w:t>本项目收治动物不涉及动物疫病，每个宠物在入院前都要做一次疫情检查，未发现疫情可入院治疗；且医院设有门诊日志、住院部设有住院登记簿等。</w:t>
            </w:r>
          </w:p>
          <w:p w14:paraId="32C392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④</w:t>
            </w:r>
            <w:r>
              <w:rPr>
                <w:rFonts w:hint="default"/>
                <w:b w:val="0"/>
                <w:bCs/>
                <w:color w:val="auto"/>
                <w:sz w:val="24"/>
                <w:szCs w:val="24"/>
                <w:lang w:val="en-US" w:eastAsia="zh-CN"/>
              </w:rPr>
              <w:t>配备专门人员，负责疫情信息记录和报告，定期向所在地动物防疫机构报告。</w:t>
            </w:r>
          </w:p>
          <w:p w14:paraId="3C649B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⑤</w:t>
            </w:r>
            <w:r>
              <w:rPr>
                <w:rFonts w:hint="default"/>
                <w:b w:val="0"/>
                <w:bCs/>
                <w:color w:val="auto"/>
                <w:sz w:val="24"/>
                <w:szCs w:val="24"/>
                <w:lang w:val="en-US" w:eastAsia="zh-CN"/>
              </w:rPr>
              <w:t>各类疫情报表要认真填写，不得瞒报、谎报、迟报、漏报或阻碍他人报告动物疫情。对疫点应当采取下列措施：</w:t>
            </w:r>
          </w:p>
          <w:p w14:paraId="08ABFFB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a.</w:t>
            </w:r>
            <w:r>
              <w:rPr>
                <w:rFonts w:hint="default"/>
                <w:b w:val="0"/>
                <w:bCs/>
                <w:color w:val="auto"/>
                <w:sz w:val="24"/>
                <w:szCs w:val="24"/>
                <w:lang w:val="en-US" w:eastAsia="zh-CN"/>
              </w:rPr>
              <w:t>扑杀并销毁染疫动物和易感染的动物及其产品；</w:t>
            </w:r>
          </w:p>
          <w:p w14:paraId="24DF9D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b.</w:t>
            </w:r>
            <w:r>
              <w:rPr>
                <w:rFonts w:hint="default"/>
                <w:b w:val="0"/>
                <w:bCs/>
                <w:color w:val="auto"/>
                <w:sz w:val="24"/>
                <w:szCs w:val="24"/>
                <w:lang w:val="en-US" w:eastAsia="zh-CN"/>
              </w:rPr>
              <w:t>对病死的动物、动物排泄物、被污染饲料、垫料、污水进行无害化处理；</w:t>
            </w:r>
          </w:p>
          <w:p w14:paraId="755881C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c.</w:t>
            </w:r>
            <w:r>
              <w:rPr>
                <w:rFonts w:hint="default"/>
                <w:b w:val="0"/>
                <w:bCs/>
                <w:color w:val="auto"/>
                <w:sz w:val="24"/>
                <w:szCs w:val="24"/>
                <w:lang w:val="en-US" w:eastAsia="zh-CN"/>
              </w:rPr>
              <w:t>对被污染的物品、用具、动物圈舍、场地进行严格消毒。</w:t>
            </w:r>
          </w:p>
          <w:p w14:paraId="339525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⑥</w:t>
            </w:r>
            <w:r>
              <w:rPr>
                <w:rFonts w:hint="default"/>
                <w:b w:val="0"/>
                <w:bCs/>
                <w:color w:val="auto"/>
                <w:sz w:val="24"/>
                <w:szCs w:val="24"/>
                <w:lang w:val="en-US" w:eastAsia="zh-CN"/>
              </w:rPr>
              <w:t>根据《病死及病害动物无害化处理技术规范》（农医发</w:t>
            </w:r>
            <w:r>
              <w:rPr>
                <w:rFonts w:hint="eastAsia"/>
                <w:b w:val="0"/>
                <w:bCs/>
                <w:color w:val="auto"/>
                <w:sz w:val="24"/>
                <w:szCs w:val="24"/>
                <w:lang w:val="en-US" w:eastAsia="zh-CN"/>
              </w:rPr>
              <w:t>〔2017〕25号</w:t>
            </w:r>
            <w:r>
              <w:rPr>
                <w:rFonts w:hint="default"/>
                <w:b w:val="0"/>
                <w:bCs/>
                <w:color w:val="auto"/>
                <w:sz w:val="24"/>
                <w:szCs w:val="24"/>
                <w:lang w:val="en-US" w:eastAsia="zh-CN"/>
              </w:rPr>
              <w:t>），为防止动物疫病传播扩散，病死及病害动物和相关动物产品的收集、暂存、转运等操作的工作人员应经过专门培训，掌握相应的动物防疫知识；包装材料应符合密闭、防水、防渗、防破损、耐腐蚀等要求，医院采用冷冻或冷藏方式进行暂存，防止无害化处理前病死及病害动物和相关动物产品腐败。</w:t>
            </w:r>
          </w:p>
          <w:p w14:paraId="1F33CA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color w:val="auto"/>
                <w:sz w:val="24"/>
                <w:lang w:val="en-US" w:eastAsia="zh-CN"/>
              </w:rPr>
            </w:pPr>
            <w:r>
              <w:rPr>
                <w:rFonts w:hint="eastAsia"/>
                <w:b w:val="0"/>
                <w:bCs/>
                <w:color w:val="auto"/>
                <w:sz w:val="24"/>
                <w:szCs w:val="24"/>
                <w:lang w:val="en-US" w:eastAsia="zh-CN"/>
              </w:rPr>
              <w:t>⑦</w:t>
            </w:r>
            <w:r>
              <w:rPr>
                <w:rFonts w:hint="default"/>
                <w:b w:val="0"/>
                <w:bCs/>
                <w:color w:val="auto"/>
                <w:sz w:val="24"/>
                <w:szCs w:val="24"/>
                <w:lang w:val="en-US" w:eastAsia="zh-CN"/>
              </w:rPr>
              <w:t>发现动物疫病或疑似动物疫病时，及时向所在地动物防疫机构报告，同时采取紧急措施控制疫情蔓延。重大动物疫情发生后，县级以上地方人民政府兽医主管部门应当立即划定疫点、疫区和受威胁区，调查疫源，向本级人民政府提出启动重大动物疫情应急指挥系统、应急预案和对疫区实行封锁的建议，有关人民政府应当立即作出决定。疫点、疫区和受威胁区的范围应当按照不同动物疫病病种及其流行特点和危害程度划定，具体划定标准由国务院兽医主管部门制定。</w:t>
            </w:r>
          </w:p>
        </w:tc>
      </w:tr>
    </w:tbl>
    <w:p w14:paraId="1CBCBEDA">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D99F1A5">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2" w:name="_Hlk54167917"/>
      <w:r>
        <w:rPr>
          <w:rFonts w:hint="eastAsia" w:ascii="黑体" w:hAnsi="黑体" w:eastAsia="黑体"/>
          <w:snapToGrid w:val="0"/>
          <w:color w:val="auto"/>
          <w:sz w:val="30"/>
          <w:szCs w:val="30"/>
        </w:rPr>
        <w:t>环境保护措施监督检查清单</w:t>
      </w:r>
      <w:bookmarkEnd w:id="2"/>
    </w:p>
    <w:tbl>
      <w:tblPr>
        <w:tblStyle w:val="21"/>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345"/>
        <w:gridCol w:w="1530"/>
        <w:gridCol w:w="1950"/>
        <w:gridCol w:w="2382"/>
      </w:tblGrid>
      <w:tr w14:paraId="34929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tcBorders>
              <w:tl2br w:val="single" w:color="auto" w:sz="4" w:space="0"/>
            </w:tcBorders>
            <w:noWrap w:val="0"/>
            <w:vAlign w:val="top"/>
          </w:tcPr>
          <w:p w14:paraId="5D99E3EC">
            <w:pPr>
              <w:keepNext w:val="0"/>
              <w:keepLines w:val="0"/>
              <w:pageBreakBefore w:val="0"/>
              <w:widowControl w:val="0"/>
              <w:kinsoku/>
              <w:wordWrap/>
              <w:overflowPunct/>
              <w:topLinePunct w:val="0"/>
              <w:autoSpaceDE/>
              <w:autoSpaceDN/>
              <w:bidi w:val="0"/>
              <w:adjustRightInd w:val="0"/>
              <w:snapToGrid w:val="0"/>
              <w:spacing w:line="240" w:lineRule="auto"/>
              <w:ind w:firstLine="84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14:paraId="19C34A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4"/>
                <w:szCs w:val="24"/>
              </w:rPr>
            </w:pPr>
          </w:p>
          <w:p w14:paraId="7C1090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345" w:type="dxa"/>
            <w:noWrap w:val="0"/>
            <w:vAlign w:val="center"/>
          </w:tcPr>
          <w:p w14:paraId="7E0B97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w:t>
            </w:r>
            <w:r>
              <w:rPr>
                <w:rFonts w:hint="eastAsia" w:cs="Times New Roman"/>
                <w:color w:val="auto"/>
                <w:sz w:val="24"/>
                <w:szCs w:val="24"/>
                <w:lang w:eastAsia="zh-CN"/>
              </w:rPr>
              <w:t>（</w:t>
            </w:r>
            <w:r>
              <w:rPr>
                <w:rFonts w:hint="default" w:ascii="Times New Roman" w:hAnsi="Times New Roman" w:cs="Times New Roman"/>
                <w:color w:val="auto"/>
                <w:sz w:val="24"/>
                <w:szCs w:val="24"/>
              </w:rPr>
              <w:t>编号、</w:t>
            </w:r>
          </w:p>
          <w:p w14:paraId="68417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w:t>
            </w:r>
            <w:r>
              <w:rPr>
                <w:rFonts w:hint="eastAsia" w:cs="Times New Roman"/>
                <w:color w:val="auto"/>
                <w:sz w:val="24"/>
                <w:szCs w:val="24"/>
                <w:lang w:eastAsia="zh-CN"/>
              </w:rPr>
              <w:t>）</w:t>
            </w:r>
            <w:r>
              <w:rPr>
                <w:rFonts w:hint="default" w:ascii="Times New Roman" w:hAnsi="Times New Roman" w:cs="Times New Roman"/>
                <w:color w:val="auto"/>
                <w:sz w:val="24"/>
                <w:szCs w:val="24"/>
              </w:rPr>
              <w:t>/污染源</w:t>
            </w:r>
          </w:p>
        </w:tc>
        <w:tc>
          <w:tcPr>
            <w:tcW w:w="1530" w:type="dxa"/>
            <w:noWrap w:val="0"/>
            <w:vAlign w:val="center"/>
          </w:tcPr>
          <w:p w14:paraId="2E9E1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1950" w:type="dxa"/>
            <w:noWrap w:val="0"/>
            <w:vAlign w:val="center"/>
          </w:tcPr>
          <w:p w14:paraId="12DFFA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2382" w:type="dxa"/>
            <w:noWrap w:val="0"/>
            <w:vAlign w:val="center"/>
          </w:tcPr>
          <w:p w14:paraId="25B08E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14:paraId="34604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04A8D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345" w:type="dxa"/>
            <w:noWrap w:val="0"/>
            <w:vAlign w:val="center"/>
          </w:tcPr>
          <w:p w14:paraId="64140A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诊疗、住院、</w:t>
            </w:r>
            <w:r>
              <w:rPr>
                <w:rFonts w:hint="eastAsia" w:cs="Times New Roman"/>
                <w:color w:val="auto"/>
                <w:sz w:val="24"/>
                <w:szCs w:val="24"/>
                <w:lang w:eastAsia="zh-CN"/>
              </w:rPr>
              <w:t>消毒设施</w:t>
            </w:r>
            <w:r>
              <w:rPr>
                <w:rFonts w:hint="default" w:ascii="Times New Roman" w:hAnsi="Times New Roman" w:cs="Times New Roman"/>
                <w:color w:val="auto"/>
                <w:sz w:val="24"/>
                <w:szCs w:val="24"/>
              </w:rPr>
              <w:t>等</w:t>
            </w:r>
          </w:p>
        </w:tc>
        <w:tc>
          <w:tcPr>
            <w:tcW w:w="1530" w:type="dxa"/>
            <w:noWrap w:val="0"/>
            <w:vAlign w:val="center"/>
          </w:tcPr>
          <w:p w14:paraId="381693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异味</w:t>
            </w:r>
          </w:p>
        </w:tc>
        <w:tc>
          <w:tcPr>
            <w:tcW w:w="1950" w:type="dxa"/>
            <w:noWrap w:val="0"/>
            <w:vAlign w:val="center"/>
          </w:tcPr>
          <w:p w14:paraId="18172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采用自然通风和空调系统结合的形式进行通风</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病房设有紫外线灯管消毒杀菌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每天使用</w:t>
            </w:r>
            <w:r>
              <w:rPr>
                <w:rFonts w:hint="eastAsia" w:cs="Times New Roman"/>
                <w:color w:val="auto"/>
                <w:sz w:val="24"/>
                <w:szCs w:val="24"/>
                <w:lang w:eastAsia="zh-CN"/>
              </w:rPr>
              <w:t>新洁尔灭</w:t>
            </w:r>
            <w:r>
              <w:rPr>
                <w:rFonts w:hint="default" w:ascii="Times New Roman" w:hAnsi="Times New Roman" w:cs="Times New Roman"/>
                <w:color w:val="auto"/>
                <w:sz w:val="24"/>
                <w:szCs w:val="24"/>
              </w:rPr>
              <w:t>等对医院进行消毒</w:t>
            </w:r>
          </w:p>
        </w:tc>
        <w:tc>
          <w:tcPr>
            <w:tcW w:w="2382" w:type="dxa"/>
            <w:noWrap w:val="0"/>
            <w:vAlign w:val="center"/>
          </w:tcPr>
          <w:p w14:paraId="6C15D6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恶臭污染物排放标准》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GB14554-93</w:t>
            </w:r>
            <w:r>
              <w:rPr>
                <w:rFonts w:hint="default" w:ascii="Times New Roman" w:hAnsi="Times New Roman" w:cs="Times New Roman"/>
                <w:color w:val="auto"/>
                <w:sz w:val="24"/>
                <w:szCs w:val="24"/>
                <w:lang w:eastAsia="zh-CN"/>
              </w:rPr>
              <w:t>）</w:t>
            </w:r>
          </w:p>
        </w:tc>
      </w:tr>
      <w:tr w14:paraId="3E23D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vMerge w:val="restart"/>
            <w:noWrap w:val="0"/>
            <w:vAlign w:val="center"/>
          </w:tcPr>
          <w:p w14:paraId="0118F4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345" w:type="dxa"/>
            <w:shd w:val="clear" w:color="auto" w:fill="auto"/>
            <w:noWrap w:val="0"/>
            <w:vAlign w:val="center"/>
          </w:tcPr>
          <w:p w14:paraId="6D33E1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消毒设施</w:t>
            </w:r>
            <w:r>
              <w:rPr>
                <w:rFonts w:hint="eastAsia" w:ascii="Times New Roman" w:hAnsi="Times New Roman" w:cs="Times New Roman"/>
                <w:color w:val="auto"/>
                <w:sz w:val="24"/>
                <w:szCs w:val="24"/>
                <w:lang w:val="en-US" w:eastAsia="zh-CN"/>
              </w:rPr>
              <w:t>排放口（DW001）</w:t>
            </w:r>
          </w:p>
        </w:tc>
        <w:tc>
          <w:tcPr>
            <w:tcW w:w="1530" w:type="dxa"/>
            <w:shd w:val="clear" w:color="auto" w:fill="auto"/>
            <w:noWrap w:val="0"/>
            <w:vAlign w:val="center"/>
          </w:tcPr>
          <w:p w14:paraId="6C3172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粪大肠菌群</w:t>
            </w:r>
            <w:r>
              <w:rPr>
                <w:rFonts w:hint="eastAsia" w:cs="Times New Roman"/>
                <w:color w:val="auto"/>
                <w:sz w:val="24"/>
                <w:szCs w:val="24"/>
                <w:lang w:val="en-US" w:eastAsia="zh-CN"/>
              </w:rPr>
              <w:t>、总余氯</w:t>
            </w:r>
          </w:p>
        </w:tc>
        <w:tc>
          <w:tcPr>
            <w:tcW w:w="1950" w:type="dxa"/>
            <w:vMerge w:val="restart"/>
            <w:noWrap w:val="0"/>
            <w:vAlign w:val="center"/>
          </w:tcPr>
          <w:p w14:paraId="783782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项目设置</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台</w:t>
            </w:r>
            <w:r>
              <w:rPr>
                <w:rFonts w:hint="default" w:ascii="Times New Roman" w:hAnsi="Times New Roman" w:cs="Times New Roman"/>
                <w:color w:val="auto"/>
                <w:sz w:val="24"/>
                <w:szCs w:val="24"/>
              </w:rPr>
              <w:t>医疗废水</w:t>
            </w:r>
            <w:r>
              <w:rPr>
                <w:rFonts w:hint="eastAsia" w:cs="Times New Roman"/>
                <w:color w:val="auto"/>
                <w:sz w:val="24"/>
                <w:szCs w:val="24"/>
                <w:lang w:eastAsia="zh-CN"/>
              </w:rPr>
              <w:t>消毒设施</w:t>
            </w:r>
            <w:r>
              <w:rPr>
                <w:rFonts w:hint="default" w:ascii="Times New Roman" w:hAnsi="Times New Roman" w:cs="Times New Roman"/>
                <w:color w:val="auto"/>
                <w:sz w:val="24"/>
                <w:szCs w:val="24"/>
              </w:rPr>
              <w:t>，医疗废水经相应的消毒设施预处理后，宠物洗浴污水经滤网过滤后，和其他废水、生活污水一并排入</w:t>
            </w:r>
            <w:r>
              <w:rPr>
                <w:rFonts w:hint="eastAsia" w:cs="Times New Roman"/>
                <w:color w:val="auto"/>
                <w:sz w:val="24"/>
                <w:szCs w:val="24"/>
                <w:lang w:eastAsia="zh-CN"/>
              </w:rPr>
              <w:t>金科阳光小镇6期</w:t>
            </w:r>
            <w:r>
              <w:rPr>
                <w:rFonts w:hint="default" w:ascii="Times New Roman" w:hAnsi="Times New Roman" w:cs="Times New Roman"/>
                <w:color w:val="auto"/>
                <w:sz w:val="24"/>
                <w:szCs w:val="24"/>
              </w:rPr>
              <w:t>生化池进行处理，处理达标后排入市政污水管网</w:t>
            </w:r>
          </w:p>
        </w:tc>
        <w:tc>
          <w:tcPr>
            <w:tcW w:w="2382" w:type="dxa"/>
            <w:vMerge w:val="restart"/>
            <w:noWrap w:val="0"/>
            <w:vAlign w:val="center"/>
          </w:tcPr>
          <w:p w14:paraId="0F5F1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总余氯在</w:t>
            </w:r>
            <w:r>
              <w:rPr>
                <w:rFonts w:hint="eastAsia" w:cs="Times New Roman"/>
                <w:color w:val="auto"/>
                <w:sz w:val="24"/>
                <w:szCs w:val="24"/>
                <w:lang w:eastAsia="zh-CN"/>
              </w:rPr>
              <w:t>消毒设施</w:t>
            </w:r>
            <w:r>
              <w:rPr>
                <w:rFonts w:hint="default" w:ascii="Times New Roman" w:hAnsi="Times New Roman" w:cs="Times New Roman"/>
                <w:color w:val="auto"/>
                <w:sz w:val="24"/>
                <w:szCs w:val="24"/>
              </w:rPr>
              <w:t>排放口进行控制，医疗废水</w:t>
            </w:r>
            <w:r>
              <w:rPr>
                <w:rFonts w:hint="eastAsia" w:cs="Times New Roman"/>
                <w:color w:val="auto"/>
                <w:sz w:val="24"/>
                <w:szCs w:val="24"/>
                <w:lang w:eastAsia="zh-CN"/>
              </w:rPr>
              <w:t>消毒设施</w:t>
            </w:r>
            <w:r>
              <w:rPr>
                <w:rFonts w:hint="default" w:ascii="Times New Roman" w:hAnsi="Times New Roman" w:cs="Times New Roman"/>
                <w:color w:val="auto"/>
                <w:sz w:val="24"/>
                <w:szCs w:val="24"/>
              </w:rPr>
              <w:t>排放口出水参照执行《医疗机构水污染物排放标准》</w:t>
            </w:r>
            <w:r>
              <w:rPr>
                <w:rFonts w:hint="eastAsia" w:cs="Times New Roman"/>
                <w:color w:val="auto"/>
                <w:sz w:val="24"/>
                <w:szCs w:val="24"/>
                <w:lang w:eastAsia="zh-CN"/>
              </w:rPr>
              <w:t>（GB18466-2005）</w:t>
            </w:r>
            <w:r>
              <w:rPr>
                <w:rFonts w:hint="default" w:ascii="Times New Roman" w:hAnsi="Times New Roman" w:cs="Times New Roman"/>
                <w:color w:val="auto"/>
                <w:sz w:val="24"/>
                <w:szCs w:val="24"/>
              </w:rPr>
              <w:t>预处理标准</w:t>
            </w:r>
          </w:p>
        </w:tc>
      </w:tr>
      <w:tr w14:paraId="3211C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vMerge w:val="continue"/>
            <w:noWrap w:val="0"/>
            <w:vAlign w:val="center"/>
          </w:tcPr>
          <w:p w14:paraId="7449C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p>
        </w:tc>
        <w:tc>
          <w:tcPr>
            <w:tcW w:w="1345" w:type="dxa"/>
            <w:shd w:val="clear" w:color="auto" w:fill="auto"/>
            <w:noWrap w:val="0"/>
            <w:vAlign w:val="center"/>
          </w:tcPr>
          <w:p w14:paraId="0DA022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消毒设施</w:t>
            </w:r>
            <w:r>
              <w:rPr>
                <w:rFonts w:hint="eastAsia" w:ascii="Times New Roman" w:hAnsi="Times New Roman" w:cs="Times New Roman"/>
                <w:color w:val="auto"/>
                <w:sz w:val="24"/>
                <w:szCs w:val="24"/>
                <w:lang w:val="en-US" w:eastAsia="zh-CN"/>
              </w:rPr>
              <w:t>排放口（DW002）</w:t>
            </w:r>
          </w:p>
        </w:tc>
        <w:tc>
          <w:tcPr>
            <w:tcW w:w="1530" w:type="dxa"/>
            <w:shd w:val="clear" w:color="auto" w:fill="auto"/>
            <w:noWrap w:val="0"/>
            <w:vAlign w:val="center"/>
          </w:tcPr>
          <w:p w14:paraId="48587F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粪大肠菌群</w:t>
            </w:r>
            <w:r>
              <w:rPr>
                <w:rFonts w:hint="eastAsia" w:cs="Times New Roman"/>
                <w:color w:val="auto"/>
                <w:sz w:val="24"/>
                <w:szCs w:val="24"/>
                <w:lang w:val="en-US" w:eastAsia="zh-CN"/>
              </w:rPr>
              <w:t>、总余氯</w:t>
            </w:r>
          </w:p>
        </w:tc>
        <w:tc>
          <w:tcPr>
            <w:tcW w:w="1950" w:type="dxa"/>
            <w:vMerge w:val="continue"/>
            <w:noWrap w:val="0"/>
            <w:vAlign w:val="center"/>
          </w:tcPr>
          <w:p w14:paraId="4C26EE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p>
        </w:tc>
        <w:tc>
          <w:tcPr>
            <w:tcW w:w="2382" w:type="dxa"/>
            <w:vMerge w:val="continue"/>
            <w:noWrap w:val="0"/>
            <w:vAlign w:val="center"/>
          </w:tcPr>
          <w:p w14:paraId="3FFB6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p>
        </w:tc>
      </w:tr>
      <w:tr w14:paraId="304AD3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vMerge w:val="continue"/>
            <w:noWrap w:val="0"/>
            <w:vAlign w:val="center"/>
          </w:tcPr>
          <w:p w14:paraId="3A8EB2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p>
        </w:tc>
        <w:tc>
          <w:tcPr>
            <w:tcW w:w="1345" w:type="dxa"/>
            <w:noWrap w:val="0"/>
            <w:vAlign w:val="center"/>
          </w:tcPr>
          <w:p w14:paraId="44683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生化池排放口（DW00</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w:t>
            </w:r>
          </w:p>
        </w:tc>
        <w:tc>
          <w:tcPr>
            <w:tcW w:w="1530" w:type="dxa"/>
            <w:noWrap w:val="0"/>
            <w:vAlign w:val="center"/>
          </w:tcPr>
          <w:p w14:paraId="65E6E8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pH、COD、BOD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lang w:val="en-US" w:eastAsia="zh-CN"/>
              </w:rPr>
              <w:t>、SS、氨氮、总磷、LAS、粪大肠菌群</w:t>
            </w:r>
          </w:p>
        </w:tc>
        <w:tc>
          <w:tcPr>
            <w:tcW w:w="1950" w:type="dxa"/>
            <w:vMerge w:val="continue"/>
            <w:noWrap w:val="0"/>
            <w:vAlign w:val="center"/>
          </w:tcPr>
          <w:p w14:paraId="7F942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p>
        </w:tc>
        <w:tc>
          <w:tcPr>
            <w:tcW w:w="2382" w:type="dxa"/>
            <w:noWrap w:val="0"/>
            <w:vAlign w:val="center"/>
          </w:tcPr>
          <w:p w14:paraId="13243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《污水综合排放标准》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GB8978-1996</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三级标准</w:t>
            </w:r>
          </w:p>
        </w:tc>
      </w:tr>
      <w:tr w14:paraId="63747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11AB5D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345" w:type="dxa"/>
            <w:noWrap w:val="0"/>
            <w:vAlign w:val="center"/>
          </w:tcPr>
          <w:p w14:paraId="59934A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highlight w:val="none"/>
                <w:lang w:val="en-US" w:eastAsia="zh-CN"/>
              </w:rPr>
              <w:t>厂界</w:t>
            </w:r>
          </w:p>
        </w:tc>
        <w:tc>
          <w:tcPr>
            <w:tcW w:w="1530" w:type="dxa"/>
            <w:noWrap w:val="0"/>
            <w:vAlign w:val="center"/>
          </w:tcPr>
          <w:p w14:paraId="561FBF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动物叫声等</w:t>
            </w:r>
          </w:p>
        </w:tc>
        <w:tc>
          <w:tcPr>
            <w:tcW w:w="1950" w:type="dxa"/>
            <w:noWrap w:val="0"/>
            <w:vAlign w:val="center"/>
          </w:tcPr>
          <w:p w14:paraId="23FEE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w:t>
            </w:r>
            <w:r>
              <w:rPr>
                <w:rFonts w:hint="eastAsia" w:cs="Times New Roman"/>
                <w:color w:val="auto"/>
                <w:sz w:val="24"/>
                <w:szCs w:val="24"/>
                <w:lang w:val="en-US" w:eastAsia="zh-CN"/>
              </w:rPr>
              <w:t>设备</w:t>
            </w:r>
            <w:r>
              <w:rPr>
                <w:rFonts w:hint="default" w:ascii="Times New Roman" w:hAnsi="Times New Roman" w:cs="Times New Roman"/>
                <w:color w:val="auto"/>
                <w:sz w:val="24"/>
                <w:szCs w:val="24"/>
              </w:rPr>
              <w:t>、加强管理，避免动物乱叫</w:t>
            </w:r>
          </w:p>
        </w:tc>
        <w:tc>
          <w:tcPr>
            <w:tcW w:w="2382" w:type="dxa"/>
            <w:noWrap w:val="0"/>
            <w:vAlign w:val="center"/>
          </w:tcPr>
          <w:p w14:paraId="2FDE36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北厂界、南厂界执行</w:t>
            </w:r>
            <w:r>
              <w:rPr>
                <w:rFonts w:hint="default" w:ascii="Times New Roman" w:hAnsi="Times New Roman" w:cs="Times New Roman"/>
                <w:color w:val="auto"/>
                <w:sz w:val="24"/>
                <w:szCs w:val="24"/>
                <w:highlight w:val="none"/>
              </w:rPr>
              <w:t>《工业企业厂界环境噪声排放标准》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GB12348-2008</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类标准</w:t>
            </w:r>
          </w:p>
        </w:tc>
      </w:tr>
      <w:tr w14:paraId="4CEA3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630EE9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345" w:type="dxa"/>
            <w:noWrap w:val="0"/>
            <w:vAlign w:val="center"/>
          </w:tcPr>
          <w:p w14:paraId="64332C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c>
          <w:tcPr>
            <w:tcW w:w="1530" w:type="dxa"/>
            <w:noWrap w:val="0"/>
            <w:vAlign w:val="center"/>
          </w:tcPr>
          <w:p w14:paraId="250C64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c>
          <w:tcPr>
            <w:tcW w:w="1950" w:type="dxa"/>
            <w:noWrap w:val="0"/>
            <w:vAlign w:val="center"/>
          </w:tcPr>
          <w:p w14:paraId="2F75FE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c>
          <w:tcPr>
            <w:tcW w:w="2382" w:type="dxa"/>
            <w:noWrap w:val="0"/>
            <w:vAlign w:val="center"/>
          </w:tcPr>
          <w:p w14:paraId="204A52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r>
      <w:tr w14:paraId="29495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4DE3C2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207" w:type="dxa"/>
            <w:gridSpan w:val="4"/>
            <w:noWrap w:val="0"/>
            <w:vAlign w:val="center"/>
          </w:tcPr>
          <w:p w14:paraId="131B0723">
            <w:pPr>
              <w:pStyle w:val="51"/>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医疗废物、废紫外线灯管：设1个医疗废物贮存点，位于DR室和手术室中间的电脑桌下方，面积约1m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，用于医疗废物和废紫外灯管的暂存，内设加盖收集桶收集暂存医疗废物和废紫外线灯管，</w:t>
            </w:r>
            <w:r>
              <w:rPr>
                <w:rFonts w:hint="default" w:ascii="Times New Roman" w:hAnsi="Times New Roman" w:cs="Times New Roman"/>
                <w:color w:val="auto"/>
                <w:sz w:val="24"/>
                <w:szCs w:val="24"/>
                <w:lang w:val="en-US" w:eastAsia="zh-CN"/>
              </w:rPr>
              <w:t>医疗废物交重庆可厚德环保技术有限公司</w:t>
            </w:r>
            <w:r>
              <w:rPr>
                <w:rFonts w:hint="eastAsia"/>
                <w:color w:val="auto"/>
                <w:sz w:val="24"/>
                <w:szCs w:val="24"/>
                <w:highlight w:val="none"/>
                <w:lang w:val="en-US" w:eastAsia="zh-CN"/>
              </w:rPr>
              <w:t>收运处置；</w:t>
            </w:r>
          </w:p>
          <w:p w14:paraId="10A3F6B9">
            <w:pPr>
              <w:pStyle w:val="51"/>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动物粪污：</w:t>
            </w:r>
            <w:r>
              <w:rPr>
                <w:rFonts w:hint="eastAsia" w:cs="Times New Roman"/>
                <w:snapToGrid w:val="0"/>
                <w:color w:val="auto"/>
                <w:kern w:val="2"/>
                <w:sz w:val="24"/>
                <w:szCs w:val="24"/>
                <w:lang w:val="en-US" w:eastAsia="zh-CN" w:bidi="ar-SA"/>
              </w:rPr>
              <w:t>院内设置加盖垃圾桶，猫砂喷洒消毒剂后紧袋收集暂存于加盖垃圾桶，定期交由当地环卫部门进行处理，犬尿液计入宠物笼清洗废水，经消毒设施预处理后直接进入金科阳光小镇6期生化池，犬粪便喷洒消毒剂后紧袋收集暂存于加盖垃圾桶，定期交由当地环卫部门进行处理；</w:t>
            </w:r>
          </w:p>
          <w:p w14:paraId="139B8579">
            <w:pPr>
              <w:pStyle w:val="51"/>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cs="Times New Roman"/>
                <w:snapToGrid w:val="0"/>
                <w:color w:val="auto"/>
                <w:kern w:val="2"/>
                <w:sz w:val="24"/>
                <w:szCs w:val="24"/>
                <w:lang w:val="en-US" w:eastAsia="zh-CN" w:bidi="ar-SA"/>
              </w:rPr>
            </w:pPr>
            <w:r>
              <w:rPr>
                <w:rFonts w:hint="eastAsia" w:cs="Times New Roman"/>
                <w:snapToGrid w:val="0"/>
                <w:color w:val="auto"/>
                <w:kern w:val="2"/>
                <w:sz w:val="24"/>
                <w:szCs w:val="24"/>
                <w:lang w:val="en-US" w:eastAsia="zh-CN" w:bidi="ar-SA"/>
              </w:rPr>
              <w:t>动物毛发：交环卫部门统一收运；</w:t>
            </w:r>
          </w:p>
          <w:p w14:paraId="4B09FCED">
            <w:pPr>
              <w:pStyle w:val="51"/>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eastAsia" w:cs="Times New Roman"/>
                <w:snapToGrid w:val="0"/>
                <w:color w:val="auto"/>
                <w:kern w:val="2"/>
                <w:sz w:val="24"/>
                <w:szCs w:val="24"/>
                <w:lang w:val="en-US" w:eastAsia="zh-CN" w:bidi="ar-SA"/>
              </w:rPr>
            </w:pPr>
            <w:r>
              <w:rPr>
                <w:rFonts w:hint="eastAsia"/>
                <w:color w:val="auto"/>
                <w:sz w:val="24"/>
                <w:szCs w:val="24"/>
                <w:highlight w:val="none"/>
                <w:lang w:val="en-US" w:eastAsia="zh-CN"/>
              </w:rPr>
              <w:t>动物尸体：由动物主人自行委托有资质单位进行无害化处理</w:t>
            </w:r>
            <w:r>
              <w:rPr>
                <w:rFonts w:hint="eastAsia" w:cs="Times New Roman"/>
                <w:snapToGrid w:val="0"/>
                <w:color w:val="auto"/>
                <w:kern w:val="2"/>
                <w:sz w:val="24"/>
                <w:szCs w:val="24"/>
                <w:lang w:val="en-US" w:eastAsia="zh-CN" w:bidi="ar-SA"/>
              </w:rPr>
              <w:t>；</w:t>
            </w:r>
          </w:p>
          <w:p w14:paraId="3E5F2B83">
            <w:pPr>
              <w:pStyle w:val="51"/>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废包装材料：收集暂存于收集箱，定期外售给物资回收部门</w:t>
            </w:r>
            <w:r>
              <w:rPr>
                <w:rFonts w:hint="eastAsia" w:cs="Times New Roman"/>
                <w:snapToGrid w:val="0"/>
                <w:color w:val="auto"/>
                <w:kern w:val="2"/>
                <w:sz w:val="24"/>
                <w:szCs w:val="24"/>
                <w:highlight w:val="none"/>
                <w:lang w:val="en-US" w:eastAsia="zh-CN" w:bidi="ar-SA"/>
              </w:rPr>
              <w:t>；</w:t>
            </w:r>
          </w:p>
          <w:p w14:paraId="476768C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highlight w:val="none"/>
                <w:lang w:val="en-US" w:eastAsia="zh-CN"/>
              </w:rPr>
              <w:t>生活垃圾：</w:t>
            </w:r>
            <w:r>
              <w:rPr>
                <w:rFonts w:hint="eastAsia" w:ascii="Times New Roman" w:hAnsi="Times New Roman" w:eastAsia="宋体" w:cs="Times New Roman"/>
                <w:color w:val="auto"/>
                <w:sz w:val="24"/>
                <w:szCs w:val="24"/>
                <w:lang w:val="en-US" w:eastAsia="zh-CN"/>
              </w:rPr>
              <w:t>经院内垃圾桶</w:t>
            </w:r>
            <w:r>
              <w:rPr>
                <w:rFonts w:hint="default" w:ascii="Times New Roman" w:hAnsi="Times New Roman" w:eastAsia="宋体" w:cs="Times New Roman"/>
                <w:color w:val="auto"/>
                <w:sz w:val="24"/>
                <w:szCs w:val="24"/>
              </w:rPr>
              <w:t>收集后定期交由当地环卫部门处置。</w:t>
            </w:r>
          </w:p>
        </w:tc>
      </w:tr>
      <w:tr w14:paraId="0C57F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2EDAA6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土壤及地下水污染防治措施</w:t>
            </w:r>
          </w:p>
        </w:tc>
        <w:tc>
          <w:tcPr>
            <w:tcW w:w="7207" w:type="dxa"/>
            <w:gridSpan w:val="4"/>
            <w:noWrap w:val="0"/>
            <w:vAlign w:val="center"/>
          </w:tcPr>
          <w:p w14:paraId="3A6B79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r>
      <w:tr w14:paraId="679CB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62CF14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207" w:type="dxa"/>
            <w:gridSpan w:val="4"/>
            <w:noWrap w:val="0"/>
            <w:vAlign w:val="center"/>
          </w:tcPr>
          <w:p w14:paraId="4D7D0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r>
      <w:tr w14:paraId="1793D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4FFBEC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14:paraId="47B867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7207" w:type="dxa"/>
            <w:gridSpan w:val="4"/>
            <w:noWrap w:val="0"/>
            <w:vAlign w:val="center"/>
          </w:tcPr>
          <w:p w14:paraId="45D681E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潜在环境事故为医疗废物泄漏、医疗废水未消毒排放、动物疫情风险等。应加强医院管理，搞好劳动保护，落实设备、管件的维修管理工作，采取积极的风险防范措施以及应急体系，降低事故发生的概率，设置应急桶。评价认为只要采取适当的防范措施，在事故发生时采取正确的风险防范措施，项目造成的风险是可控制的。</w:t>
            </w:r>
          </w:p>
        </w:tc>
      </w:tr>
      <w:tr w14:paraId="726E8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93" w:type="dxa"/>
            <w:noWrap w:val="0"/>
            <w:vAlign w:val="center"/>
          </w:tcPr>
          <w:p w14:paraId="589828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其他环境</w:t>
            </w:r>
          </w:p>
          <w:p w14:paraId="0DB037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管理要求</w:t>
            </w:r>
          </w:p>
        </w:tc>
        <w:tc>
          <w:tcPr>
            <w:tcW w:w="7207" w:type="dxa"/>
            <w:gridSpan w:val="4"/>
            <w:noWrap w:val="0"/>
            <w:vAlign w:val="center"/>
          </w:tcPr>
          <w:p w14:paraId="464DBB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环境管理</w:t>
            </w:r>
            <w:r>
              <w:rPr>
                <w:rFonts w:hint="eastAsia" w:cs="Times New Roman"/>
                <w:color w:val="auto"/>
                <w:sz w:val="24"/>
                <w:szCs w:val="24"/>
                <w:lang w:eastAsia="zh-CN"/>
              </w:rPr>
              <w:t>：</w:t>
            </w:r>
            <w:r>
              <w:rPr>
                <w:rFonts w:hint="default" w:ascii="Times New Roman" w:hAnsi="Times New Roman" w:cs="Times New Roman"/>
                <w:color w:val="auto"/>
                <w:sz w:val="24"/>
                <w:szCs w:val="24"/>
              </w:rPr>
              <w:t>为保证项目建设的社会经济效益与环境效益相协调，实现可持续发展的目标，应加强对工程的环境管理工作，由建设单位安排专人负责项目日常的环境管理工作，配合环境保护行政主管部门做好施工期和营运期的环保工作。其主要职责是</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①执行国家及地方的环保方针、政策和有关法律法规，协助制订与实施项目环境保护计划，配合有关部门审查落实项目设计中的环保设施设计内容及项目环保设施的竣工验收。②在项目建设过程中，负责项目的环境监理，监督检查施工期环保设施落实和运行情况。落实好施工期环保措施，做到不破坏环境、不扰民。③根据地方环保部门提出的环境质量要求，制定项目环境管理条例，对因项目引发或增加的环境污染进行严格控制，并提出改善环境质量的措施和计划。④做好危险废物管理台账等记录。</w:t>
            </w:r>
          </w:p>
          <w:p w14:paraId="3052E8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w:t>
            </w:r>
            <w:r>
              <w:rPr>
                <w:rFonts w:hint="default" w:ascii="Times New Roman" w:hAnsi="Times New Roman" w:cs="Times New Roman"/>
                <w:color w:val="auto"/>
                <w:sz w:val="24"/>
                <w:szCs w:val="24"/>
              </w:rPr>
              <w:t>验收管理要求</w:t>
            </w:r>
            <w:r>
              <w:rPr>
                <w:rFonts w:hint="eastAsia" w:cs="Times New Roman"/>
                <w:color w:val="auto"/>
                <w:sz w:val="24"/>
                <w:szCs w:val="24"/>
                <w:lang w:eastAsia="zh-CN"/>
              </w:rPr>
              <w:t>：</w:t>
            </w:r>
            <w:r>
              <w:rPr>
                <w:rFonts w:hint="default" w:ascii="Times New Roman" w:hAnsi="Times New Roman" w:cs="Times New Roman"/>
                <w:color w:val="auto"/>
                <w:sz w:val="24"/>
                <w:szCs w:val="24"/>
              </w:rPr>
              <w:t>依据《建设项目竣工环境保护验收暂行办法》文件要求。验收时间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项目竣工后</w:t>
            </w:r>
            <w:r>
              <w:rPr>
                <w:rFonts w:hint="eastAsia" w:cs="Times New Roman"/>
                <w:color w:val="auto"/>
                <w:sz w:val="24"/>
                <w:szCs w:val="24"/>
                <w:lang w:eastAsia="zh-CN"/>
              </w:rPr>
              <w:t>。</w:t>
            </w:r>
            <w:r>
              <w:rPr>
                <w:rFonts w:hint="default" w:ascii="Times New Roman" w:hAnsi="Times New Roman" w:cs="Times New Roman"/>
                <w:color w:val="auto"/>
                <w:sz w:val="24"/>
                <w:szCs w:val="24"/>
              </w:rPr>
              <w:t>验收内容</w:t>
            </w:r>
            <w:r>
              <w:rPr>
                <w:rFonts w:hint="eastAsia" w:ascii="Times New Roman" w:hAnsi="Times New Roman" w:cs="Times New Roman"/>
                <w:color w:val="auto"/>
                <w:sz w:val="24"/>
                <w:szCs w:val="24"/>
                <w:lang w:eastAsia="zh-CN"/>
              </w:rPr>
              <w:t>：①</w:t>
            </w:r>
            <w:r>
              <w:rPr>
                <w:rFonts w:hint="default" w:ascii="Times New Roman" w:hAnsi="Times New Roman" w:cs="Times New Roman"/>
                <w:color w:val="auto"/>
                <w:sz w:val="24"/>
                <w:szCs w:val="24"/>
              </w:rPr>
              <w:t>建设单位应当如实查验、监测、记载建设项目环境保护设施的建设和调试情况，参照《建设项目竣工环境保护验收技术指南</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污染影响类》</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公告 2018 年第9号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编制验收监测报告。②</w:t>
            </w:r>
            <w:r>
              <w:rPr>
                <w:rFonts w:hint="default" w:ascii="Times New Roman" w:hAnsi="Times New Roman" w:cs="Times New Roman"/>
                <w:color w:val="auto"/>
                <w:sz w:val="24"/>
                <w:szCs w:val="24"/>
                <w:highlight w:val="none"/>
              </w:rPr>
              <w:t>在全国建设项目环境影响评价管理信息平台进行自主验收公示。</w:t>
            </w:r>
          </w:p>
        </w:tc>
      </w:tr>
    </w:tbl>
    <w:p w14:paraId="5C66641D">
      <w:pPr>
        <w:pStyle w:val="17"/>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4F3D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3" w:hRule="atLeast"/>
          <w:jc w:val="center"/>
        </w:trPr>
        <w:tc>
          <w:tcPr>
            <w:tcW w:w="8865" w:type="dxa"/>
            <w:noWrap w:val="0"/>
            <w:vAlign w:val="center"/>
          </w:tcPr>
          <w:p w14:paraId="5F1CBA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color w:val="auto"/>
                <w:sz w:val="24"/>
              </w:rPr>
            </w:pPr>
            <w:r>
              <w:rPr>
                <w:rFonts w:hint="eastAsia" w:ascii="宋体" w:cs="宋体"/>
                <w:color w:val="auto"/>
                <w:sz w:val="24"/>
                <w:highlight w:val="none"/>
                <w:lang w:val="en-US" w:eastAsia="zh-CN"/>
              </w:rPr>
              <w:t>重庆泰宠康动物医院建设项目</w:t>
            </w:r>
            <w:r>
              <w:rPr>
                <w:rFonts w:hint="eastAsia" w:ascii="宋体" w:cs="宋体"/>
                <w:color w:val="auto"/>
                <w:sz w:val="24"/>
              </w:rPr>
              <w:t>符合国家及地方相关政策要求，其建设过程和营运期产生的各类污染物在采取污染防治措施后可得到有效的控制，外排污染物对环境影响小，能为环境所接受。从环境保护角度，建设项目环境影响可行。</w:t>
            </w:r>
          </w:p>
        </w:tc>
      </w:tr>
    </w:tbl>
    <w:p w14:paraId="5A9A01F2">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CA27E5F">
      <w:pPr>
        <w:pStyle w:val="17"/>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3F37E5CC">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1"/>
        <w:tblW w:w="1348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482"/>
        <w:gridCol w:w="1391"/>
        <w:gridCol w:w="1199"/>
        <w:gridCol w:w="1774"/>
        <w:gridCol w:w="1793"/>
        <w:gridCol w:w="1480"/>
        <w:gridCol w:w="1755"/>
        <w:gridCol w:w="1817"/>
      </w:tblGrid>
      <w:tr w14:paraId="0FC57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98" w:type="dxa"/>
            <w:tcBorders>
              <w:tl2br w:val="single" w:color="auto" w:sz="4" w:space="0"/>
            </w:tcBorders>
            <w:noWrap w:val="0"/>
            <w:tcMar>
              <w:left w:w="28" w:type="dxa"/>
              <w:right w:w="28" w:type="dxa"/>
            </w:tcMar>
            <w:vAlign w:val="center"/>
          </w:tcPr>
          <w:p w14:paraId="281377A4">
            <w:pPr>
              <w:pStyle w:val="41"/>
              <w:keepNext w:val="0"/>
              <w:keepLines w:val="0"/>
              <w:pageBreakBefore w:val="0"/>
              <w:kinsoku/>
              <w:wordWrap/>
              <w:overflowPunct/>
              <w:topLinePunct w:val="0"/>
              <w:autoSpaceDE/>
              <w:autoSpaceDN/>
              <w:bidi w:val="0"/>
              <w:spacing w:beforeLines="0" w:afterLines="0" w:line="240" w:lineRule="auto"/>
              <w:jc w:val="right"/>
              <w:rPr>
                <w:rFonts w:hint="eastAsia" w:ascii="Times New Roman" w:hAnsi="Times New Roman" w:eastAsia="宋体" w:cs="宋体"/>
                <w:snapToGrid w:val="0"/>
                <w:color w:val="auto"/>
                <w:spacing w:val="-6"/>
                <w:kern w:val="21"/>
                <w:sz w:val="24"/>
                <w:szCs w:val="21"/>
              </w:rPr>
            </w:pPr>
            <w:r>
              <w:rPr>
                <w:rFonts w:hint="eastAsia" w:ascii="Times New Roman" w:hAnsi="Times New Roman" w:eastAsia="宋体" w:cs="宋体"/>
                <w:snapToGrid w:val="0"/>
                <w:color w:val="auto"/>
                <w:spacing w:val="-6"/>
                <w:kern w:val="21"/>
                <w:sz w:val="24"/>
                <w:szCs w:val="21"/>
              </w:rPr>
              <w:t>项目</w:t>
            </w:r>
          </w:p>
          <w:p w14:paraId="25AA5BFD">
            <w:pPr>
              <w:pStyle w:val="41"/>
              <w:keepNext w:val="0"/>
              <w:keepLines w:val="0"/>
              <w:pageBreakBefore w:val="0"/>
              <w:kinsoku/>
              <w:wordWrap/>
              <w:overflowPunct/>
              <w:topLinePunct w:val="0"/>
              <w:autoSpaceDE/>
              <w:autoSpaceDN/>
              <w:bidi w:val="0"/>
              <w:spacing w:beforeLines="0" w:afterLines="0" w:line="240" w:lineRule="auto"/>
              <w:jc w:val="left"/>
              <w:rPr>
                <w:rFonts w:hint="eastAsia" w:ascii="Times New Roman" w:hAnsi="Times New Roman" w:eastAsia="宋体" w:cs="宋体"/>
                <w:snapToGrid w:val="0"/>
                <w:color w:val="auto"/>
                <w:spacing w:val="-6"/>
                <w:kern w:val="21"/>
                <w:sz w:val="24"/>
                <w:szCs w:val="21"/>
              </w:rPr>
            </w:pPr>
            <w:r>
              <w:rPr>
                <w:rFonts w:hint="eastAsia" w:ascii="Times New Roman" w:hAnsi="Times New Roman" w:eastAsia="宋体" w:cs="宋体"/>
                <w:snapToGrid w:val="0"/>
                <w:color w:val="auto"/>
                <w:spacing w:val="-6"/>
                <w:kern w:val="21"/>
                <w:sz w:val="24"/>
                <w:szCs w:val="21"/>
              </w:rPr>
              <w:t>分类</w:t>
            </w:r>
          </w:p>
        </w:tc>
        <w:tc>
          <w:tcPr>
            <w:tcW w:w="1482" w:type="dxa"/>
            <w:noWrap w:val="0"/>
            <w:tcMar>
              <w:left w:w="28" w:type="dxa"/>
              <w:right w:w="28" w:type="dxa"/>
            </w:tcMar>
            <w:vAlign w:val="center"/>
          </w:tcPr>
          <w:p w14:paraId="7FAC9E07">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spacing w:val="-6"/>
                <w:kern w:val="21"/>
                <w:sz w:val="24"/>
                <w:szCs w:val="21"/>
              </w:rPr>
            </w:pPr>
            <w:r>
              <w:rPr>
                <w:rFonts w:hint="eastAsia" w:ascii="Times New Roman" w:hAnsi="Times New Roman" w:eastAsia="宋体" w:cs="宋体"/>
                <w:snapToGrid w:val="0"/>
                <w:color w:val="auto"/>
                <w:spacing w:val="-6"/>
                <w:kern w:val="21"/>
                <w:sz w:val="24"/>
                <w:szCs w:val="21"/>
              </w:rPr>
              <w:t>污染物名称</w:t>
            </w:r>
          </w:p>
        </w:tc>
        <w:tc>
          <w:tcPr>
            <w:tcW w:w="1391" w:type="dxa"/>
            <w:noWrap w:val="0"/>
            <w:tcMar>
              <w:left w:w="28" w:type="dxa"/>
              <w:right w:w="28" w:type="dxa"/>
            </w:tcMar>
            <w:vAlign w:val="center"/>
          </w:tcPr>
          <w:p w14:paraId="331848BC">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6"/>
                <w:kern w:val="21"/>
                <w:sz w:val="24"/>
                <w:szCs w:val="21"/>
              </w:rPr>
            </w:pPr>
            <w:r>
              <w:rPr>
                <w:rFonts w:ascii="Times New Roman" w:hAnsi="Times New Roman" w:eastAsia="宋体"/>
                <w:snapToGrid w:val="0"/>
                <w:color w:val="auto"/>
                <w:spacing w:val="-6"/>
                <w:kern w:val="21"/>
                <w:sz w:val="24"/>
                <w:szCs w:val="21"/>
              </w:rPr>
              <w:t>现有工程排放量（固</w:t>
            </w:r>
            <w:r>
              <w:rPr>
                <w:rFonts w:hint="eastAsia" w:ascii="Times New Roman" w:hAnsi="Times New Roman" w:eastAsia="宋体"/>
                <w:snapToGrid w:val="0"/>
                <w:color w:val="auto"/>
                <w:spacing w:val="-6"/>
                <w:kern w:val="21"/>
                <w:sz w:val="24"/>
                <w:szCs w:val="21"/>
              </w:rPr>
              <w:t>体</w:t>
            </w:r>
            <w:r>
              <w:rPr>
                <w:rFonts w:ascii="Times New Roman" w:hAnsi="Times New Roman" w:eastAsia="宋体"/>
                <w:snapToGrid w:val="0"/>
                <w:color w:val="auto"/>
                <w:spacing w:val="-6"/>
                <w:kern w:val="21"/>
                <w:sz w:val="24"/>
                <w:szCs w:val="21"/>
              </w:rPr>
              <w:t>废</w:t>
            </w:r>
            <w:r>
              <w:rPr>
                <w:rFonts w:hint="eastAsia" w:ascii="Times New Roman" w:hAnsi="Times New Roman" w:eastAsia="宋体"/>
                <w:snapToGrid w:val="0"/>
                <w:color w:val="auto"/>
                <w:spacing w:val="-6"/>
                <w:kern w:val="21"/>
                <w:sz w:val="24"/>
                <w:szCs w:val="21"/>
              </w:rPr>
              <w:t>物</w:t>
            </w:r>
            <w:r>
              <w:rPr>
                <w:rFonts w:ascii="Times New Roman" w:hAnsi="Times New Roman" w:eastAsia="宋体"/>
                <w:snapToGrid w:val="0"/>
                <w:color w:val="auto"/>
                <w:spacing w:val="-6"/>
                <w:kern w:val="21"/>
                <w:sz w:val="24"/>
                <w:szCs w:val="21"/>
              </w:rPr>
              <w:t>产生量）</w:t>
            </w:r>
            <w:r>
              <w:rPr>
                <w:rFonts w:ascii="Times New Roman" w:hAnsi="Times New Roman" w:eastAsia="宋体"/>
                <w:snapToGrid w:val="0"/>
                <w:color w:val="auto"/>
                <w:spacing w:val="-6"/>
                <w:kern w:val="21"/>
                <w:sz w:val="24"/>
                <w:szCs w:val="21"/>
              </w:rPr>
              <w:fldChar w:fldCharType="begin"/>
            </w:r>
            <w:r>
              <w:rPr>
                <w:rFonts w:ascii="Times New Roman" w:hAnsi="Times New Roman" w:eastAsia="宋体"/>
                <w:snapToGrid w:val="0"/>
                <w:color w:val="auto"/>
                <w:spacing w:val="-6"/>
                <w:kern w:val="21"/>
                <w:sz w:val="24"/>
                <w:szCs w:val="21"/>
              </w:rPr>
              <w:instrText xml:space="preserve"> = 1 \* GB3 \* MERGEFORMAT </w:instrText>
            </w:r>
            <w:r>
              <w:rPr>
                <w:rFonts w:ascii="Times New Roman" w:hAnsi="Times New Roman" w:eastAsia="宋体"/>
                <w:snapToGrid w:val="0"/>
                <w:color w:val="auto"/>
                <w:spacing w:val="-6"/>
                <w:kern w:val="21"/>
                <w:sz w:val="24"/>
                <w:szCs w:val="21"/>
              </w:rPr>
              <w:fldChar w:fldCharType="separate"/>
            </w:r>
            <w:r>
              <w:rPr>
                <w:rFonts w:hint="eastAsia" w:ascii="Times New Roman" w:hAnsi="Times New Roman" w:eastAsia="宋体" w:cs="宋体"/>
                <w:color w:val="auto"/>
                <w:kern w:val="2"/>
                <w:sz w:val="24"/>
                <w:szCs w:val="21"/>
              </w:rPr>
              <w:t>①</w:t>
            </w:r>
            <w:r>
              <w:rPr>
                <w:rFonts w:ascii="Times New Roman" w:hAnsi="Times New Roman" w:eastAsia="宋体"/>
                <w:snapToGrid w:val="0"/>
                <w:color w:val="auto"/>
                <w:spacing w:val="-6"/>
                <w:kern w:val="21"/>
                <w:sz w:val="24"/>
                <w:szCs w:val="21"/>
              </w:rPr>
              <w:fldChar w:fldCharType="end"/>
            </w:r>
          </w:p>
        </w:tc>
        <w:tc>
          <w:tcPr>
            <w:tcW w:w="1199" w:type="dxa"/>
            <w:noWrap w:val="0"/>
            <w:tcMar>
              <w:left w:w="28" w:type="dxa"/>
              <w:right w:w="28" w:type="dxa"/>
            </w:tcMar>
            <w:vAlign w:val="center"/>
          </w:tcPr>
          <w:p w14:paraId="1A01A916">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6"/>
                <w:kern w:val="21"/>
                <w:sz w:val="24"/>
                <w:szCs w:val="21"/>
              </w:rPr>
            </w:pPr>
            <w:r>
              <w:rPr>
                <w:rFonts w:ascii="Times New Roman" w:hAnsi="Times New Roman" w:eastAsia="宋体"/>
                <w:snapToGrid w:val="0"/>
                <w:color w:val="auto"/>
                <w:spacing w:val="-6"/>
                <w:kern w:val="21"/>
                <w:sz w:val="24"/>
                <w:szCs w:val="21"/>
              </w:rPr>
              <w:t>现有工程许可排放量</w:t>
            </w:r>
          </w:p>
          <w:p w14:paraId="4337CFBE">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6"/>
                <w:kern w:val="21"/>
                <w:sz w:val="24"/>
                <w:szCs w:val="21"/>
              </w:rPr>
            </w:pPr>
            <w:r>
              <w:rPr>
                <w:rFonts w:ascii="Times New Roman" w:hAnsi="Times New Roman" w:eastAsia="宋体"/>
                <w:snapToGrid w:val="0"/>
                <w:color w:val="auto"/>
                <w:spacing w:val="-6"/>
                <w:kern w:val="21"/>
                <w:sz w:val="24"/>
                <w:szCs w:val="21"/>
              </w:rPr>
              <w:fldChar w:fldCharType="begin"/>
            </w:r>
            <w:r>
              <w:rPr>
                <w:rFonts w:ascii="Times New Roman" w:hAnsi="Times New Roman" w:eastAsia="宋体"/>
                <w:snapToGrid w:val="0"/>
                <w:color w:val="auto"/>
                <w:spacing w:val="-6"/>
                <w:kern w:val="21"/>
                <w:sz w:val="24"/>
                <w:szCs w:val="21"/>
              </w:rPr>
              <w:instrText xml:space="preserve"> = 2 \* GB3 \* MERGEFORMAT </w:instrText>
            </w:r>
            <w:r>
              <w:rPr>
                <w:rFonts w:ascii="Times New Roman" w:hAnsi="Times New Roman" w:eastAsia="宋体"/>
                <w:snapToGrid w:val="0"/>
                <w:color w:val="auto"/>
                <w:spacing w:val="-6"/>
                <w:kern w:val="21"/>
                <w:sz w:val="24"/>
                <w:szCs w:val="21"/>
              </w:rPr>
              <w:fldChar w:fldCharType="separate"/>
            </w:r>
            <w:r>
              <w:rPr>
                <w:rFonts w:hint="eastAsia" w:ascii="Times New Roman" w:hAnsi="Times New Roman" w:eastAsia="宋体" w:cs="宋体"/>
                <w:snapToGrid w:val="0"/>
                <w:color w:val="auto"/>
                <w:spacing w:val="-6"/>
                <w:kern w:val="21"/>
                <w:sz w:val="24"/>
                <w:szCs w:val="21"/>
              </w:rPr>
              <w:t>②</w:t>
            </w:r>
            <w:r>
              <w:rPr>
                <w:rFonts w:ascii="Times New Roman" w:hAnsi="Times New Roman" w:eastAsia="宋体"/>
                <w:snapToGrid w:val="0"/>
                <w:color w:val="auto"/>
                <w:spacing w:val="-6"/>
                <w:kern w:val="21"/>
                <w:sz w:val="24"/>
                <w:szCs w:val="21"/>
              </w:rPr>
              <w:fldChar w:fldCharType="end"/>
            </w:r>
          </w:p>
        </w:tc>
        <w:tc>
          <w:tcPr>
            <w:tcW w:w="1774" w:type="dxa"/>
            <w:noWrap w:val="0"/>
            <w:tcMar>
              <w:left w:w="28" w:type="dxa"/>
              <w:right w:w="28" w:type="dxa"/>
            </w:tcMar>
            <w:vAlign w:val="center"/>
          </w:tcPr>
          <w:p w14:paraId="74ED0553">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6"/>
                <w:kern w:val="21"/>
                <w:sz w:val="24"/>
                <w:szCs w:val="21"/>
              </w:rPr>
            </w:pPr>
            <w:r>
              <w:rPr>
                <w:rFonts w:ascii="Times New Roman" w:hAnsi="Times New Roman" w:eastAsia="宋体"/>
                <w:snapToGrid w:val="0"/>
                <w:color w:val="auto"/>
                <w:spacing w:val="-6"/>
                <w:kern w:val="21"/>
                <w:sz w:val="24"/>
                <w:szCs w:val="21"/>
              </w:rPr>
              <w:t>在建工程排放量（固</w:t>
            </w:r>
            <w:r>
              <w:rPr>
                <w:rFonts w:hint="eastAsia" w:ascii="Times New Roman" w:hAnsi="Times New Roman" w:eastAsia="宋体"/>
                <w:snapToGrid w:val="0"/>
                <w:color w:val="auto"/>
                <w:spacing w:val="-6"/>
                <w:kern w:val="21"/>
                <w:sz w:val="24"/>
                <w:szCs w:val="21"/>
              </w:rPr>
              <w:t>体</w:t>
            </w:r>
            <w:r>
              <w:rPr>
                <w:rFonts w:ascii="Times New Roman" w:hAnsi="Times New Roman" w:eastAsia="宋体"/>
                <w:snapToGrid w:val="0"/>
                <w:color w:val="auto"/>
                <w:spacing w:val="-6"/>
                <w:kern w:val="21"/>
                <w:sz w:val="24"/>
                <w:szCs w:val="21"/>
              </w:rPr>
              <w:t>废</w:t>
            </w:r>
            <w:r>
              <w:rPr>
                <w:rFonts w:hint="eastAsia" w:ascii="Times New Roman" w:hAnsi="Times New Roman" w:eastAsia="宋体"/>
                <w:snapToGrid w:val="0"/>
                <w:color w:val="auto"/>
                <w:spacing w:val="-6"/>
                <w:kern w:val="21"/>
                <w:sz w:val="24"/>
                <w:szCs w:val="21"/>
              </w:rPr>
              <w:t>物</w:t>
            </w:r>
            <w:r>
              <w:rPr>
                <w:rFonts w:ascii="Times New Roman" w:hAnsi="Times New Roman" w:eastAsia="宋体"/>
                <w:snapToGrid w:val="0"/>
                <w:color w:val="auto"/>
                <w:spacing w:val="-6"/>
                <w:kern w:val="21"/>
                <w:sz w:val="24"/>
                <w:szCs w:val="21"/>
              </w:rPr>
              <w:t>产生量）</w:t>
            </w:r>
            <w:r>
              <w:rPr>
                <w:rFonts w:ascii="Times New Roman" w:hAnsi="Times New Roman" w:eastAsia="宋体"/>
                <w:snapToGrid w:val="0"/>
                <w:color w:val="auto"/>
                <w:spacing w:val="-6"/>
                <w:kern w:val="21"/>
                <w:sz w:val="24"/>
                <w:szCs w:val="21"/>
              </w:rPr>
              <w:fldChar w:fldCharType="begin"/>
            </w:r>
            <w:r>
              <w:rPr>
                <w:rFonts w:ascii="Times New Roman" w:hAnsi="Times New Roman" w:eastAsia="宋体"/>
                <w:snapToGrid w:val="0"/>
                <w:color w:val="auto"/>
                <w:spacing w:val="-6"/>
                <w:kern w:val="21"/>
                <w:sz w:val="24"/>
                <w:szCs w:val="21"/>
              </w:rPr>
              <w:instrText xml:space="preserve"> = 3 \* GB3 \* MERGEFORMAT </w:instrText>
            </w:r>
            <w:r>
              <w:rPr>
                <w:rFonts w:ascii="Times New Roman" w:hAnsi="Times New Roman" w:eastAsia="宋体"/>
                <w:snapToGrid w:val="0"/>
                <w:color w:val="auto"/>
                <w:spacing w:val="-6"/>
                <w:kern w:val="21"/>
                <w:sz w:val="24"/>
                <w:szCs w:val="21"/>
              </w:rPr>
              <w:fldChar w:fldCharType="separate"/>
            </w:r>
            <w:r>
              <w:rPr>
                <w:rFonts w:hint="eastAsia" w:ascii="Times New Roman" w:hAnsi="Times New Roman" w:eastAsia="宋体" w:cs="宋体"/>
                <w:color w:val="auto"/>
                <w:kern w:val="2"/>
                <w:sz w:val="24"/>
                <w:szCs w:val="21"/>
              </w:rPr>
              <w:t>③</w:t>
            </w:r>
            <w:r>
              <w:rPr>
                <w:rFonts w:ascii="Times New Roman" w:hAnsi="Times New Roman" w:eastAsia="宋体"/>
                <w:snapToGrid w:val="0"/>
                <w:color w:val="auto"/>
                <w:spacing w:val="-6"/>
                <w:kern w:val="21"/>
                <w:sz w:val="24"/>
                <w:szCs w:val="21"/>
              </w:rPr>
              <w:fldChar w:fldCharType="end"/>
            </w:r>
          </w:p>
        </w:tc>
        <w:tc>
          <w:tcPr>
            <w:tcW w:w="1793" w:type="dxa"/>
            <w:noWrap w:val="0"/>
            <w:tcMar>
              <w:left w:w="28" w:type="dxa"/>
              <w:right w:w="28" w:type="dxa"/>
            </w:tcMar>
            <w:vAlign w:val="center"/>
          </w:tcPr>
          <w:p w14:paraId="65FB5238">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6"/>
                <w:kern w:val="21"/>
                <w:sz w:val="24"/>
                <w:szCs w:val="21"/>
              </w:rPr>
            </w:pPr>
            <w:r>
              <w:rPr>
                <w:rFonts w:ascii="Times New Roman" w:hAnsi="Times New Roman" w:eastAsia="宋体"/>
                <w:snapToGrid w:val="0"/>
                <w:color w:val="auto"/>
                <w:spacing w:val="-6"/>
                <w:kern w:val="21"/>
                <w:sz w:val="24"/>
                <w:szCs w:val="21"/>
              </w:rPr>
              <w:t>本项目排放量（固</w:t>
            </w:r>
            <w:r>
              <w:rPr>
                <w:rFonts w:hint="eastAsia" w:ascii="Times New Roman" w:hAnsi="Times New Roman" w:eastAsia="宋体"/>
                <w:snapToGrid w:val="0"/>
                <w:color w:val="auto"/>
                <w:spacing w:val="-6"/>
                <w:kern w:val="21"/>
                <w:sz w:val="24"/>
                <w:szCs w:val="21"/>
              </w:rPr>
              <w:t>体</w:t>
            </w:r>
            <w:r>
              <w:rPr>
                <w:rFonts w:ascii="Times New Roman" w:hAnsi="Times New Roman" w:eastAsia="宋体"/>
                <w:snapToGrid w:val="0"/>
                <w:color w:val="auto"/>
                <w:spacing w:val="-6"/>
                <w:kern w:val="21"/>
                <w:sz w:val="24"/>
                <w:szCs w:val="21"/>
              </w:rPr>
              <w:t>废</w:t>
            </w:r>
            <w:r>
              <w:rPr>
                <w:rFonts w:hint="eastAsia" w:ascii="Times New Roman" w:hAnsi="Times New Roman" w:eastAsia="宋体"/>
                <w:snapToGrid w:val="0"/>
                <w:color w:val="auto"/>
                <w:spacing w:val="-6"/>
                <w:kern w:val="21"/>
                <w:sz w:val="24"/>
                <w:szCs w:val="21"/>
              </w:rPr>
              <w:t>物</w:t>
            </w:r>
            <w:r>
              <w:rPr>
                <w:rFonts w:ascii="Times New Roman" w:hAnsi="Times New Roman" w:eastAsia="宋体"/>
                <w:snapToGrid w:val="0"/>
                <w:color w:val="auto"/>
                <w:spacing w:val="-6"/>
                <w:kern w:val="21"/>
                <w:sz w:val="24"/>
                <w:szCs w:val="21"/>
              </w:rPr>
              <w:t>产生量）</w:t>
            </w:r>
            <w:r>
              <w:rPr>
                <w:rFonts w:ascii="Times New Roman" w:hAnsi="Times New Roman" w:eastAsia="宋体"/>
                <w:snapToGrid w:val="0"/>
                <w:color w:val="auto"/>
                <w:spacing w:val="-6"/>
                <w:kern w:val="21"/>
                <w:sz w:val="24"/>
                <w:szCs w:val="21"/>
              </w:rPr>
              <w:fldChar w:fldCharType="begin"/>
            </w:r>
            <w:r>
              <w:rPr>
                <w:rFonts w:ascii="Times New Roman" w:hAnsi="Times New Roman" w:eastAsia="宋体"/>
                <w:snapToGrid w:val="0"/>
                <w:color w:val="auto"/>
                <w:spacing w:val="-6"/>
                <w:kern w:val="21"/>
                <w:sz w:val="24"/>
                <w:szCs w:val="21"/>
              </w:rPr>
              <w:instrText xml:space="preserve"> = 4 \* GB3 \* MERGEFORMAT </w:instrText>
            </w:r>
            <w:r>
              <w:rPr>
                <w:rFonts w:ascii="Times New Roman" w:hAnsi="Times New Roman" w:eastAsia="宋体"/>
                <w:snapToGrid w:val="0"/>
                <w:color w:val="auto"/>
                <w:spacing w:val="-6"/>
                <w:kern w:val="21"/>
                <w:sz w:val="24"/>
                <w:szCs w:val="21"/>
              </w:rPr>
              <w:fldChar w:fldCharType="separate"/>
            </w:r>
            <w:r>
              <w:rPr>
                <w:rFonts w:hint="eastAsia" w:ascii="Times New Roman" w:hAnsi="Times New Roman" w:eastAsia="宋体" w:cs="宋体"/>
                <w:color w:val="auto"/>
                <w:kern w:val="2"/>
                <w:sz w:val="24"/>
                <w:szCs w:val="21"/>
              </w:rPr>
              <w:t>④</w:t>
            </w:r>
            <w:r>
              <w:rPr>
                <w:rFonts w:ascii="Times New Roman" w:hAnsi="Times New Roman" w:eastAsia="宋体"/>
                <w:snapToGrid w:val="0"/>
                <w:color w:val="auto"/>
                <w:spacing w:val="-6"/>
                <w:kern w:val="21"/>
                <w:sz w:val="24"/>
                <w:szCs w:val="21"/>
              </w:rPr>
              <w:fldChar w:fldCharType="end"/>
            </w:r>
          </w:p>
        </w:tc>
        <w:tc>
          <w:tcPr>
            <w:tcW w:w="1480" w:type="dxa"/>
            <w:noWrap w:val="0"/>
            <w:tcMar>
              <w:left w:w="28" w:type="dxa"/>
              <w:right w:w="28" w:type="dxa"/>
            </w:tcMar>
            <w:vAlign w:val="center"/>
          </w:tcPr>
          <w:p w14:paraId="1100FA34">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16"/>
                <w:kern w:val="21"/>
                <w:sz w:val="24"/>
                <w:szCs w:val="21"/>
              </w:rPr>
            </w:pPr>
            <w:r>
              <w:rPr>
                <w:rFonts w:ascii="Times New Roman" w:hAnsi="Times New Roman" w:eastAsia="宋体"/>
                <w:snapToGrid w:val="0"/>
                <w:color w:val="auto"/>
                <w:spacing w:val="-16"/>
                <w:kern w:val="21"/>
                <w:sz w:val="24"/>
                <w:szCs w:val="21"/>
              </w:rPr>
              <w:t>以新带老削减量（新建项目不填）</w:t>
            </w:r>
            <w:r>
              <w:rPr>
                <w:rFonts w:ascii="Times New Roman" w:hAnsi="Times New Roman" w:eastAsia="宋体"/>
                <w:snapToGrid w:val="0"/>
                <w:color w:val="auto"/>
                <w:spacing w:val="-16"/>
                <w:kern w:val="21"/>
                <w:sz w:val="24"/>
                <w:szCs w:val="21"/>
              </w:rPr>
              <w:fldChar w:fldCharType="begin"/>
            </w:r>
            <w:r>
              <w:rPr>
                <w:rFonts w:ascii="Times New Roman" w:hAnsi="Times New Roman" w:eastAsia="宋体"/>
                <w:snapToGrid w:val="0"/>
                <w:color w:val="auto"/>
                <w:spacing w:val="-16"/>
                <w:kern w:val="21"/>
                <w:sz w:val="24"/>
                <w:szCs w:val="21"/>
              </w:rPr>
              <w:instrText xml:space="preserve"> = 5 \* GB3 \* MERGEFORMAT </w:instrText>
            </w:r>
            <w:r>
              <w:rPr>
                <w:rFonts w:ascii="Times New Roman" w:hAnsi="Times New Roman" w:eastAsia="宋体"/>
                <w:snapToGrid w:val="0"/>
                <w:color w:val="auto"/>
                <w:spacing w:val="-16"/>
                <w:kern w:val="21"/>
                <w:sz w:val="24"/>
                <w:szCs w:val="21"/>
              </w:rPr>
              <w:fldChar w:fldCharType="separate"/>
            </w:r>
            <w:r>
              <w:rPr>
                <w:rFonts w:hint="eastAsia" w:ascii="Times New Roman" w:hAnsi="Times New Roman" w:eastAsia="宋体" w:cs="宋体"/>
                <w:color w:val="auto"/>
                <w:kern w:val="2"/>
                <w:sz w:val="24"/>
                <w:szCs w:val="21"/>
              </w:rPr>
              <w:t>⑤</w:t>
            </w:r>
            <w:r>
              <w:rPr>
                <w:rFonts w:ascii="Times New Roman" w:hAnsi="Times New Roman" w:eastAsia="宋体"/>
                <w:snapToGrid w:val="0"/>
                <w:color w:val="auto"/>
                <w:spacing w:val="-16"/>
                <w:kern w:val="21"/>
                <w:sz w:val="24"/>
                <w:szCs w:val="21"/>
              </w:rPr>
              <w:fldChar w:fldCharType="end"/>
            </w:r>
          </w:p>
        </w:tc>
        <w:tc>
          <w:tcPr>
            <w:tcW w:w="1755" w:type="dxa"/>
            <w:noWrap w:val="0"/>
            <w:tcMar>
              <w:left w:w="28" w:type="dxa"/>
              <w:right w:w="28" w:type="dxa"/>
            </w:tcMar>
            <w:vAlign w:val="center"/>
          </w:tcPr>
          <w:p w14:paraId="4762A00D">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snapToGrid w:val="0"/>
                <w:color w:val="auto"/>
                <w:spacing w:val="-16"/>
                <w:kern w:val="21"/>
                <w:sz w:val="24"/>
                <w:szCs w:val="21"/>
              </w:rPr>
            </w:pPr>
            <w:r>
              <w:rPr>
                <w:rFonts w:ascii="Times New Roman" w:hAnsi="Times New Roman" w:eastAsia="宋体"/>
                <w:snapToGrid w:val="0"/>
                <w:color w:val="auto"/>
                <w:spacing w:val="-16"/>
                <w:kern w:val="21"/>
                <w:sz w:val="24"/>
                <w:szCs w:val="21"/>
              </w:rPr>
              <w:t>本项目建成后</w:t>
            </w:r>
          </w:p>
          <w:p w14:paraId="4D916040">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16"/>
                <w:kern w:val="21"/>
                <w:sz w:val="24"/>
                <w:szCs w:val="21"/>
              </w:rPr>
            </w:pPr>
            <w:r>
              <w:rPr>
                <w:rFonts w:hint="eastAsia" w:ascii="Times New Roman" w:hAnsi="Times New Roman" w:eastAsia="宋体"/>
                <w:snapToGrid w:val="0"/>
                <w:color w:val="auto"/>
                <w:spacing w:val="-16"/>
                <w:kern w:val="21"/>
                <w:sz w:val="24"/>
                <w:szCs w:val="21"/>
              </w:rPr>
              <w:t>全厂</w:t>
            </w:r>
            <w:r>
              <w:rPr>
                <w:rFonts w:ascii="Times New Roman" w:hAnsi="Times New Roman" w:eastAsia="宋体"/>
                <w:snapToGrid w:val="0"/>
                <w:color w:val="auto"/>
                <w:spacing w:val="-16"/>
                <w:kern w:val="21"/>
                <w:sz w:val="24"/>
                <w:szCs w:val="21"/>
              </w:rPr>
              <w:t>排放量（固</w:t>
            </w:r>
            <w:r>
              <w:rPr>
                <w:rFonts w:hint="eastAsia" w:ascii="Times New Roman" w:hAnsi="Times New Roman" w:eastAsia="宋体"/>
                <w:snapToGrid w:val="0"/>
                <w:color w:val="auto"/>
                <w:spacing w:val="-16"/>
                <w:kern w:val="21"/>
                <w:sz w:val="24"/>
                <w:szCs w:val="21"/>
              </w:rPr>
              <w:t>体</w:t>
            </w:r>
            <w:r>
              <w:rPr>
                <w:rFonts w:ascii="Times New Roman" w:hAnsi="Times New Roman" w:eastAsia="宋体"/>
                <w:snapToGrid w:val="0"/>
                <w:color w:val="auto"/>
                <w:spacing w:val="-16"/>
                <w:kern w:val="21"/>
                <w:sz w:val="24"/>
                <w:szCs w:val="21"/>
              </w:rPr>
              <w:t>废</w:t>
            </w:r>
            <w:r>
              <w:rPr>
                <w:rFonts w:hint="eastAsia" w:ascii="Times New Roman" w:hAnsi="Times New Roman" w:eastAsia="宋体"/>
                <w:snapToGrid w:val="0"/>
                <w:color w:val="auto"/>
                <w:spacing w:val="-16"/>
                <w:kern w:val="21"/>
                <w:sz w:val="24"/>
                <w:szCs w:val="21"/>
              </w:rPr>
              <w:t>物</w:t>
            </w:r>
            <w:r>
              <w:rPr>
                <w:rFonts w:ascii="Times New Roman" w:hAnsi="Times New Roman" w:eastAsia="宋体"/>
                <w:snapToGrid w:val="0"/>
                <w:color w:val="auto"/>
                <w:spacing w:val="-16"/>
                <w:kern w:val="21"/>
                <w:sz w:val="24"/>
                <w:szCs w:val="21"/>
              </w:rPr>
              <w:t>产生量）</w:t>
            </w:r>
            <w:r>
              <w:rPr>
                <w:rFonts w:ascii="Times New Roman" w:hAnsi="Times New Roman" w:eastAsia="宋体"/>
                <w:snapToGrid w:val="0"/>
                <w:color w:val="auto"/>
                <w:spacing w:val="-16"/>
                <w:kern w:val="21"/>
                <w:sz w:val="24"/>
                <w:szCs w:val="21"/>
              </w:rPr>
              <w:fldChar w:fldCharType="begin"/>
            </w:r>
            <w:r>
              <w:rPr>
                <w:rFonts w:ascii="Times New Roman" w:hAnsi="Times New Roman" w:eastAsia="宋体"/>
                <w:snapToGrid w:val="0"/>
                <w:color w:val="auto"/>
                <w:spacing w:val="-16"/>
                <w:kern w:val="21"/>
                <w:sz w:val="24"/>
                <w:szCs w:val="21"/>
              </w:rPr>
              <w:instrText xml:space="preserve"> = 6 \* GB3 \* MERGEFORMAT </w:instrText>
            </w:r>
            <w:r>
              <w:rPr>
                <w:rFonts w:ascii="Times New Roman" w:hAnsi="Times New Roman" w:eastAsia="宋体"/>
                <w:snapToGrid w:val="0"/>
                <w:color w:val="auto"/>
                <w:spacing w:val="-16"/>
                <w:kern w:val="21"/>
                <w:sz w:val="24"/>
                <w:szCs w:val="21"/>
              </w:rPr>
              <w:fldChar w:fldCharType="separate"/>
            </w:r>
            <w:r>
              <w:rPr>
                <w:rFonts w:hint="eastAsia" w:ascii="Times New Roman" w:hAnsi="Times New Roman" w:eastAsia="宋体" w:cs="宋体"/>
                <w:color w:val="auto"/>
                <w:kern w:val="2"/>
                <w:sz w:val="24"/>
                <w:szCs w:val="21"/>
              </w:rPr>
              <w:t>⑥</w:t>
            </w:r>
            <w:r>
              <w:rPr>
                <w:rFonts w:ascii="Times New Roman" w:hAnsi="Times New Roman" w:eastAsia="宋体"/>
                <w:snapToGrid w:val="0"/>
                <w:color w:val="auto"/>
                <w:spacing w:val="-16"/>
                <w:kern w:val="21"/>
                <w:sz w:val="24"/>
                <w:szCs w:val="21"/>
              </w:rPr>
              <w:fldChar w:fldCharType="end"/>
            </w:r>
          </w:p>
        </w:tc>
        <w:tc>
          <w:tcPr>
            <w:tcW w:w="1817" w:type="dxa"/>
            <w:noWrap w:val="0"/>
            <w:tcMar>
              <w:left w:w="28" w:type="dxa"/>
              <w:right w:w="28" w:type="dxa"/>
            </w:tcMar>
            <w:vAlign w:val="center"/>
          </w:tcPr>
          <w:p w14:paraId="6C6AA8A5">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6"/>
                <w:kern w:val="21"/>
                <w:sz w:val="24"/>
                <w:szCs w:val="21"/>
              </w:rPr>
            </w:pPr>
            <w:r>
              <w:rPr>
                <w:rFonts w:ascii="Times New Roman" w:hAnsi="Times New Roman" w:eastAsia="宋体"/>
                <w:snapToGrid w:val="0"/>
                <w:color w:val="auto"/>
                <w:spacing w:val="-6"/>
                <w:kern w:val="21"/>
                <w:sz w:val="24"/>
                <w:szCs w:val="21"/>
              </w:rPr>
              <w:t>变化量</w:t>
            </w:r>
          </w:p>
          <w:p w14:paraId="08187F7E">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snapToGrid w:val="0"/>
                <w:color w:val="auto"/>
                <w:spacing w:val="-6"/>
                <w:kern w:val="21"/>
                <w:sz w:val="24"/>
                <w:szCs w:val="21"/>
              </w:rPr>
            </w:pPr>
            <w:r>
              <w:rPr>
                <w:rFonts w:ascii="Times New Roman" w:hAnsi="Times New Roman" w:eastAsia="宋体"/>
                <w:snapToGrid w:val="0"/>
                <w:color w:val="auto"/>
                <w:spacing w:val="-6"/>
                <w:kern w:val="21"/>
                <w:sz w:val="24"/>
                <w:szCs w:val="21"/>
              </w:rPr>
              <w:fldChar w:fldCharType="begin"/>
            </w:r>
            <w:r>
              <w:rPr>
                <w:rFonts w:ascii="Times New Roman" w:hAnsi="Times New Roman" w:eastAsia="宋体"/>
                <w:snapToGrid w:val="0"/>
                <w:color w:val="auto"/>
                <w:spacing w:val="-6"/>
                <w:kern w:val="21"/>
                <w:sz w:val="24"/>
                <w:szCs w:val="21"/>
              </w:rPr>
              <w:instrText xml:space="preserve"> = 7 \* GB3 \* MERGEFORMAT </w:instrText>
            </w:r>
            <w:r>
              <w:rPr>
                <w:rFonts w:ascii="Times New Roman" w:hAnsi="Times New Roman" w:eastAsia="宋体"/>
                <w:snapToGrid w:val="0"/>
                <w:color w:val="auto"/>
                <w:spacing w:val="-6"/>
                <w:kern w:val="21"/>
                <w:sz w:val="24"/>
                <w:szCs w:val="21"/>
              </w:rPr>
              <w:fldChar w:fldCharType="separate"/>
            </w:r>
            <w:r>
              <w:rPr>
                <w:rFonts w:hint="eastAsia" w:ascii="Times New Roman" w:hAnsi="Times New Roman" w:eastAsia="宋体" w:cs="宋体"/>
                <w:color w:val="auto"/>
                <w:kern w:val="2"/>
                <w:sz w:val="24"/>
                <w:szCs w:val="21"/>
              </w:rPr>
              <w:t>⑦</w:t>
            </w:r>
            <w:r>
              <w:rPr>
                <w:rFonts w:ascii="Times New Roman" w:hAnsi="Times New Roman" w:eastAsia="宋体"/>
                <w:snapToGrid w:val="0"/>
                <w:color w:val="auto"/>
                <w:spacing w:val="-6"/>
                <w:kern w:val="21"/>
                <w:sz w:val="24"/>
                <w:szCs w:val="21"/>
              </w:rPr>
              <w:fldChar w:fldCharType="end"/>
            </w:r>
          </w:p>
        </w:tc>
      </w:tr>
      <w:tr w14:paraId="1DA11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noWrap w:val="0"/>
            <w:vAlign w:val="center"/>
          </w:tcPr>
          <w:p w14:paraId="2FE6C7E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rPr>
              <w:t>废气</w:t>
            </w:r>
          </w:p>
        </w:tc>
        <w:tc>
          <w:tcPr>
            <w:tcW w:w="1482" w:type="dxa"/>
            <w:noWrap w:val="0"/>
            <w:vAlign w:val="center"/>
          </w:tcPr>
          <w:p w14:paraId="635E84A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391" w:type="dxa"/>
            <w:noWrap w:val="0"/>
            <w:vAlign w:val="center"/>
          </w:tcPr>
          <w:p w14:paraId="57262A7B">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199" w:type="dxa"/>
            <w:noWrap w:val="0"/>
            <w:vAlign w:val="center"/>
          </w:tcPr>
          <w:p w14:paraId="6C77EABE">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74" w:type="dxa"/>
            <w:noWrap w:val="0"/>
            <w:vAlign w:val="center"/>
          </w:tcPr>
          <w:p w14:paraId="4C53A10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93" w:type="dxa"/>
            <w:noWrap w:val="0"/>
            <w:vAlign w:val="center"/>
          </w:tcPr>
          <w:p w14:paraId="2764A346">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480" w:type="dxa"/>
            <w:shd w:val="clear" w:color="auto" w:fill="auto"/>
            <w:noWrap w:val="0"/>
            <w:vAlign w:val="center"/>
          </w:tcPr>
          <w:p w14:paraId="255F1E90">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55" w:type="dxa"/>
            <w:noWrap w:val="0"/>
            <w:vAlign w:val="center"/>
          </w:tcPr>
          <w:p w14:paraId="565A08E3">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817" w:type="dxa"/>
            <w:noWrap w:val="0"/>
            <w:vAlign w:val="center"/>
          </w:tcPr>
          <w:p w14:paraId="59ED023C">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r>
      <w:tr w14:paraId="411AE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restart"/>
            <w:noWrap w:val="0"/>
            <w:vAlign w:val="center"/>
          </w:tcPr>
          <w:p w14:paraId="16635F2A">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rPr>
              <w:t>废水</w:t>
            </w:r>
          </w:p>
        </w:tc>
        <w:tc>
          <w:tcPr>
            <w:tcW w:w="1482" w:type="dxa"/>
            <w:noWrap w:val="0"/>
            <w:vAlign w:val="center"/>
          </w:tcPr>
          <w:p w14:paraId="7BFAFD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default" w:ascii="Times New Roman" w:hAnsi="Times New Roman" w:eastAsia="宋体" w:cs="宋体"/>
                <w:snapToGrid w:val="0"/>
                <w:color w:val="auto"/>
                <w:kern w:val="21"/>
                <w:sz w:val="24"/>
                <w:szCs w:val="21"/>
                <w:lang w:val="en-US" w:eastAsia="zh-CN" w:bidi="ar-SA"/>
              </w:rPr>
              <w:t>pH</w:t>
            </w:r>
          </w:p>
        </w:tc>
        <w:tc>
          <w:tcPr>
            <w:tcW w:w="1391" w:type="dxa"/>
            <w:shd w:val="clear" w:color="auto" w:fill="auto"/>
            <w:noWrap w:val="0"/>
            <w:vAlign w:val="center"/>
          </w:tcPr>
          <w:p w14:paraId="25BD770F">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5DAEDBF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54812E9A">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noWrap w:val="0"/>
            <w:vAlign w:val="center"/>
          </w:tcPr>
          <w:p w14:paraId="160ED667">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6~9</w:t>
            </w:r>
          </w:p>
        </w:tc>
        <w:tc>
          <w:tcPr>
            <w:tcW w:w="1480" w:type="dxa"/>
            <w:shd w:val="clear" w:color="auto" w:fill="auto"/>
            <w:noWrap w:val="0"/>
            <w:vAlign w:val="center"/>
          </w:tcPr>
          <w:p w14:paraId="7E235BA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55" w:type="dxa"/>
            <w:noWrap w:val="0"/>
            <w:vAlign w:val="center"/>
          </w:tcPr>
          <w:p w14:paraId="07453574">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lang w:val="en-US" w:eastAsia="zh-CN"/>
              </w:rPr>
              <w:t>6~9</w:t>
            </w:r>
          </w:p>
        </w:tc>
        <w:tc>
          <w:tcPr>
            <w:tcW w:w="1817" w:type="dxa"/>
            <w:noWrap w:val="0"/>
            <w:vAlign w:val="center"/>
          </w:tcPr>
          <w:p w14:paraId="73532BD1">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w:t>
            </w:r>
          </w:p>
        </w:tc>
      </w:tr>
      <w:tr w14:paraId="50C90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3D33ECA7">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noWrap w:val="0"/>
            <w:vAlign w:val="center"/>
          </w:tcPr>
          <w:p w14:paraId="58DE73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default" w:ascii="Times New Roman" w:hAnsi="Times New Roman" w:eastAsia="宋体" w:cs="宋体"/>
                <w:snapToGrid w:val="0"/>
                <w:color w:val="auto"/>
                <w:kern w:val="21"/>
                <w:sz w:val="24"/>
                <w:szCs w:val="21"/>
                <w:lang w:val="en-US" w:eastAsia="zh-CN" w:bidi="ar-SA"/>
              </w:rPr>
              <w:t>COD</w:t>
            </w:r>
          </w:p>
        </w:tc>
        <w:tc>
          <w:tcPr>
            <w:tcW w:w="1391" w:type="dxa"/>
            <w:shd w:val="clear" w:color="auto" w:fill="auto"/>
            <w:noWrap w:val="0"/>
            <w:vAlign w:val="center"/>
          </w:tcPr>
          <w:p w14:paraId="51DDC39F">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3CEB11C0">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696A3350">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50563CCD">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0.035 </w:t>
            </w:r>
          </w:p>
        </w:tc>
        <w:tc>
          <w:tcPr>
            <w:tcW w:w="1480" w:type="dxa"/>
            <w:shd w:val="clear" w:color="auto" w:fill="auto"/>
            <w:noWrap w:val="0"/>
            <w:vAlign w:val="center"/>
          </w:tcPr>
          <w:p w14:paraId="26D222C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43217330">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0.035 </w:t>
            </w:r>
          </w:p>
        </w:tc>
        <w:tc>
          <w:tcPr>
            <w:tcW w:w="1817" w:type="dxa"/>
            <w:noWrap w:val="0"/>
            <w:vAlign w:val="center"/>
          </w:tcPr>
          <w:p w14:paraId="54D0F256">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r>
              <w:rPr>
                <w:rFonts w:hint="default" w:ascii="Times New Roman" w:hAnsi="Times New Roman" w:eastAsia="宋体" w:cs="宋体"/>
                <w:snapToGrid w:val="0"/>
                <w:color w:val="auto"/>
                <w:kern w:val="21"/>
                <w:sz w:val="24"/>
                <w:szCs w:val="21"/>
                <w:lang w:val="en-US" w:eastAsia="zh-CN"/>
              </w:rPr>
              <w:t xml:space="preserve">0.035 </w:t>
            </w:r>
          </w:p>
        </w:tc>
      </w:tr>
      <w:tr w14:paraId="14DE3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2E7ABBC2">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noWrap w:val="0"/>
            <w:vAlign w:val="center"/>
          </w:tcPr>
          <w:p w14:paraId="2DF3FE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default" w:ascii="Times New Roman" w:hAnsi="Times New Roman" w:eastAsia="宋体" w:cs="宋体"/>
                <w:snapToGrid w:val="0"/>
                <w:color w:val="auto"/>
                <w:kern w:val="21"/>
                <w:sz w:val="24"/>
                <w:szCs w:val="21"/>
                <w:lang w:val="en-US" w:eastAsia="zh-CN" w:bidi="ar-SA"/>
              </w:rPr>
              <w:t>BOD</w:t>
            </w:r>
            <w:r>
              <w:rPr>
                <w:rFonts w:hint="default" w:ascii="Times New Roman" w:hAnsi="Times New Roman" w:eastAsia="宋体" w:cs="宋体"/>
                <w:snapToGrid w:val="0"/>
                <w:color w:val="auto"/>
                <w:kern w:val="21"/>
                <w:sz w:val="24"/>
                <w:szCs w:val="21"/>
                <w:vertAlign w:val="subscript"/>
                <w:lang w:val="en-US" w:eastAsia="zh-CN" w:bidi="ar-SA"/>
              </w:rPr>
              <w:t>5</w:t>
            </w:r>
          </w:p>
        </w:tc>
        <w:tc>
          <w:tcPr>
            <w:tcW w:w="1391" w:type="dxa"/>
            <w:shd w:val="clear" w:color="auto" w:fill="auto"/>
            <w:noWrap w:val="0"/>
            <w:vAlign w:val="center"/>
          </w:tcPr>
          <w:p w14:paraId="02C77B59">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6A851686">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16F050B6">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72557A37">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0.007 </w:t>
            </w:r>
          </w:p>
        </w:tc>
        <w:tc>
          <w:tcPr>
            <w:tcW w:w="1480" w:type="dxa"/>
            <w:shd w:val="clear" w:color="auto" w:fill="auto"/>
            <w:noWrap w:val="0"/>
            <w:vAlign w:val="center"/>
          </w:tcPr>
          <w:p w14:paraId="021A9450">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67992472">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0.007 </w:t>
            </w:r>
          </w:p>
        </w:tc>
        <w:tc>
          <w:tcPr>
            <w:tcW w:w="1817" w:type="dxa"/>
            <w:noWrap w:val="0"/>
            <w:vAlign w:val="center"/>
          </w:tcPr>
          <w:p w14:paraId="594315FB">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r>
              <w:rPr>
                <w:rFonts w:hint="default" w:ascii="Times New Roman" w:hAnsi="Times New Roman" w:eastAsia="宋体" w:cs="宋体"/>
                <w:snapToGrid w:val="0"/>
                <w:color w:val="auto"/>
                <w:kern w:val="21"/>
                <w:sz w:val="24"/>
                <w:szCs w:val="21"/>
                <w:lang w:val="en-US" w:eastAsia="zh-CN"/>
              </w:rPr>
              <w:t xml:space="preserve">0.007 </w:t>
            </w:r>
          </w:p>
        </w:tc>
      </w:tr>
      <w:tr w14:paraId="5D1C3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33AF7C62">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noWrap w:val="0"/>
            <w:vAlign w:val="center"/>
          </w:tcPr>
          <w:p w14:paraId="5A806B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bidi="ar-SA"/>
              </w:rPr>
              <w:t>氨氮</w:t>
            </w:r>
          </w:p>
        </w:tc>
        <w:tc>
          <w:tcPr>
            <w:tcW w:w="1391" w:type="dxa"/>
            <w:shd w:val="clear" w:color="auto" w:fill="auto"/>
            <w:noWrap w:val="0"/>
            <w:vAlign w:val="center"/>
          </w:tcPr>
          <w:p w14:paraId="03BC5116">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49B0134E">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07BD6B5B">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523725C5">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0.003 </w:t>
            </w:r>
          </w:p>
        </w:tc>
        <w:tc>
          <w:tcPr>
            <w:tcW w:w="1480" w:type="dxa"/>
            <w:shd w:val="clear" w:color="auto" w:fill="auto"/>
            <w:noWrap w:val="0"/>
            <w:vAlign w:val="center"/>
          </w:tcPr>
          <w:p w14:paraId="276CC386">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724BD23A">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0.003 </w:t>
            </w:r>
          </w:p>
        </w:tc>
        <w:tc>
          <w:tcPr>
            <w:tcW w:w="1817" w:type="dxa"/>
            <w:noWrap w:val="0"/>
            <w:vAlign w:val="center"/>
          </w:tcPr>
          <w:p w14:paraId="7D73EB68">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r>
              <w:rPr>
                <w:rFonts w:hint="default" w:ascii="Times New Roman" w:hAnsi="Times New Roman" w:eastAsia="宋体" w:cs="宋体"/>
                <w:snapToGrid w:val="0"/>
                <w:color w:val="auto"/>
                <w:kern w:val="21"/>
                <w:sz w:val="24"/>
                <w:szCs w:val="21"/>
                <w:lang w:val="en-US" w:eastAsia="zh-CN"/>
              </w:rPr>
              <w:t xml:space="preserve">0.003 </w:t>
            </w:r>
          </w:p>
        </w:tc>
      </w:tr>
      <w:tr w14:paraId="312EE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vMerge w:val="continue"/>
            <w:noWrap w:val="0"/>
            <w:vAlign w:val="center"/>
          </w:tcPr>
          <w:p w14:paraId="348FDCBF">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noWrap w:val="0"/>
            <w:vAlign w:val="center"/>
          </w:tcPr>
          <w:p w14:paraId="51B44C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default" w:ascii="Times New Roman" w:hAnsi="Times New Roman" w:eastAsia="宋体" w:cs="宋体"/>
                <w:snapToGrid w:val="0"/>
                <w:color w:val="auto"/>
                <w:kern w:val="21"/>
                <w:sz w:val="24"/>
                <w:szCs w:val="21"/>
                <w:lang w:val="en-US" w:eastAsia="zh-CN" w:bidi="ar-SA"/>
              </w:rPr>
              <w:t>SS</w:t>
            </w:r>
          </w:p>
        </w:tc>
        <w:tc>
          <w:tcPr>
            <w:tcW w:w="1391" w:type="dxa"/>
            <w:shd w:val="clear" w:color="auto" w:fill="auto"/>
            <w:noWrap w:val="0"/>
            <w:vAlign w:val="center"/>
          </w:tcPr>
          <w:p w14:paraId="4DB7C7FC">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2DDBDA3C">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6AA99C55">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47BFA4FD">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0.007 </w:t>
            </w:r>
          </w:p>
        </w:tc>
        <w:tc>
          <w:tcPr>
            <w:tcW w:w="1480" w:type="dxa"/>
            <w:shd w:val="clear" w:color="auto" w:fill="auto"/>
            <w:noWrap w:val="0"/>
            <w:vAlign w:val="center"/>
          </w:tcPr>
          <w:p w14:paraId="60107EA7">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2023491C">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 xml:space="preserve">0.007 </w:t>
            </w:r>
          </w:p>
        </w:tc>
        <w:tc>
          <w:tcPr>
            <w:tcW w:w="1817" w:type="dxa"/>
            <w:noWrap w:val="0"/>
            <w:vAlign w:val="center"/>
          </w:tcPr>
          <w:p w14:paraId="18F53213">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r>
              <w:rPr>
                <w:rFonts w:hint="default" w:ascii="Times New Roman" w:hAnsi="Times New Roman" w:eastAsia="宋体" w:cs="宋体"/>
                <w:snapToGrid w:val="0"/>
                <w:color w:val="auto"/>
                <w:kern w:val="21"/>
                <w:sz w:val="24"/>
                <w:szCs w:val="21"/>
                <w:lang w:val="en-US" w:eastAsia="zh-CN"/>
              </w:rPr>
              <w:t xml:space="preserve">0.007 </w:t>
            </w:r>
          </w:p>
        </w:tc>
      </w:tr>
      <w:tr w14:paraId="5721F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05CBCB15">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noWrap w:val="0"/>
            <w:vAlign w:val="center"/>
          </w:tcPr>
          <w:p w14:paraId="629C4D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bidi="ar-SA"/>
              </w:rPr>
              <w:t>粪大肠菌群</w:t>
            </w:r>
          </w:p>
        </w:tc>
        <w:tc>
          <w:tcPr>
            <w:tcW w:w="1391" w:type="dxa"/>
            <w:shd w:val="clear" w:color="auto" w:fill="auto"/>
            <w:noWrap w:val="0"/>
            <w:vAlign w:val="center"/>
          </w:tcPr>
          <w:p w14:paraId="0DE5E3C8">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7171107C">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2FA3A9F3">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05F2DF79">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6.915×10</w:t>
            </w:r>
            <w:r>
              <w:rPr>
                <w:rFonts w:hint="eastAsia" w:ascii="Times New Roman" w:hAnsi="Times New Roman" w:eastAsia="宋体" w:cs="宋体"/>
                <w:snapToGrid w:val="0"/>
                <w:color w:val="auto"/>
                <w:kern w:val="21"/>
                <w:sz w:val="24"/>
                <w:szCs w:val="21"/>
                <w:vertAlign w:val="superscript"/>
                <w:lang w:val="en-US" w:eastAsia="zh-CN"/>
              </w:rPr>
              <w:t>8</w:t>
            </w:r>
            <w:r>
              <w:rPr>
                <w:rFonts w:hint="eastAsia" w:ascii="Times New Roman" w:hAnsi="Times New Roman" w:eastAsia="宋体" w:cs="宋体"/>
                <w:snapToGrid w:val="0"/>
                <w:color w:val="auto"/>
                <w:kern w:val="21"/>
                <w:sz w:val="24"/>
                <w:szCs w:val="21"/>
                <w:lang w:val="en-US" w:eastAsia="zh-CN"/>
              </w:rPr>
              <w:t>个</w:t>
            </w:r>
          </w:p>
        </w:tc>
        <w:tc>
          <w:tcPr>
            <w:tcW w:w="1480" w:type="dxa"/>
            <w:shd w:val="clear" w:color="auto" w:fill="auto"/>
            <w:noWrap w:val="0"/>
            <w:vAlign w:val="center"/>
          </w:tcPr>
          <w:p w14:paraId="6616E501">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5998D2EE">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6.915×10</w:t>
            </w:r>
            <w:r>
              <w:rPr>
                <w:rFonts w:hint="eastAsia" w:ascii="Times New Roman" w:hAnsi="Times New Roman" w:eastAsia="宋体" w:cs="宋体"/>
                <w:snapToGrid w:val="0"/>
                <w:color w:val="auto"/>
                <w:kern w:val="21"/>
                <w:sz w:val="24"/>
                <w:szCs w:val="21"/>
                <w:vertAlign w:val="superscript"/>
                <w:lang w:val="en-US" w:eastAsia="zh-CN"/>
              </w:rPr>
              <w:t>8</w:t>
            </w:r>
            <w:r>
              <w:rPr>
                <w:rFonts w:hint="eastAsia" w:ascii="Times New Roman" w:hAnsi="Times New Roman" w:eastAsia="宋体" w:cs="宋体"/>
                <w:snapToGrid w:val="0"/>
                <w:color w:val="auto"/>
                <w:kern w:val="21"/>
                <w:sz w:val="24"/>
                <w:szCs w:val="21"/>
                <w:lang w:val="en-US" w:eastAsia="zh-CN"/>
              </w:rPr>
              <w:t>个</w:t>
            </w:r>
          </w:p>
        </w:tc>
        <w:tc>
          <w:tcPr>
            <w:tcW w:w="1817" w:type="dxa"/>
            <w:noWrap w:val="0"/>
            <w:vAlign w:val="center"/>
          </w:tcPr>
          <w:p w14:paraId="696B7ABD">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+6.915×10</w:t>
            </w:r>
            <w:r>
              <w:rPr>
                <w:rFonts w:hint="eastAsia" w:ascii="Times New Roman" w:hAnsi="Times New Roman" w:eastAsia="宋体" w:cs="宋体"/>
                <w:snapToGrid w:val="0"/>
                <w:color w:val="auto"/>
                <w:kern w:val="21"/>
                <w:sz w:val="24"/>
                <w:szCs w:val="21"/>
                <w:vertAlign w:val="superscript"/>
                <w:lang w:val="en-US" w:eastAsia="zh-CN"/>
              </w:rPr>
              <w:t>8</w:t>
            </w:r>
            <w:r>
              <w:rPr>
                <w:rFonts w:hint="eastAsia" w:ascii="Times New Roman" w:hAnsi="Times New Roman" w:eastAsia="宋体" w:cs="宋体"/>
                <w:snapToGrid w:val="0"/>
                <w:color w:val="auto"/>
                <w:kern w:val="21"/>
                <w:sz w:val="24"/>
                <w:szCs w:val="21"/>
                <w:lang w:val="en-US" w:eastAsia="zh-CN"/>
              </w:rPr>
              <w:t>个</w:t>
            </w:r>
          </w:p>
        </w:tc>
      </w:tr>
      <w:tr w14:paraId="6B540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4E64A09A">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noWrap w:val="0"/>
            <w:vAlign w:val="center"/>
          </w:tcPr>
          <w:p w14:paraId="3E00EF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default" w:ascii="Times New Roman" w:hAnsi="Times New Roman" w:eastAsia="宋体" w:cs="宋体"/>
                <w:snapToGrid w:val="0"/>
                <w:color w:val="auto"/>
                <w:kern w:val="21"/>
                <w:sz w:val="24"/>
                <w:szCs w:val="21"/>
                <w:lang w:val="en-US" w:eastAsia="zh-CN" w:bidi="ar-SA"/>
              </w:rPr>
              <w:t>LAS</w:t>
            </w:r>
          </w:p>
        </w:tc>
        <w:tc>
          <w:tcPr>
            <w:tcW w:w="1391" w:type="dxa"/>
            <w:shd w:val="clear" w:color="auto" w:fill="auto"/>
            <w:noWrap w:val="0"/>
            <w:vAlign w:val="center"/>
          </w:tcPr>
          <w:p w14:paraId="4A819387">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745F21D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0E5CAAAC">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337CAD74">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0.000</w:t>
            </w:r>
            <w:r>
              <w:rPr>
                <w:rFonts w:hint="eastAsia" w:ascii="Times New Roman" w:hAnsi="Times New Roman" w:eastAsia="宋体" w:cs="宋体"/>
                <w:snapToGrid w:val="0"/>
                <w:color w:val="auto"/>
                <w:kern w:val="21"/>
                <w:sz w:val="24"/>
                <w:szCs w:val="21"/>
                <w:lang w:val="en-US" w:eastAsia="zh-CN"/>
              </w:rPr>
              <w:t>3</w:t>
            </w:r>
          </w:p>
        </w:tc>
        <w:tc>
          <w:tcPr>
            <w:tcW w:w="1480" w:type="dxa"/>
            <w:shd w:val="clear" w:color="auto" w:fill="auto"/>
            <w:noWrap w:val="0"/>
            <w:vAlign w:val="center"/>
          </w:tcPr>
          <w:p w14:paraId="5CB5222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3A0DE1AA">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0.000</w:t>
            </w:r>
            <w:r>
              <w:rPr>
                <w:rFonts w:hint="eastAsia" w:ascii="Times New Roman" w:hAnsi="Times New Roman" w:eastAsia="宋体" w:cs="宋体"/>
                <w:snapToGrid w:val="0"/>
                <w:color w:val="auto"/>
                <w:kern w:val="21"/>
                <w:sz w:val="24"/>
                <w:szCs w:val="21"/>
                <w:lang w:val="en-US" w:eastAsia="zh-CN"/>
              </w:rPr>
              <w:t>3</w:t>
            </w:r>
          </w:p>
        </w:tc>
        <w:tc>
          <w:tcPr>
            <w:tcW w:w="1817" w:type="dxa"/>
            <w:noWrap w:val="0"/>
            <w:vAlign w:val="center"/>
          </w:tcPr>
          <w:p w14:paraId="4062DE26">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r>
              <w:rPr>
                <w:rFonts w:hint="default" w:ascii="Times New Roman" w:hAnsi="Times New Roman" w:eastAsia="宋体" w:cs="宋体"/>
                <w:snapToGrid w:val="0"/>
                <w:color w:val="auto"/>
                <w:kern w:val="21"/>
                <w:sz w:val="24"/>
                <w:szCs w:val="21"/>
                <w:lang w:val="en-US" w:eastAsia="zh-CN"/>
              </w:rPr>
              <w:t>0.000</w:t>
            </w:r>
            <w:r>
              <w:rPr>
                <w:rFonts w:hint="eastAsia" w:ascii="Times New Roman" w:hAnsi="Times New Roman" w:eastAsia="宋体" w:cs="宋体"/>
                <w:snapToGrid w:val="0"/>
                <w:color w:val="auto"/>
                <w:kern w:val="21"/>
                <w:sz w:val="24"/>
                <w:szCs w:val="21"/>
                <w:lang w:val="en-US" w:eastAsia="zh-CN"/>
              </w:rPr>
              <w:t>3</w:t>
            </w:r>
          </w:p>
        </w:tc>
      </w:tr>
      <w:tr w14:paraId="50ADC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2AB4730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noWrap w:val="0"/>
            <w:vAlign w:val="center"/>
          </w:tcPr>
          <w:p w14:paraId="3DEB2D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bidi="ar-SA"/>
              </w:rPr>
              <w:t>TP</w:t>
            </w:r>
          </w:p>
        </w:tc>
        <w:tc>
          <w:tcPr>
            <w:tcW w:w="1391" w:type="dxa"/>
            <w:shd w:val="clear" w:color="auto" w:fill="auto"/>
            <w:noWrap w:val="0"/>
            <w:vAlign w:val="center"/>
          </w:tcPr>
          <w:p w14:paraId="2F85470E">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07AFE5DE">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7A8C72B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7FD7D981">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0.000</w:t>
            </w:r>
            <w:r>
              <w:rPr>
                <w:rFonts w:hint="eastAsia" w:ascii="Times New Roman" w:hAnsi="Times New Roman" w:eastAsia="宋体" w:cs="宋体"/>
                <w:snapToGrid w:val="0"/>
                <w:color w:val="auto"/>
                <w:kern w:val="21"/>
                <w:sz w:val="24"/>
                <w:szCs w:val="21"/>
                <w:lang w:val="en-US" w:eastAsia="zh-CN"/>
              </w:rPr>
              <w:t>3</w:t>
            </w:r>
          </w:p>
        </w:tc>
        <w:tc>
          <w:tcPr>
            <w:tcW w:w="1480" w:type="dxa"/>
            <w:shd w:val="clear" w:color="auto" w:fill="auto"/>
            <w:noWrap w:val="0"/>
            <w:vAlign w:val="center"/>
          </w:tcPr>
          <w:p w14:paraId="5BCD8B1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6B2170E7">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0.000</w:t>
            </w:r>
            <w:r>
              <w:rPr>
                <w:rFonts w:hint="eastAsia" w:ascii="Times New Roman" w:hAnsi="Times New Roman" w:eastAsia="宋体" w:cs="宋体"/>
                <w:snapToGrid w:val="0"/>
                <w:color w:val="auto"/>
                <w:kern w:val="21"/>
                <w:sz w:val="24"/>
                <w:szCs w:val="21"/>
                <w:lang w:val="en-US" w:eastAsia="zh-CN"/>
              </w:rPr>
              <w:t>3</w:t>
            </w:r>
          </w:p>
        </w:tc>
        <w:tc>
          <w:tcPr>
            <w:tcW w:w="1817" w:type="dxa"/>
            <w:noWrap w:val="0"/>
            <w:vAlign w:val="center"/>
          </w:tcPr>
          <w:p w14:paraId="1BF00962">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r>
              <w:rPr>
                <w:rFonts w:hint="default" w:ascii="Times New Roman" w:hAnsi="Times New Roman" w:eastAsia="宋体" w:cs="宋体"/>
                <w:snapToGrid w:val="0"/>
                <w:color w:val="auto"/>
                <w:kern w:val="21"/>
                <w:sz w:val="24"/>
                <w:szCs w:val="21"/>
                <w:lang w:val="en-US" w:eastAsia="zh-CN"/>
              </w:rPr>
              <w:t>0.000</w:t>
            </w:r>
            <w:r>
              <w:rPr>
                <w:rFonts w:hint="eastAsia" w:ascii="Times New Roman" w:hAnsi="Times New Roman" w:eastAsia="宋体" w:cs="宋体"/>
                <w:snapToGrid w:val="0"/>
                <w:color w:val="auto"/>
                <w:kern w:val="21"/>
                <w:sz w:val="24"/>
                <w:szCs w:val="21"/>
                <w:lang w:val="en-US" w:eastAsia="zh-CN"/>
              </w:rPr>
              <w:t>3</w:t>
            </w:r>
          </w:p>
        </w:tc>
      </w:tr>
      <w:tr w14:paraId="5F24A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restart"/>
            <w:noWrap w:val="0"/>
            <w:vAlign w:val="center"/>
          </w:tcPr>
          <w:p w14:paraId="7B30DBCB">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rPr>
              <w:t>一般</w:t>
            </w:r>
          </w:p>
          <w:p w14:paraId="15DF786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rPr>
              <w:t>固体废物</w:t>
            </w:r>
          </w:p>
        </w:tc>
        <w:tc>
          <w:tcPr>
            <w:tcW w:w="1482" w:type="dxa"/>
            <w:shd w:val="clear" w:color="auto" w:fill="auto"/>
            <w:noWrap w:val="0"/>
            <w:vAlign w:val="center"/>
          </w:tcPr>
          <w:p w14:paraId="2F8719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default" w:ascii="Times New Roman" w:hAnsi="Times New Roman" w:eastAsia="宋体" w:cs="宋体"/>
                <w:snapToGrid w:val="0"/>
                <w:color w:val="auto"/>
                <w:kern w:val="21"/>
                <w:sz w:val="24"/>
                <w:szCs w:val="21"/>
                <w:lang w:val="en-US" w:eastAsia="zh-CN" w:bidi="ar-SA"/>
              </w:rPr>
              <w:t>动物尸体</w:t>
            </w:r>
          </w:p>
        </w:tc>
        <w:tc>
          <w:tcPr>
            <w:tcW w:w="1391" w:type="dxa"/>
            <w:shd w:val="clear" w:color="auto" w:fill="auto"/>
            <w:noWrap w:val="0"/>
            <w:vAlign w:val="center"/>
          </w:tcPr>
          <w:p w14:paraId="045A9AF4">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4C9B938C">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403A25E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noWrap w:val="0"/>
            <w:vAlign w:val="center"/>
          </w:tcPr>
          <w:p w14:paraId="1E33C5F8">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480" w:type="dxa"/>
            <w:noWrap w:val="0"/>
            <w:vAlign w:val="center"/>
          </w:tcPr>
          <w:p w14:paraId="11EACD5A">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noWrap w:val="0"/>
            <w:vAlign w:val="center"/>
          </w:tcPr>
          <w:p w14:paraId="11833085">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817" w:type="dxa"/>
            <w:noWrap w:val="0"/>
            <w:vAlign w:val="center"/>
          </w:tcPr>
          <w:p w14:paraId="0359B80B">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r>
      <w:tr w14:paraId="26D59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66321C73">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shd w:val="clear" w:color="auto" w:fill="auto"/>
            <w:noWrap w:val="0"/>
            <w:vAlign w:val="center"/>
          </w:tcPr>
          <w:p w14:paraId="046551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宋体"/>
                <w:snapToGrid w:val="0"/>
                <w:color w:val="auto"/>
                <w:kern w:val="21"/>
                <w:sz w:val="24"/>
                <w:szCs w:val="21"/>
                <w:lang w:val="en-US" w:eastAsia="zh-CN" w:bidi="ar-SA"/>
              </w:rPr>
            </w:pPr>
            <w:r>
              <w:rPr>
                <w:rFonts w:hint="default" w:ascii="Times New Roman" w:hAnsi="Times New Roman" w:eastAsia="宋体" w:cs="宋体"/>
                <w:snapToGrid w:val="0"/>
                <w:color w:val="auto"/>
                <w:kern w:val="21"/>
                <w:sz w:val="24"/>
                <w:szCs w:val="21"/>
                <w:lang w:val="en-US" w:eastAsia="zh-CN" w:bidi="ar-SA"/>
              </w:rPr>
              <w:t>动物粪污</w:t>
            </w:r>
          </w:p>
        </w:tc>
        <w:tc>
          <w:tcPr>
            <w:tcW w:w="1391" w:type="dxa"/>
            <w:shd w:val="clear" w:color="auto" w:fill="auto"/>
            <w:noWrap w:val="0"/>
            <w:vAlign w:val="center"/>
          </w:tcPr>
          <w:p w14:paraId="435AC261">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716F4ED6">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67573CD2">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93" w:type="dxa"/>
            <w:noWrap w:val="0"/>
            <w:vAlign w:val="center"/>
          </w:tcPr>
          <w:p w14:paraId="1F0A7413">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1.898</w:t>
            </w:r>
          </w:p>
        </w:tc>
        <w:tc>
          <w:tcPr>
            <w:tcW w:w="1480" w:type="dxa"/>
            <w:noWrap w:val="0"/>
            <w:vAlign w:val="center"/>
          </w:tcPr>
          <w:p w14:paraId="58C1848A">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2C6ADEC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1.898</w:t>
            </w:r>
          </w:p>
        </w:tc>
        <w:tc>
          <w:tcPr>
            <w:tcW w:w="1817" w:type="dxa"/>
            <w:shd w:val="clear" w:color="auto" w:fill="auto"/>
            <w:noWrap w:val="0"/>
            <w:vAlign w:val="center"/>
          </w:tcPr>
          <w:p w14:paraId="4F580B00">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+1.898</w:t>
            </w:r>
          </w:p>
        </w:tc>
      </w:tr>
      <w:tr w14:paraId="25E8E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777425E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shd w:val="clear" w:color="auto" w:fill="auto"/>
            <w:noWrap w:val="0"/>
            <w:vAlign w:val="center"/>
          </w:tcPr>
          <w:p w14:paraId="0AD760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bidi="ar-SA"/>
              </w:rPr>
              <w:t>动物毛发</w:t>
            </w:r>
          </w:p>
        </w:tc>
        <w:tc>
          <w:tcPr>
            <w:tcW w:w="1391" w:type="dxa"/>
            <w:noWrap w:val="0"/>
            <w:vAlign w:val="center"/>
          </w:tcPr>
          <w:p w14:paraId="47ADF547">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lang w:val="en-US" w:eastAsia="zh-CN"/>
              </w:rPr>
              <w:t>/</w:t>
            </w:r>
          </w:p>
        </w:tc>
        <w:tc>
          <w:tcPr>
            <w:tcW w:w="1199" w:type="dxa"/>
            <w:noWrap w:val="0"/>
            <w:vAlign w:val="center"/>
          </w:tcPr>
          <w:p w14:paraId="2624C801">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lang w:val="en-US" w:eastAsia="zh-CN"/>
              </w:rPr>
              <w:t>/</w:t>
            </w:r>
          </w:p>
        </w:tc>
        <w:tc>
          <w:tcPr>
            <w:tcW w:w="1774" w:type="dxa"/>
            <w:noWrap w:val="0"/>
            <w:vAlign w:val="center"/>
          </w:tcPr>
          <w:p w14:paraId="3A96DF08">
            <w:pPr>
              <w:pStyle w:val="41"/>
              <w:keepNext w:val="0"/>
              <w:keepLines w:val="0"/>
              <w:pageBreakBefore w:val="0"/>
              <w:kinsoku/>
              <w:wordWrap/>
              <w:overflowPunct/>
              <w:topLinePunct w:val="0"/>
              <w:autoSpaceDE/>
              <w:autoSpaceDN/>
              <w:bidi w:val="0"/>
              <w:spacing w:beforeLines="0" w:afterLines="0" w:line="240" w:lineRule="auto"/>
              <w:rPr>
                <w:rFonts w:ascii="Times New Roman" w:hAnsi="Times New Roman" w:eastAsia="宋体" w:cs="宋体"/>
                <w:snapToGrid w:val="0"/>
                <w:color w:val="auto"/>
                <w:kern w:val="21"/>
                <w:sz w:val="24"/>
                <w:szCs w:val="21"/>
              </w:rPr>
            </w:pPr>
            <w:r>
              <w:rPr>
                <w:rFonts w:hint="eastAsia" w:ascii="Times New Roman" w:hAnsi="Times New Roman" w:eastAsia="宋体" w:cs="宋体"/>
                <w:snapToGrid w:val="0"/>
                <w:color w:val="auto"/>
                <w:kern w:val="21"/>
                <w:sz w:val="24"/>
                <w:szCs w:val="21"/>
                <w:lang w:val="en-US" w:eastAsia="zh-CN"/>
              </w:rPr>
              <w:t>/</w:t>
            </w:r>
          </w:p>
        </w:tc>
        <w:tc>
          <w:tcPr>
            <w:tcW w:w="1793" w:type="dxa"/>
            <w:noWrap w:val="0"/>
            <w:vAlign w:val="center"/>
          </w:tcPr>
          <w:p w14:paraId="7A72C6A1">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0.365</w:t>
            </w:r>
          </w:p>
        </w:tc>
        <w:tc>
          <w:tcPr>
            <w:tcW w:w="1480" w:type="dxa"/>
            <w:noWrap w:val="0"/>
            <w:vAlign w:val="center"/>
          </w:tcPr>
          <w:p w14:paraId="663302FC">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11149DCF">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0.365</w:t>
            </w:r>
          </w:p>
        </w:tc>
        <w:tc>
          <w:tcPr>
            <w:tcW w:w="1817" w:type="dxa"/>
            <w:shd w:val="clear" w:color="auto" w:fill="auto"/>
            <w:noWrap w:val="0"/>
            <w:vAlign w:val="center"/>
          </w:tcPr>
          <w:p w14:paraId="50711319">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+0.365</w:t>
            </w:r>
          </w:p>
        </w:tc>
      </w:tr>
      <w:tr w14:paraId="0B7A6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8" w:type="dxa"/>
            <w:vMerge w:val="continue"/>
            <w:noWrap w:val="0"/>
            <w:vAlign w:val="center"/>
          </w:tcPr>
          <w:p w14:paraId="426D533E">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rPr>
            </w:pPr>
          </w:p>
        </w:tc>
        <w:tc>
          <w:tcPr>
            <w:tcW w:w="1482" w:type="dxa"/>
            <w:shd w:val="clear" w:color="auto" w:fill="auto"/>
            <w:noWrap w:val="0"/>
            <w:vAlign w:val="center"/>
          </w:tcPr>
          <w:p w14:paraId="08FE5A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bidi="ar-SA"/>
              </w:rPr>
              <w:t>废包装材料</w:t>
            </w:r>
          </w:p>
        </w:tc>
        <w:tc>
          <w:tcPr>
            <w:tcW w:w="1391" w:type="dxa"/>
            <w:noWrap w:val="0"/>
            <w:vAlign w:val="center"/>
          </w:tcPr>
          <w:p w14:paraId="70586DA7">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199" w:type="dxa"/>
            <w:noWrap w:val="0"/>
            <w:vAlign w:val="center"/>
          </w:tcPr>
          <w:p w14:paraId="64BAB512">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74" w:type="dxa"/>
            <w:noWrap w:val="0"/>
            <w:vAlign w:val="center"/>
          </w:tcPr>
          <w:p w14:paraId="76FEEC66">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7AB2B311">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0.15</w:t>
            </w:r>
          </w:p>
        </w:tc>
        <w:tc>
          <w:tcPr>
            <w:tcW w:w="1480" w:type="dxa"/>
            <w:shd w:val="clear" w:color="auto" w:fill="auto"/>
            <w:noWrap w:val="0"/>
            <w:vAlign w:val="center"/>
          </w:tcPr>
          <w:p w14:paraId="05696571">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1154AA2B">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0.15</w:t>
            </w:r>
          </w:p>
        </w:tc>
        <w:tc>
          <w:tcPr>
            <w:tcW w:w="1817" w:type="dxa"/>
            <w:shd w:val="clear" w:color="auto" w:fill="auto"/>
            <w:noWrap w:val="0"/>
            <w:vAlign w:val="center"/>
          </w:tcPr>
          <w:p w14:paraId="14AB30DC">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+0.15</w:t>
            </w:r>
          </w:p>
        </w:tc>
      </w:tr>
      <w:tr w14:paraId="1E483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280" w:type="dxa"/>
            <w:gridSpan w:val="2"/>
            <w:noWrap w:val="0"/>
            <w:vAlign w:val="center"/>
          </w:tcPr>
          <w:p w14:paraId="476BDB2F">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医疗废物</w:t>
            </w:r>
          </w:p>
        </w:tc>
        <w:tc>
          <w:tcPr>
            <w:tcW w:w="1391" w:type="dxa"/>
            <w:shd w:val="clear" w:color="auto" w:fill="auto"/>
            <w:noWrap w:val="0"/>
            <w:vAlign w:val="center"/>
          </w:tcPr>
          <w:p w14:paraId="7F8158E6">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47D3E060">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24ECF6BB">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noWrap w:val="0"/>
            <w:vAlign w:val="center"/>
          </w:tcPr>
          <w:p w14:paraId="483881F4">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3.212</w:t>
            </w:r>
          </w:p>
        </w:tc>
        <w:tc>
          <w:tcPr>
            <w:tcW w:w="1480" w:type="dxa"/>
            <w:noWrap w:val="0"/>
            <w:vAlign w:val="center"/>
          </w:tcPr>
          <w:p w14:paraId="0269CFB8">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518A7DD5">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3.212</w:t>
            </w:r>
          </w:p>
        </w:tc>
        <w:tc>
          <w:tcPr>
            <w:tcW w:w="1817" w:type="dxa"/>
            <w:shd w:val="clear" w:color="auto" w:fill="auto"/>
            <w:noWrap w:val="0"/>
            <w:vAlign w:val="center"/>
          </w:tcPr>
          <w:p w14:paraId="24CA6652">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+3.212</w:t>
            </w:r>
          </w:p>
        </w:tc>
      </w:tr>
      <w:tr w14:paraId="55665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280" w:type="dxa"/>
            <w:gridSpan w:val="2"/>
            <w:noWrap w:val="0"/>
            <w:vAlign w:val="center"/>
          </w:tcPr>
          <w:p w14:paraId="275FD5A0">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default" w:ascii="Times New Roman" w:hAnsi="Times New Roman" w:eastAsia="宋体" w:cs="宋体"/>
                <w:snapToGrid w:val="0"/>
                <w:color w:val="auto"/>
                <w:kern w:val="21"/>
                <w:sz w:val="24"/>
                <w:szCs w:val="21"/>
                <w:lang w:val="en-US" w:eastAsia="zh-CN"/>
              </w:rPr>
              <w:t>废紫外灯管</w:t>
            </w:r>
          </w:p>
        </w:tc>
        <w:tc>
          <w:tcPr>
            <w:tcW w:w="1391" w:type="dxa"/>
            <w:shd w:val="clear" w:color="auto" w:fill="auto"/>
            <w:noWrap w:val="0"/>
            <w:vAlign w:val="center"/>
          </w:tcPr>
          <w:p w14:paraId="0667F0F0">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10A1F54F">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3646E4B4">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264062B7">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0.015</w:t>
            </w:r>
          </w:p>
        </w:tc>
        <w:tc>
          <w:tcPr>
            <w:tcW w:w="1480" w:type="dxa"/>
            <w:shd w:val="clear" w:color="auto" w:fill="auto"/>
            <w:noWrap w:val="0"/>
            <w:vAlign w:val="center"/>
          </w:tcPr>
          <w:p w14:paraId="717C64E2">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46BC4179">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0.015</w:t>
            </w:r>
          </w:p>
        </w:tc>
        <w:tc>
          <w:tcPr>
            <w:tcW w:w="1817" w:type="dxa"/>
            <w:shd w:val="clear" w:color="auto" w:fill="auto"/>
            <w:noWrap w:val="0"/>
            <w:vAlign w:val="center"/>
          </w:tcPr>
          <w:p w14:paraId="1937A4DB">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+0.015</w:t>
            </w:r>
          </w:p>
        </w:tc>
      </w:tr>
      <w:tr w14:paraId="39591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280" w:type="dxa"/>
            <w:gridSpan w:val="2"/>
            <w:noWrap w:val="0"/>
            <w:vAlign w:val="center"/>
          </w:tcPr>
          <w:p w14:paraId="260B561C">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生活垃圾</w:t>
            </w:r>
          </w:p>
        </w:tc>
        <w:tc>
          <w:tcPr>
            <w:tcW w:w="1391" w:type="dxa"/>
            <w:shd w:val="clear" w:color="auto" w:fill="auto"/>
            <w:noWrap w:val="0"/>
            <w:vAlign w:val="center"/>
          </w:tcPr>
          <w:p w14:paraId="2B561CB1">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199" w:type="dxa"/>
            <w:shd w:val="clear" w:color="auto" w:fill="auto"/>
            <w:noWrap w:val="0"/>
            <w:vAlign w:val="center"/>
          </w:tcPr>
          <w:p w14:paraId="1B3E1D9A">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74" w:type="dxa"/>
            <w:shd w:val="clear" w:color="auto" w:fill="auto"/>
            <w:noWrap w:val="0"/>
            <w:vAlign w:val="center"/>
          </w:tcPr>
          <w:p w14:paraId="50066067">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bidi="ar-SA"/>
              </w:rPr>
            </w:pPr>
            <w:r>
              <w:rPr>
                <w:rFonts w:hint="eastAsia" w:ascii="Times New Roman" w:hAnsi="Times New Roman" w:eastAsia="宋体" w:cs="宋体"/>
                <w:snapToGrid w:val="0"/>
                <w:color w:val="auto"/>
                <w:kern w:val="21"/>
                <w:sz w:val="24"/>
                <w:szCs w:val="21"/>
                <w:lang w:val="en-US" w:eastAsia="zh-CN"/>
              </w:rPr>
              <w:t>/</w:t>
            </w:r>
          </w:p>
        </w:tc>
        <w:tc>
          <w:tcPr>
            <w:tcW w:w="1793" w:type="dxa"/>
            <w:shd w:val="clear" w:color="auto" w:fill="auto"/>
            <w:noWrap w:val="0"/>
            <w:vAlign w:val="center"/>
          </w:tcPr>
          <w:p w14:paraId="0175F687">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8.03</w:t>
            </w:r>
          </w:p>
        </w:tc>
        <w:tc>
          <w:tcPr>
            <w:tcW w:w="1480" w:type="dxa"/>
            <w:shd w:val="clear" w:color="auto" w:fill="auto"/>
            <w:noWrap w:val="0"/>
            <w:vAlign w:val="center"/>
          </w:tcPr>
          <w:p w14:paraId="0CCD1C14">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w:t>
            </w:r>
          </w:p>
        </w:tc>
        <w:tc>
          <w:tcPr>
            <w:tcW w:w="1755" w:type="dxa"/>
            <w:shd w:val="clear" w:color="auto" w:fill="auto"/>
            <w:noWrap w:val="0"/>
            <w:vAlign w:val="center"/>
          </w:tcPr>
          <w:p w14:paraId="0692E7AA">
            <w:pPr>
              <w:pStyle w:val="41"/>
              <w:keepNext w:val="0"/>
              <w:keepLines w:val="0"/>
              <w:pageBreakBefore w:val="0"/>
              <w:kinsoku/>
              <w:wordWrap/>
              <w:overflowPunct/>
              <w:topLinePunct w:val="0"/>
              <w:autoSpaceDE/>
              <w:autoSpaceDN/>
              <w:bidi w:val="0"/>
              <w:spacing w:beforeLines="0" w:afterLines="0" w:line="240" w:lineRule="auto"/>
              <w:rPr>
                <w:rFonts w:hint="eastAsia"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8.03</w:t>
            </w:r>
          </w:p>
        </w:tc>
        <w:tc>
          <w:tcPr>
            <w:tcW w:w="1817" w:type="dxa"/>
            <w:shd w:val="clear" w:color="auto" w:fill="auto"/>
            <w:noWrap w:val="0"/>
            <w:vAlign w:val="center"/>
          </w:tcPr>
          <w:p w14:paraId="5CF7C92F">
            <w:pPr>
              <w:pStyle w:val="41"/>
              <w:keepNext w:val="0"/>
              <w:keepLines w:val="0"/>
              <w:pageBreakBefore w:val="0"/>
              <w:kinsoku/>
              <w:wordWrap/>
              <w:overflowPunct/>
              <w:topLinePunct w:val="0"/>
              <w:autoSpaceDE/>
              <w:autoSpaceDN/>
              <w:bidi w:val="0"/>
              <w:spacing w:beforeLines="0" w:afterLines="0" w:line="240" w:lineRule="auto"/>
              <w:rPr>
                <w:rFonts w:hint="default" w:ascii="Times New Roman" w:hAnsi="Times New Roman" w:eastAsia="宋体" w:cs="宋体"/>
                <w:snapToGrid w:val="0"/>
                <w:color w:val="auto"/>
                <w:kern w:val="21"/>
                <w:sz w:val="24"/>
                <w:szCs w:val="21"/>
                <w:lang w:val="en-US" w:eastAsia="zh-CN"/>
              </w:rPr>
            </w:pPr>
            <w:r>
              <w:rPr>
                <w:rFonts w:hint="eastAsia" w:ascii="Times New Roman" w:hAnsi="Times New Roman" w:eastAsia="宋体" w:cs="宋体"/>
                <w:snapToGrid w:val="0"/>
                <w:color w:val="auto"/>
                <w:kern w:val="21"/>
                <w:sz w:val="24"/>
                <w:szCs w:val="21"/>
                <w:lang w:val="en-US" w:eastAsia="zh-CN"/>
              </w:rPr>
              <w:t>+8.03</w:t>
            </w:r>
          </w:p>
        </w:tc>
      </w:tr>
    </w:tbl>
    <w:p w14:paraId="3FFC04C8">
      <w:pPr>
        <w:pStyle w:val="41"/>
        <w:spacing w:before="192" w:beforeLines="80" w:after="24"/>
        <w:jc w:val="left"/>
        <w:rPr>
          <w:rFonts w:hAnsi="宋体"/>
          <w:snapToGrid w:val="0"/>
          <w:color w:val="auto"/>
          <w:spacing w:val="-6"/>
          <w:kern w:val="21"/>
          <w:sz w:val="24"/>
          <w:szCs w:val="24"/>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Ansi="宋体"/>
          <w:snapToGrid w:val="0"/>
          <w:color w:val="auto"/>
          <w:kern w:val="21"/>
          <w:sz w:val="24"/>
          <w:szCs w:val="24"/>
        </w:rPr>
        <w:t>注：</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3 \* GB3 \* MERGEFORMAT </w:instrText>
      </w:r>
      <w:r>
        <w:rPr>
          <w:rFonts w:hAnsi="宋体"/>
          <w:snapToGrid w:val="0"/>
          <w:color w:val="auto"/>
          <w:spacing w:val="-6"/>
          <w:kern w:val="21"/>
          <w:sz w:val="24"/>
          <w:szCs w:val="24"/>
        </w:rPr>
        <w:fldChar w:fldCharType="separate"/>
      </w:r>
      <w:r>
        <w:rPr>
          <w:rFonts w:hint="eastAsia" w:hAnsi="宋体"/>
          <w:color w:val="auto"/>
          <w:sz w:val="24"/>
          <w:szCs w:val="24"/>
        </w:rPr>
        <w:t>③</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4 \* GB3 \* MERGEFORMAT </w:instrText>
      </w:r>
      <w:r>
        <w:rPr>
          <w:rFonts w:hAnsi="宋体"/>
          <w:snapToGrid w:val="0"/>
          <w:color w:val="auto"/>
          <w:spacing w:val="-6"/>
          <w:kern w:val="21"/>
          <w:sz w:val="24"/>
          <w:szCs w:val="24"/>
        </w:rPr>
        <w:fldChar w:fldCharType="separate"/>
      </w:r>
      <w:r>
        <w:rPr>
          <w:rFonts w:hint="eastAsia" w:hAnsi="宋体"/>
          <w:color w:val="auto"/>
          <w:sz w:val="24"/>
          <w:szCs w:val="24"/>
        </w:rPr>
        <w:t>④</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5 \* GB3 \* MERGEFORMAT </w:instrText>
      </w:r>
      <w:r>
        <w:rPr>
          <w:rFonts w:hAnsi="宋体"/>
          <w:snapToGrid w:val="0"/>
          <w:color w:val="auto"/>
          <w:spacing w:val="-16"/>
          <w:kern w:val="21"/>
          <w:sz w:val="24"/>
          <w:szCs w:val="24"/>
        </w:rPr>
        <w:fldChar w:fldCharType="separate"/>
      </w:r>
      <w:r>
        <w:rPr>
          <w:rFonts w:hint="eastAsia" w:hAnsi="宋体"/>
          <w:color w:val="auto"/>
          <w:sz w:val="24"/>
          <w:szCs w:val="24"/>
        </w:rPr>
        <w:t>⑤</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7 \* GB3 \* MERGEFORMAT </w:instrText>
      </w:r>
      <w:r>
        <w:rPr>
          <w:rFonts w:hAnsi="宋体"/>
          <w:snapToGrid w:val="0"/>
          <w:color w:val="auto"/>
          <w:spacing w:val="-6"/>
          <w:kern w:val="21"/>
          <w:sz w:val="24"/>
          <w:szCs w:val="24"/>
        </w:rPr>
        <w:fldChar w:fldCharType="separate"/>
      </w:r>
      <w:r>
        <w:rPr>
          <w:rFonts w:hint="eastAsia" w:hAnsi="宋体"/>
          <w:color w:val="auto"/>
          <w:sz w:val="24"/>
          <w:szCs w:val="24"/>
        </w:rPr>
        <w:t>⑦</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p>
    <w:p w14:paraId="1A397ECB">
      <w:pPr>
        <w:rPr>
          <w:rFonts w:hint="eastAsia"/>
        </w:rPr>
      </w:pPr>
      <w:r>
        <w:drawing>
          <wp:inline distT="0" distB="0" distL="114300" distR="114300">
            <wp:extent cx="5372100" cy="7648575"/>
            <wp:effectExtent l="0" t="0" r="0"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6"/>
                    <a:stretch>
                      <a:fillRect/>
                    </a:stretch>
                  </pic:blipFill>
                  <pic:spPr>
                    <a:xfrm>
                      <a:off x="0" y="0"/>
                      <a:ext cx="5372100" cy="7648575"/>
                    </a:xfrm>
                    <a:prstGeom prst="rect">
                      <a:avLst/>
                    </a:prstGeom>
                    <a:noFill/>
                    <a:ln>
                      <a:noFill/>
                    </a:ln>
                  </pic:spPr>
                </pic:pic>
              </a:graphicData>
            </a:graphic>
          </wp:inline>
        </w:drawing>
      </w: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52F73">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3F23F9">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V1BZl4QEAAMEDAAAOAAAA&#10;AAAAAAEAIAAAAB4BAABkcnMvZTJvRG9jLnhtbFBLBQYAAAAABgAGAFkBAABxBQAAAAA=&#10;">
              <v:fill on="f" focussize="0,0"/>
              <v:stroke on="f"/>
              <v:imagedata o:title=""/>
              <o:lock v:ext="edit" aspectratio="f"/>
              <v:textbox inset="0mm,0mm,0mm,0mm" style="mso-fit-shape-to-text:t;">
                <w:txbxContent>
                  <w:p w14:paraId="2B3F23F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B289C">
    <w:pPr>
      <w:pStyle w:val="13"/>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164D7">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xPPnOABAADBAwAADgAAAGRycy9lMm9Eb2MueG1srVNBrtMwEN0jcQfL&#10;e5o0SK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Na84c8LSwC/fv11+/Lr8/MqW&#10;5fMqKdT7sKbEO0+pcXgFA+3N7A/kTMSHFm36EyVGcdL3fNVXDZHJdGlVrVYlhSTF5gPhF/fXPYb4&#10;RoFlyag50gCzruL0LsQxdU5J1RzcamPyEI37y0GYyVOk3scekxWH/TAR2kNzJj70EqhOB/iFs572&#10;oOaO1p4z89aRzGllZgNnYz8bwkm6WPPI2Wi+juNqHT3qQ5eXLTUV/MtjpE4zgdTGWHvqjiabJZi2&#10;MK3On+ecdf/y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sTz5zgAQAAwQMAAA4AAAAA&#10;AAAAAQAgAAAAHgEAAGRycy9lMm9Eb2MueG1sUEsFBgAAAAAGAAYAWQEAAHAFAAAAAA==&#10;">
              <v:fill on="f" focussize="0,0"/>
              <v:stroke on="f"/>
              <v:imagedata o:title=""/>
              <o:lock v:ext="edit" aspectratio="f"/>
              <v:textbox inset="0mm,0mm,0mm,0mm" style="mso-fit-shape-to-text:t;">
                <w:txbxContent>
                  <w:p w14:paraId="3FD164D7">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A62B4">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54A27E">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En11s4QEAAMEDAAAOAAAA&#10;AAAAAAEAIAAAAB4BAABkcnMvZTJvRG9jLnhtbFBLBQYAAAAABgAGAFkBAABxBQAAAAA=&#10;">
              <v:fill on="f" focussize="0,0"/>
              <v:stroke on="f"/>
              <v:imagedata o:title=""/>
              <o:lock v:ext="edit" aspectratio="f"/>
              <v:textbox inset="0mm,0mm,0mm,0mm" style="mso-fit-shape-to-text:t;">
                <w:txbxContent>
                  <w:p w14:paraId="5254A27E">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2FC9">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22FD07">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LbIPG4QEAAMEDAAAOAAAA&#10;AAAAAAEAIAAAAB4BAABkcnMvZTJvRG9jLnhtbFBLBQYAAAAABgAGAFkBAABxBQAAAAA=&#10;">
              <v:fill on="f" focussize="0,0"/>
              <v:stroke on="f"/>
              <v:imagedata o:title=""/>
              <o:lock v:ext="edit" aspectratio="f"/>
              <v:textbox inset="0mm,0mm,0mm,0mm" style="mso-fit-shape-to-text:t;">
                <w:txbxContent>
                  <w:p w14:paraId="0E22FD07">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10A07"/>
    <w:multiLevelType w:val="singleLevel"/>
    <w:tmpl w:val="14510A0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5FD9"/>
    <w:rsid w:val="0069775A"/>
    <w:rsid w:val="00697813"/>
    <w:rsid w:val="006A3EE8"/>
    <w:rsid w:val="006A72BF"/>
    <w:rsid w:val="006B03F2"/>
    <w:rsid w:val="006B37DC"/>
    <w:rsid w:val="006B4F68"/>
    <w:rsid w:val="006C0592"/>
    <w:rsid w:val="006C272E"/>
    <w:rsid w:val="006C5479"/>
    <w:rsid w:val="006D13B5"/>
    <w:rsid w:val="006E12FF"/>
    <w:rsid w:val="006E607E"/>
    <w:rsid w:val="006F42B4"/>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65F0E"/>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1EB3"/>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C205FE"/>
    <w:rsid w:val="01D04446"/>
    <w:rsid w:val="02697903"/>
    <w:rsid w:val="026F75D4"/>
    <w:rsid w:val="02921238"/>
    <w:rsid w:val="02F96569"/>
    <w:rsid w:val="038F71C9"/>
    <w:rsid w:val="03A52547"/>
    <w:rsid w:val="03C04D24"/>
    <w:rsid w:val="03D251BA"/>
    <w:rsid w:val="03D4001E"/>
    <w:rsid w:val="03EA7B21"/>
    <w:rsid w:val="04563C51"/>
    <w:rsid w:val="047A1404"/>
    <w:rsid w:val="0539468F"/>
    <w:rsid w:val="05535A7D"/>
    <w:rsid w:val="057523EE"/>
    <w:rsid w:val="05E92BC4"/>
    <w:rsid w:val="05F83EAE"/>
    <w:rsid w:val="063E7D85"/>
    <w:rsid w:val="06503896"/>
    <w:rsid w:val="068C5401"/>
    <w:rsid w:val="06FB65BE"/>
    <w:rsid w:val="07293586"/>
    <w:rsid w:val="07295285"/>
    <w:rsid w:val="07636392"/>
    <w:rsid w:val="076E3F95"/>
    <w:rsid w:val="07761A22"/>
    <w:rsid w:val="07770C56"/>
    <w:rsid w:val="078905B9"/>
    <w:rsid w:val="07CB1395"/>
    <w:rsid w:val="0820446F"/>
    <w:rsid w:val="092217DD"/>
    <w:rsid w:val="093A7294"/>
    <w:rsid w:val="0A263993"/>
    <w:rsid w:val="0A2D3AC2"/>
    <w:rsid w:val="0A7E1B63"/>
    <w:rsid w:val="0A8D2B92"/>
    <w:rsid w:val="0AA755DF"/>
    <w:rsid w:val="0ADC15A3"/>
    <w:rsid w:val="0AF777A4"/>
    <w:rsid w:val="0B120D44"/>
    <w:rsid w:val="0B6E5916"/>
    <w:rsid w:val="0B9255BD"/>
    <w:rsid w:val="0BA55020"/>
    <w:rsid w:val="0BD27BF6"/>
    <w:rsid w:val="0BEF4B8C"/>
    <w:rsid w:val="0C3B3C7D"/>
    <w:rsid w:val="0CAB2EAE"/>
    <w:rsid w:val="0D621C7D"/>
    <w:rsid w:val="0E15280E"/>
    <w:rsid w:val="0E725C51"/>
    <w:rsid w:val="0E73034D"/>
    <w:rsid w:val="0E8F7915"/>
    <w:rsid w:val="0F13775A"/>
    <w:rsid w:val="0F5264F9"/>
    <w:rsid w:val="0F576B0E"/>
    <w:rsid w:val="0F590B40"/>
    <w:rsid w:val="0F5F45FE"/>
    <w:rsid w:val="0F9A112B"/>
    <w:rsid w:val="0FA665E4"/>
    <w:rsid w:val="10380A58"/>
    <w:rsid w:val="106A1F7D"/>
    <w:rsid w:val="106D2F64"/>
    <w:rsid w:val="10B63710"/>
    <w:rsid w:val="10F10820"/>
    <w:rsid w:val="111C2F7A"/>
    <w:rsid w:val="11665CA1"/>
    <w:rsid w:val="11DD55A3"/>
    <w:rsid w:val="11F64116"/>
    <w:rsid w:val="12A83E03"/>
    <w:rsid w:val="12C70412"/>
    <w:rsid w:val="12EE7261"/>
    <w:rsid w:val="131A3334"/>
    <w:rsid w:val="13951726"/>
    <w:rsid w:val="14396509"/>
    <w:rsid w:val="14DB226E"/>
    <w:rsid w:val="14DD2C3C"/>
    <w:rsid w:val="160507B4"/>
    <w:rsid w:val="16087E1D"/>
    <w:rsid w:val="161203AC"/>
    <w:rsid w:val="16344554"/>
    <w:rsid w:val="16821E79"/>
    <w:rsid w:val="16C93B74"/>
    <w:rsid w:val="16CE049D"/>
    <w:rsid w:val="16EB5842"/>
    <w:rsid w:val="170C1142"/>
    <w:rsid w:val="17187538"/>
    <w:rsid w:val="17701D14"/>
    <w:rsid w:val="17735226"/>
    <w:rsid w:val="189F4747"/>
    <w:rsid w:val="189F624C"/>
    <w:rsid w:val="190F62D3"/>
    <w:rsid w:val="195072BE"/>
    <w:rsid w:val="1959240B"/>
    <w:rsid w:val="19CD7D93"/>
    <w:rsid w:val="1A1C66C0"/>
    <w:rsid w:val="1A42393B"/>
    <w:rsid w:val="1AAD45DE"/>
    <w:rsid w:val="1B046F80"/>
    <w:rsid w:val="1B2A0DDC"/>
    <w:rsid w:val="1B3267B5"/>
    <w:rsid w:val="1B40161D"/>
    <w:rsid w:val="1B441859"/>
    <w:rsid w:val="1B6606B1"/>
    <w:rsid w:val="1B9857AF"/>
    <w:rsid w:val="1BF71070"/>
    <w:rsid w:val="1C5E7925"/>
    <w:rsid w:val="1C6B4BCD"/>
    <w:rsid w:val="1CFD070F"/>
    <w:rsid w:val="1D116C50"/>
    <w:rsid w:val="1D5F6196"/>
    <w:rsid w:val="1D6132A5"/>
    <w:rsid w:val="1D6A4078"/>
    <w:rsid w:val="1D894E19"/>
    <w:rsid w:val="1D8E56D5"/>
    <w:rsid w:val="1DCD4B43"/>
    <w:rsid w:val="1DE16DA0"/>
    <w:rsid w:val="1E7A43DA"/>
    <w:rsid w:val="1E8474D2"/>
    <w:rsid w:val="1EB81009"/>
    <w:rsid w:val="1F2F1242"/>
    <w:rsid w:val="1F8D3D32"/>
    <w:rsid w:val="1FB120B9"/>
    <w:rsid w:val="1FE7539E"/>
    <w:rsid w:val="20671BE0"/>
    <w:rsid w:val="20963CB8"/>
    <w:rsid w:val="20A81A1B"/>
    <w:rsid w:val="20B07FB6"/>
    <w:rsid w:val="20B646FB"/>
    <w:rsid w:val="211F0C9C"/>
    <w:rsid w:val="213B74B1"/>
    <w:rsid w:val="215A2310"/>
    <w:rsid w:val="21DE318A"/>
    <w:rsid w:val="21EF5B80"/>
    <w:rsid w:val="2245482A"/>
    <w:rsid w:val="22482423"/>
    <w:rsid w:val="224F2B85"/>
    <w:rsid w:val="22576990"/>
    <w:rsid w:val="225E50EE"/>
    <w:rsid w:val="226A2F46"/>
    <w:rsid w:val="22F414A7"/>
    <w:rsid w:val="22F47480"/>
    <w:rsid w:val="23B13923"/>
    <w:rsid w:val="23DC2385"/>
    <w:rsid w:val="23DE1C48"/>
    <w:rsid w:val="23F139E4"/>
    <w:rsid w:val="240210CD"/>
    <w:rsid w:val="24BF09F7"/>
    <w:rsid w:val="24F37160"/>
    <w:rsid w:val="252D53FE"/>
    <w:rsid w:val="256B24DE"/>
    <w:rsid w:val="25EC2D81"/>
    <w:rsid w:val="270E3873"/>
    <w:rsid w:val="27126863"/>
    <w:rsid w:val="277057A2"/>
    <w:rsid w:val="278F1101"/>
    <w:rsid w:val="27D56FF1"/>
    <w:rsid w:val="28352CBC"/>
    <w:rsid w:val="28B801C6"/>
    <w:rsid w:val="28C826B1"/>
    <w:rsid w:val="28E026ED"/>
    <w:rsid w:val="291C47AB"/>
    <w:rsid w:val="29206EB8"/>
    <w:rsid w:val="29253660"/>
    <w:rsid w:val="29595666"/>
    <w:rsid w:val="29874881"/>
    <w:rsid w:val="299C6D5D"/>
    <w:rsid w:val="29E325E0"/>
    <w:rsid w:val="2A452503"/>
    <w:rsid w:val="2AA36299"/>
    <w:rsid w:val="2B8361C0"/>
    <w:rsid w:val="2BA936A8"/>
    <w:rsid w:val="2BBE370C"/>
    <w:rsid w:val="2C315A5A"/>
    <w:rsid w:val="2C3F2300"/>
    <w:rsid w:val="2C4B1C25"/>
    <w:rsid w:val="2CDE7773"/>
    <w:rsid w:val="2D0F08AF"/>
    <w:rsid w:val="2D2D611B"/>
    <w:rsid w:val="2D8D4307"/>
    <w:rsid w:val="2D9E56F5"/>
    <w:rsid w:val="2DA84A83"/>
    <w:rsid w:val="2DCF66CE"/>
    <w:rsid w:val="2E345B92"/>
    <w:rsid w:val="2E667F96"/>
    <w:rsid w:val="2E6800CC"/>
    <w:rsid w:val="2E8226AB"/>
    <w:rsid w:val="2F1F2BA8"/>
    <w:rsid w:val="2F9C1684"/>
    <w:rsid w:val="2FD065E6"/>
    <w:rsid w:val="2FD96870"/>
    <w:rsid w:val="30435E10"/>
    <w:rsid w:val="30474107"/>
    <w:rsid w:val="30580BC9"/>
    <w:rsid w:val="311E2ED7"/>
    <w:rsid w:val="314B6E43"/>
    <w:rsid w:val="31526DC1"/>
    <w:rsid w:val="315619EE"/>
    <w:rsid w:val="315C449C"/>
    <w:rsid w:val="31B82709"/>
    <w:rsid w:val="31B93FCE"/>
    <w:rsid w:val="31D05482"/>
    <w:rsid w:val="32221F3A"/>
    <w:rsid w:val="3227669B"/>
    <w:rsid w:val="32400B34"/>
    <w:rsid w:val="328879D7"/>
    <w:rsid w:val="329E6876"/>
    <w:rsid w:val="333015F2"/>
    <w:rsid w:val="334B6320"/>
    <w:rsid w:val="338B608A"/>
    <w:rsid w:val="33BC3652"/>
    <w:rsid w:val="33D934D4"/>
    <w:rsid w:val="33F45216"/>
    <w:rsid w:val="33FE2F6A"/>
    <w:rsid w:val="340622E0"/>
    <w:rsid w:val="340E07E5"/>
    <w:rsid w:val="34235BF7"/>
    <w:rsid w:val="347B36B0"/>
    <w:rsid w:val="34932408"/>
    <w:rsid w:val="358C5FA8"/>
    <w:rsid w:val="35C15DF1"/>
    <w:rsid w:val="36074A7F"/>
    <w:rsid w:val="36697EFE"/>
    <w:rsid w:val="36923549"/>
    <w:rsid w:val="36B75FBF"/>
    <w:rsid w:val="36BD0C45"/>
    <w:rsid w:val="372A0CFD"/>
    <w:rsid w:val="3755582B"/>
    <w:rsid w:val="37E00298"/>
    <w:rsid w:val="38116693"/>
    <w:rsid w:val="382764BA"/>
    <w:rsid w:val="38B24B42"/>
    <w:rsid w:val="38B302F9"/>
    <w:rsid w:val="38E57A4C"/>
    <w:rsid w:val="38F12CD3"/>
    <w:rsid w:val="38F94775"/>
    <w:rsid w:val="39092C43"/>
    <w:rsid w:val="391571AD"/>
    <w:rsid w:val="392971ED"/>
    <w:rsid w:val="39325651"/>
    <w:rsid w:val="39896262"/>
    <w:rsid w:val="39C43FCF"/>
    <w:rsid w:val="3A872856"/>
    <w:rsid w:val="3A9A3BC1"/>
    <w:rsid w:val="3AB65973"/>
    <w:rsid w:val="3ABC218A"/>
    <w:rsid w:val="3AE9337B"/>
    <w:rsid w:val="3AFD1D2B"/>
    <w:rsid w:val="3B3763D1"/>
    <w:rsid w:val="3BAB2581"/>
    <w:rsid w:val="3C2F6E1E"/>
    <w:rsid w:val="3C4F64BA"/>
    <w:rsid w:val="3CBC3E83"/>
    <w:rsid w:val="3CCC6AD4"/>
    <w:rsid w:val="3CD456A7"/>
    <w:rsid w:val="3CDA245A"/>
    <w:rsid w:val="3D1E06B7"/>
    <w:rsid w:val="3D98669F"/>
    <w:rsid w:val="3DF92AA6"/>
    <w:rsid w:val="3E225FB0"/>
    <w:rsid w:val="3EDA0523"/>
    <w:rsid w:val="3FA30338"/>
    <w:rsid w:val="407A6407"/>
    <w:rsid w:val="407C05D6"/>
    <w:rsid w:val="409D5991"/>
    <w:rsid w:val="40ED4A58"/>
    <w:rsid w:val="41B830B4"/>
    <w:rsid w:val="4200449D"/>
    <w:rsid w:val="423A3BCC"/>
    <w:rsid w:val="424E57D2"/>
    <w:rsid w:val="42B26C49"/>
    <w:rsid w:val="433A6FE6"/>
    <w:rsid w:val="43480868"/>
    <w:rsid w:val="4350713C"/>
    <w:rsid w:val="436653E0"/>
    <w:rsid w:val="43C4431A"/>
    <w:rsid w:val="44636B1E"/>
    <w:rsid w:val="44B951CC"/>
    <w:rsid w:val="44CD14E0"/>
    <w:rsid w:val="44F20B0B"/>
    <w:rsid w:val="450B59A8"/>
    <w:rsid w:val="452E5F4C"/>
    <w:rsid w:val="45612018"/>
    <w:rsid w:val="458946E9"/>
    <w:rsid w:val="45A47C0E"/>
    <w:rsid w:val="45E32481"/>
    <w:rsid w:val="462442CB"/>
    <w:rsid w:val="46577FD6"/>
    <w:rsid w:val="46D955A7"/>
    <w:rsid w:val="46EA727F"/>
    <w:rsid w:val="470E352E"/>
    <w:rsid w:val="47133957"/>
    <w:rsid w:val="47A07E0C"/>
    <w:rsid w:val="47D35949"/>
    <w:rsid w:val="480C3489"/>
    <w:rsid w:val="481E308C"/>
    <w:rsid w:val="4840753B"/>
    <w:rsid w:val="48491B87"/>
    <w:rsid w:val="486904DC"/>
    <w:rsid w:val="486A1B93"/>
    <w:rsid w:val="4870272E"/>
    <w:rsid w:val="48CD40B7"/>
    <w:rsid w:val="49520049"/>
    <w:rsid w:val="49731D6E"/>
    <w:rsid w:val="49DC7715"/>
    <w:rsid w:val="4A023139"/>
    <w:rsid w:val="4A7B576F"/>
    <w:rsid w:val="4A8144F8"/>
    <w:rsid w:val="4AB5455E"/>
    <w:rsid w:val="4AF561A9"/>
    <w:rsid w:val="4B06571F"/>
    <w:rsid w:val="4B4D612E"/>
    <w:rsid w:val="4B616A27"/>
    <w:rsid w:val="4C064D95"/>
    <w:rsid w:val="4C0A1CAF"/>
    <w:rsid w:val="4C4A0649"/>
    <w:rsid w:val="4C7E5ECA"/>
    <w:rsid w:val="4C876AA5"/>
    <w:rsid w:val="4C9040C2"/>
    <w:rsid w:val="4CDD3213"/>
    <w:rsid w:val="4CF52AE5"/>
    <w:rsid w:val="4D0E00FB"/>
    <w:rsid w:val="4D176606"/>
    <w:rsid w:val="4DAB2BFA"/>
    <w:rsid w:val="4DB32B4C"/>
    <w:rsid w:val="4DEC4FB0"/>
    <w:rsid w:val="4E075D8A"/>
    <w:rsid w:val="4E410536"/>
    <w:rsid w:val="4E674922"/>
    <w:rsid w:val="4E6C2628"/>
    <w:rsid w:val="4EA16065"/>
    <w:rsid w:val="4EC00FAD"/>
    <w:rsid w:val="4EE5530E"/>
    <w:rsid w:val="4EEC1E2A"/>
    <w:rsid w:val="4F5A1A06"/>
    <w:rsid w:val="4F8477C6"/>
    <w:rsid w:val="4F9843DC"/>
    <w:rsid w:val="4FC62A8C"/>
    <w:rsid w:val="4FE20F0D"/>
    <w:rsid w:val="4FE51552"/>
    <w:rsid w:val="50134A93"/>
    <w:rsid w:val="502E1602"/>
    <w:rsid w:val="50504C4B"/>
    <w:rsid w:val="509C6E7C"/>
    <w:rsid w:val="50A11AE9"/>
    <w:rsid w:val="51595081"/>
    <w:rsid w:val="5162104E"/>
    <w:rsid w:val="517C7BE7"/>
    <w:rsid w:val="51EC0CE5"/>
    <w:rsid w:val="52A8013D"/>
    <w:rsid w:val="53811747"/>
    <w:rsid w:val="53A039CC"/>
    <w:rsid w:val="53A1505A"/>
    <w:rsid w:val="54063E08"/>
    <w:rsid w:val="54161C73"/>
    <w:rsid w:val="543437E8"/>
    <w:rsid w:val="54511757"/>
    <w:rsid w:val="54617590"/>
    <w:rsid w:val="54897FCD"/>
    <w:rsid w:val="54F73313"/>
    <w:rsid w:val="54F80955"/>
    <w:rsid w:val="552029B2"/>
    <w:rsid w:val="552A50B9"/>
    <w:rsid w:val="555170A7"/>
    <w:rsid w:val="5587536D"/>
    <w:rsid w:val="559B174B"/>
    <w:rsid w:val="55A778FE"/>
    <w:rsid w:val="55B6184F"/>
    <w:rsid w:val="55CE0CF4"/>
    <w:rsid w:val="56116CB2"/>
    <w:rsid w:val="5626608C"/>
    <w:rsid w:val="5661402A"/>
    <w:rsid w:val="56695A3C"/>
    <w:rsid w:val="56B22A9C"/>
    <w:rsid w:val="56B44CDC"/>
    <w:rsid w:val="572308CF"/>
    <w:rsid w:val="57B72A76"/>
    <w:rsid w:val="57C3426C"/>
    <w:rsid w:val="57CE1F93"/>
    <w:rsid w:val="58073DB0"/>
    <w:rsid w:val="580A5EAB"/>
    <w:rsid w:val="588743D1"/>
    <w:rsid w:val="5887701A"/>
    <w:rsid w:val="58F067EA"/>
    <w:rsid w:val="59041FC6"/>
    <w:rsid w:val="5920214C"/>
    <w:rsid w:val="59B06FA2"/>
    <w:rsid w:val="59C0439F"/>
    <w:rsid w:val="5A301D79"/>
    <w:rsid w:val="5A993A03"/>
    <w:rsid w:val="5ABE2233"/>
    <w:rsid w:val="5ACD64B2"/>
    <w:rsid w:val="5AD7215D"/>
    <w:rsid w:val="5B00144F"/>
    <w:rsid w:val="5B030490"/>
    <w:rsid w:val="5B9E5DCF"/>
    <w:rsid w:val="5BDF5D95"/>
    <w:rsid w:val="5BFE7528"/>
    <w:rsid w:val="5C75356A"/>
    <w:rsid w:val="5D7D0FB9"/>
    <w:rsid w:val="5E0C65C1"/>
    <w:rsid w:val="5E2467F1"/>
    <w:rsid w:val="5E525F9E"/>
    <w:rsid w:val="5EA04F5B"/>
    <w:rsid w:val="5F1A2B43"/>
    <w:rsid w:val="5F5C5FB8"/>
    <w:rsid w:val="5FB837BB"/>
    <w:rsid w:val="60CC405A"/>
    <w:rsid w:val="610807BB"/>
    <w:rsid w:val="61A736CB"/>
    <w:rsid w:val="61E215D8"/>
    <w:rsid w:val="6217478F"/>
    <w:rsid w:val="621B3775"/>
    <w:rsid w:val="62364782"/>
    <w:rsid w:val="6257279B"/>
    <w:rsid w:val="633B3875"/>
    <w:rsid w:val="63442BE9"/>
    <w:rsid w:val="63593A10"/>
    <w:rsid w:val="6382593C"/>
    <w:rsid w:val="6394356A"/>
    <w:rsid w:val="63954BB2"/>
    <w:rsid w:val="63C61B2C"/>
    <w:rsid w:val="63D40BE9"/>
    <w:rsid w:val="64102431"/>
    <w:rsid w:val="649015CE"/>
    <w:rsid w:val="64A5243A"/>
    <w:rsid w:val="64AF29A7"/>
    <w:rsid w:val="64F531DE"/>
    <w:rsid w:val="65373578"/>
    <w:rsid w:val="65413F53"/>
    <w:rsid w:val="65664300"/>
    <w:rsid w:val="66AD30A8"/>
    <w:rsid w:val="66D87CD0"/>
    <w:rsid w:val="66F2031E"/>
    <w:rsid w:val="671F124A"/>
    <w:rsid w:val="677A33C6"/>
    <w:rsid w:val="67EE0E11"/>
    <w:rsid w:val="681D4C56"/>
    <w:rsid w:val="681F6961"/>
    <w:rsid w:val="68610A2F"/>
    <w:rsid w:val="68805514"/>
    <w:rsid w:val="68EF7F35"/>
    <w:rsid w:val="69316E2F"/>
    <w:rsid w:val="694E2071"/>
    <w:rsid w:val="696B5954"/>
    <w:rsid w:val="69766163"/>
    <w:rsid w:val="697A3B33"/>
    <w:rsid w:val="69D35791"/>
    <w:rsid w:val="69D44760"/>
    <w:rsid w:val="6A520EC7"/>
    <w:rsid w:val="6A850C55"/>
    <w:rsid w:val="6A91567B"/>
    <w:rsid w:val="6A937C2E"/>
    <w:rsid w:val="6A97688C"/>
    <w:rsid w:val="6ADB17A6"/>
    <w:rsid w:val="6AF87E20"/>
    <w:rsid w:val="6B1E337F"/>
    <w:rsid w:val="6B322639"/>
    <w:rsid w:val="6B733C1C"/>
    <w:rsid w:val="6C636C38"/>
    <w:rsid w:val="6C6C5248"/>
    <w:rsid w:val="6C8A5EFB"/>
    <w:rsid w:val="6CD81604"/>
    <w:rsid w:val="6D712CF6"/>
    <w:rsid w:val="6DB34098"/>
    <w:rsid w:val="6DB545B6"/>
    <w:rsid w:val="6DE02FB4"/>
    <w:rsid w:val="6E14501E"/>
    <w:rsid w:val="6E514CED"/>
    <w:rsid w:val="6E984576"/>
    <w:rsid w:val="6EB563D5"/>
    <w:rsid w:val="6ED92677"/>
    <w:rsid w:val="6F225983"/>
    <w:rsid w:val="6F6B2DDC"/>
    <w:rsid w:val="6FFC5590"/>
    <w:rsid w:val="704E2A69"/>
    <w:rsid w:val="70611BD8"/>
    <w:rsid w:val="706D1DD0"/>
    <w:rsid w:val="70856B87"/>
    <w:rsid w:val="70D527EE"/>
    <w:rsid w:val="70F16627"/>
    <w:rsid w:val="715B5300"/>
    <w:rsid w:val="71D27F8A"/>
    <w:rsid w:val="71E05044"/>
    <w:rsid w:val="72553024"/>
    <w:rsid w:val="72BC4C18"/>
    <w:rsid w:val="72F316A6"/>
    <w:rsid w:val="72F5525D"/>
    <w:rsid w:val="73122968"/>
    <w:rsid w:val="731F5D5E"/>
    <w:rsid w:val="732D36B6"/>
    <w:rsid w:val="73C51AD5"/>
    <w:rsid w:val="741E793C"/>
    <w:rsid w:val="745E3944"/>
    <w:rsid w:val="74643BB6"/>
    <w:rsid w:val="7468534A"/>
    <w:rsid w:val="748A603A"/>
    <w:rsid w:val="74D0410D"/>
    <w:rsid w:val="754A09CF"/>
    <w:rsid w:val="75556FF1"/>
    <w:rsid w:val="75703C85"/>
    <w:rsid w:val="75BE6A70"/>
    <w:rsid w:val="75DE3D19"/>
    <w:rsid w:val="76165107"/>
    <w:rsid w:val="7635099D"/>
    <w:rsid w:val="76EA1012"/>
    <w:rsid w:val="77762421"/>
    <w:rsid w:val="77A76560"/>
    <w:rsid w:val="77B56B1F"/>
    <w:rsid w:val="780F09F4"/>
    <w:rsid w:val="78A90480"/>
    <w:rsid w:val="791607EF"/>
    <w:rsid w:val="797E314C"/>
    <w:rsid w:val="79DD238A"/>
    <w:rsid w:val="7A364017"/>
    <w:rsid w:val="7A466985"/>
    <w:rsid w:val="7A8265E1"/>
    <w:rsid w:val="7B686D42"/>
    <w:rsid w:val="7B6E75CC"/>
    <w:rsid w:val="7B841746"/>
    <w:rsid w:val="7B927F42"/>
    <w:rsid w:val="7C446297"/>
    <w:rsid w:val="7C4F3DF1"/>
    <w:rsid w:val="7C6C5AC7"/>
    <w:rsid w:val="7C7C564D"/>
    <w:rsid w:val="7CC6544B"/>
    <w:rsid w:val="7CC7733D"/>
    <w:rsid w:val="7D0239FF"/>
    <w:rsid w:val="7D1B3CD3"/>
    <w:rsid w:val="7D1E0652"/>
    <w:rsid w:val="7D5E40CD"/>
    <w:rsid w:val="7DA66CC8"/>
    <w:rsid w:val="7DAE4B47"/>
    <w:rsid w:val="7DCD56F2"/>
    <w:rsid w:val="7EDC1B29"/>
    <w:rsid w:val="7EE40835"/>
    <w:rsid w:val="7F001CE7"/>
    <w:rsid w:val="7F45305F"/>
    <w:rsid w:val="7F8B73C1"/>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unhideWhenUsed/>
    <w:qFormat/>
    <w:locked/>
    <w:uiPriority w:val="0"/>
    <w:pPr>
      <w:keepNext/>
      <w:keepLines/>
      <w:spacing w:line="360" w:lineRule="auto"/>
      <w:jc w:val="left"/>
      <w:outlineLvl w:val="2"/>
    </w:pPr>
    <w:rPr>
      <w:rFonts w:ascii="Times New Roman" w:hAnsi="Times New Roman" w:eastAsia="宋体"/>
      <w:sz w:val="24"/>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4">
    <w:name w:val="List 3"/>
    <w:basedOn w:val="1"/>
    <w:next w:val="1"/>
    <w:qFormat/>
    <w:locked/>
    <w:uiPriority w:val="0"/>
    <w:pPr>
      <w:autoSpaceDE w:val="0"/>
      <w:autoSpaceDN w:val="0"/>
      <w:adjustRightInd w:val="0"/>
      <w:spacing w:line="288" w:lineRule="auto"/>
      <w:ind w:left="1260" w:hanging="420"/>
      <w:jc w:val="left"/>
      <w:textAlignment w:val="baseline"/>
    </w:pPr>
    <w:rPr>
      <w:kern w:val="0"/>
      <w:szCs w:val="20"/>
    </w:rPr>
  </w:style>
  <w:style w:type="paragraph" w:styleId="5">
    <w:name w:val="Note Heading"/>
    <w:basedOn w:val="1"/>
    <w:next w:val="1"/>
    <w:qFormat/>
    <w:locked/>
    <w:uiPriority w:val="0"/>
    <w:pPr>
      <w:spacing w:line="240" w:lineRule="auto"/>
      <w:ind w:firstLine="0" w:firstLineChars="0"/>
      <w:jc w:val="center"/>
    </w:pPr>
    <w:rPr>
      <w:rFonts w:cs="宋体"/>
      <w:b/>
    </w:rPr>
  </w:style>
  <w:style w:type="paragraph" w:styleId="6">
    <w:name w:val="Normal Indent"/>
    <w:basedOn w:val="1"/>
    <w:next w:val="1"/>
    <w:qFormat/>
    <w:locked/>
    <w:uiPriority w:val="0"/>
    <w:pPr>
      <w:ind w:firstLine="420"/>
    </w:pPr>
    <w:rPr>
      <w:szCs w:val="20"/>
    </w:rPr>
  </w:style>
  <w:style w:type="paragraph" w:styleId="7">
    <w:name w:val="annotation text"/>
    <w:basedOn w:val="1"/>
    <w:link w:val="29"/>
    <w:semiHidden/>
    <w:qFormat/>
    <w:uiPriority w:val="0"/>
    <w:pPr>
      <w:jc w:val="left"/>
    </w:pPr>
    <w:rPr>
      <w:kern w:val="0"/>
      <w:sz w:val="24"/>
      <w:szCs w:val="20"/>
    </w:rPr>
  </w:style>
  <w:style w:type="paragraph" w:styleId="8">
    <w:name w:val="Body Text"/>
    <w:basedOn w:val="1"/>
    <w:link w:val="30"/>
    <w:qFormat/>
    <w:uiPriority w:val="0"/>
    <w:pPr>
      <w:widowControl/>
      <w:snapToGrid w:val="0"/>
      <w:spacing w:before="60" w:after="160" w:line="259" w:lineRule="auto"/>
      <w:ind w:right="113"/>
    </w:pPr>
    <w:rPr>
      <w:kern w:val="0"/>
      <w:sz w:val="18"/>
      <w:szCs w:val="20"/>
    </w:rPr>
  </w:style>
  <w:style w:type="paragraph" w:styleId="9">
    <w:name w:val="Body Text Indent"/>
    <w:basedOn w:val="1"/>
    <w:link w:val="31"/>
    <w:qFormat/>
    <w:uiPriority w:val="0"/>
    <w:pPr>
      <w:spacing w:after="120"/>
      <w:ind w:left="420" w:leftChars="200"/>
    </w:pPr>
    <w:rPr>
      <w:kern w:val="0"/>
      <w:sz w:val="24"/>
      <w:szCs w:val="20"/>
    </w:rPr>
  </w:style>
  <w:style w:type="paragraph" w:styleId="10">
    <w:name w:val="Plain Text"/>
    <w:basedOn w:val="1"/>
    <w:qFormat/>
    <w:locked/>
    <w:uiPriority w:val="0"/>
    <w:rPr>
      <w:rFonts w:ascii="宋体" w:hAnsi="Courier New"/>
      <w:kern w:val="44"/>
      <w:szCs w:val="20"/>
    </w:rPr>
  </w:style>
  <w:style w:type="paragraph" w:styleId="11">
    <w:name w:val="Date"/>
    <w:basedOn w:val="1"/>
    <w:next w:val="1"/>
    <w:link w:val="32"/>
    <w:qFormat/>
    <w:uiPriority w:val="0"/>
    <w:pPr>
      <w:ind w:left="100" w:leftChars="2500"/>
    </w:pPr>
    <w:rPr>
      <w:kern w:val="0"/>
      <w:sz w:val="24"/>
      <w:szCs w:val="20"/>
    </w:rPr>
  </w:style>
  <w:style w:type="paragraph" w:styleId="12">
    <w:name w:val="Balloon Text"/>
    <w:basedOn w:val="1"/>
    <w:link w:val="33"/>
    <w:semiHidden/>
    <w:qFormat/>
    <w:uiPriority w:val="0"/>
    <w:rPr>
      <w:kern w:val="0"/>
      <w:sz w:val="18"/>
      <w:szCs w:val="20"/>
    </w:rPr>
  </w:style>
  <w:style w:type="paragraph" w:styleId="13">
    <w:name w:val="footer"/>
    <w:basedOn w:val="1"/>
    <w:link w:val="34"/>
    <w:qFormat/>
    <w:uiPriority w:val="99"/>
    <w:pPr>
      <w:tabs>
        <w:tab w:val="center" w:pos="4153"/>
        <w:tab w:val="right" w:pos="8306"/>
      </w:tabs>
      <w:snapToGrid w:val="0"/>
      <w:jc w:val="left"/>
    </w:pPr>
    <w:rPr>
      <w:kern w:val="0"/>
      <w:sz w:val="18"/>
      <w:szCs w:val="20"/>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index heading"/>
    <w:basedOn w:val="1"/>
    <w:next w:val="16"/>
    <w:semiHidden/>
    <w:qFormat/>
    <w:locked/>
    <w:uiPriority w:val="0"/>
  </w:style>
  <w:style w:type="paragraph" w:styleId="16">
    <w:name w:val="index 1"/>
    <w:basedOn w:val="1"/>
    <w:next w:val="1"/>
    <w:qFormat/>
    <w:locked/>
    <w:uiPriority w:val="0"/>
  </w:style>
  <w:style w:type="paragraph" w:styleId="17">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8">
    <w:name w:val="Title"/>
    <w:basedOn w:val="1"/>
    <w:next w:val="1"/>
    <w:qFormat/>
    <w:locked/>
    <w:uiPriority w:val="0"/>
    <w:pPr>
      <w:spacing w:beforeLines="50"/>
      <w:jc w:val="center"/>
    </w:pPr>
    <w:rPr>
      <w:b/>
      <w:bCs/>
      <w:kern w:val="0"/>
      <w:sz w:val="24"/>
      <w:szCs w:val="32"/>
    </w:rPr>
  </w:style>
  <w:style w:type="paragraph" w:styleId="19">
    <w:name w:val="annotation subject"/>
    <w:basedOn w:val="7"/>
    <w:next w:val="7"/>
    <w:link w:val="37"/>
    <w:semiHidden/>
    <w:qFormat/>
    <w:uiPriority w:val="0"/>
    <w:rPr>
      <w:b/>
      <w:sz w:val="24"/>
      <w:szCs w:val="20"/>
    </w:rPr>
  </w:style>
  <w:style w:type="paragraph" w:styleId="20">
    <w:name w:val="Body Text First Indent 2"/>
    <w:basedOn w:val="9"/>
    <w:next w:val="1"/>
    <w:qFormat/>
    <w:locked/>
    <w:uiPriority w:val="0"/>
    <w:pPr>
      <w:ind w:firstLine="210"/>
    </w:pPr>
    <w:rPr>
      <w:sz w:val="21"/>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locked/>
    <w:uiPriority w:val="0"/>
    <w:rPr>
      <w:b/>
    </w:rPr>
  </w:style>
  <w:style w:type="character" w:styleId="25">
    <w:name w:val="page number"/>
    <w:basedOn w:val="23"/>
    <w:qFormat/>
    <w:locked/>
    <w:uiPriority w:val="0"/>
  </w:style>
  <w:style w:type="character" w:styleId="26">
    <w:name w:val="Emphasis"/>
    <w:basedOn w:val="23"/>
    <w:qFormat/>
    <w:locked/>
    <w:uiPriority w:val="0"/>
    <w:rPr>
      <w:i/>
    </w:rPr>
  </w:style>
  <w:style w:type="character" w:styleId="27">
    <w:name w:val="Hyperlink"/>
    <w:basedOn w:val="23"/>
    <w:qFormat/>
    <w:locked/>
    <w:uiPriority w:val="0"/>
    <w:rPr>
      <w:color w:val="0000FF"/>
      <w:u w:val="single"/>
    </w:rPr>
  </w:style>
  <w:style w:type="character" w:styleId="28">
    <w:name w:val="annotation reference"/>
    <w:semiHidden/>
    <w:qFormat/>
    <w:uiPriority w:val="0"/>
    <w:rPr>
      <w:sz w:val="21"/>
    </w:rPr>
  </w:style>
  <w:style w:type="character" w:customStyle="1" w:styleId="29">
    <w:name w:val="批注文字 Char"/>
    <w:link w:val="7"/>
    <w:qFormat/>
    <w:locked/>
    <w:uiPriority w:val="0"/>
    <w:rPr>
      <w:rFonts w:ascii="Times New Roman" w:hAnsi="Times New Roman" w:eastAsia="宋体"/>
      <w:sz w:val="24"/>
    </w:rPr>
  </w:style>
  <w:style w:type="character" w:customStyle="1" w:styleId="30">
    <w:name w:val="正文文本 Char"/>
    <w:link w:val="8"/>
    <w:qFormat/>
    <w:locked/>
    <w:uiPriority w:val="0"/>
    <w:rPr>
      <w:sz w:val="18"/>
    </w:rPr>
  </w:style>
  <w:style w:type="character" w:customStyle="1" w:styleId="31">
    <w:name w:val="正文文本缩进 Char"/>
    <w:link w:val="9"/>
    <w:semiHidden/>
    <w:qFormat/>
    <w:locked/>
    <w:uiPriority w:val="0"/>
    <w:rPr>
      <w:rFonts w:ascii="Times New Roman" w:hAnsi="Times New Roman" w:eastAsia="宋体"/>
      <w:sz w:val="24"/>
    </w:rPr>
  </w:style>
  <w:style w:type="character" w:customStyle="1" w:styleId="32">
    <w:name w:val="日期 Char"/>
    <w:link w:val="11"/>
    <w:qFormat/>
    <w:locked/>
    <w:uiPriority w:val="0"/>
    <w:rPr>
      <w:rFonts w:ascii="Times New Roman" w:hAnsi="Times New Roman" w:eastAsia="宋体"/>
      <w:sz w:val="24"/>
    </w:rPr>
  </w:style>
  <w:style w:type="character" w:customStyle="1" w:styleId="33">
    <w:name w:val="批注框文本 Char"/>
    <w:link w:val="12"/>
    <w:semiHidden/>
    <w:qFormat/>
    <w:locked/>
    <w:uiPriority w:val="0"/>
    <w:rPr>
      <w:rFonts w:ascii="Times New Roman" w:hAnsi="Times New Roman" w:eastAsia="宋体"/>
      <w:sz w:val="18"/>
    </w:rPr>
  </w:style>
  <w:style w:type="character" w:customStyle="1" w:styleId="34">
    <w:name w:val="页脚 Char"/>
    <w:link w:val="13"/>
    <w:qFormat/>
    <w:locked/>
    <w:uiPriority w:val="99"/>
    <w:rPr>
      <w:sz w:val="18"/>
    </w:rPr>
  </w:style>
  <w:style w:type="character" w:customStyle="1" w:styleId="35">
    <w:name w:val="页眉 Char"/>
    <w:link w:val="14"/>
    <w:qFormat/>
    <w:locked/>
    <w:uiPriority w:val="0"/>
    <w:rPr>
      <w:sz w:val="18"/>
    </w:rPr>
  </w:style>
  <w:style w:type="character" w:customStyle="1" w:styleId="36">
    <w:name w:val="普通(网站) Char"/>
    <w:link w:val="17"/>
    <w:qFormat/>
    <w:locked/>
    <w:uiPriority w:val="0"/>
    <w:rPr>
      <w:rFonts w:ascii="宋体" w:hAnsi="宋体" w:eastAsia="宋体"/>
      <w:sz w:val="24"/>
    </w:rPr>
  </w:style>
  <w:style w:type="character" w:customStyle="1" w:styleId="37">
    <w:name w:val="批注主题 Char"/>
    <w:link w:val="19"/>
    <w:semiHidden/>
    <w:qFormat/>
    <w:locked/>
    <w:uiPriority w:val="0"/>
    <w:rPr>
      <w:rFonts w:ascii="Times New Roman" w:hAnsi="Times New Roman" w:eastAsia="宋体"/>
      <w:b/>
      <w:kern w:val="2"/>
      <w:sz w:val="24"/>
    </w:rPr>
  </w:style>
  <w:style w:type="character" w:customStyle="1" w:styleId="38">
    <w:name w:val="页脚 字符"/>
    <w:basedOn w:val="23"/>
    <w:qFormat/>
    <w:uiPriority w:val="99"/>
  </w:style>
  <w:style w:type="character" w:customStyle="1" w:styleId="39">
    <w:name w:val="正文文本 字符1"/>
    <w:semiHidden/>
    <w:qFormat/>
    <w:uiPriority w:val="0"/>
    <w:rPr>
      <w:rFonts w:ascii="Times New Roman" w:hAnsi="Times New Roman" w:eastAsia="宋体"/>
      <w:sz w:val="24"/>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sz w:val="24"/>
    </w:rPr>
  </w:style>
  <w:style w:type="paragraph" w:customStyle="1" w:styleId="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6">
    <w:name w:val="Table Text"/>
    <w:basedOn w:val="1"/>
    <w:semiHidden/>
    <w:qFormat/>
    <w:uiPriority w:val="0"/>
    <w:rPr>
      <w:rFonts w:ascii="宋体" w:hAnsi="宋体" w:eastAsia="宋体" w:cs="宋体"/>
      <w:sz w:val="24"/>
      <w:szCs w:val="24"/>
      <w:lang w:val="en-US" w:eastAsia="en-US" w:bidi="ar-SA"/>
    </w:rPr>
  </w:style>
  <w:style w:type="table" w:customStyle="1" w:styleId="47">
    <w:name w:val="Table Normal"/>
    <w:unhideWhenUsed/>
    <w:qFormat/>
    <w:uiPriority w:val="0"/>
    <w:tblPr>
      <w:tblCellMar>
        <w:top w:w="0" w:type="dxa"/>
        <w:left w:w="0" w:type="dxa"/>
        <w:bottom w:w="0" w:type="dxa"/>
        <w:right w:w="0" w:type="dxa"/>
      </w:tblCellMar>
    </w:tblPr>
  </w:style>
  <w:style w:type="paragraph" w:customStyle="1" w:styleId="48">
    <w:name w:val="样式 标题 3"/>
    <w:basedOn w:val="3"/>
    <w:qFormat/>
    <w:uiPriority w:val="0"/>
    <w:pPr>
      <w:spacing w:before="100" w:after="100" w:line="460" w:lineRule="exact"/>
      <w:ind w:firstLine="0" w:firstLineChars="0"/>
    </w:pPr>
    <w:rPr>
      <w:rFonts w:cs="宋体"/>
      <w:sz w:val="28"/>
      <w:szCs w:val="20"/>
    </w:rPr>
  </w:style>
  <w:style w:type="paragraph" w:customStyle="1" w:styleId="49">
    <w:name w:val="Default"/>
    <w:basedOn w:val="50"/>
    <w:next w:val="4"/>
    <w:qFormat/>
    <w:uiPriority w:val="0"/>
    <w:pPr>
      <w:widowControl w:val="0"/>
      <w:autoSpaceDE w:val="0"/>
      <w:autoSpaceDN w:val="0"/>
      <w:adjustRightInd w:val="0"/>
    </w:pPr>
    <w:rPr>
      <w:rFonts w:ascii="幼圆" w:hAnsi="Times New Roman" w:eastAsia="幼圆" w:cs="Times New Roman"/>
      <w:color w:val="000000"/>
      <w:sz w:val="24"/>
      <w:szCs w:val="24"/>
      <w:lang w:val="en-US" w:eastAsia="zh-CN" w:bidi="ar-SA"/>
    </w:rPr>
  </w:style>
  <w:style w:type="paragraph" w:customStyle="1" w:styleId="50">
    <w:name w:val="纯文本1"/>
    <w:basedOn w:val="1"/>
    <w:qFormat/>
    <w:uiPriority w:val="0"/>
    <w:pPr>
      <w:adjustRightInd w:val="0"/>
    </w:pPr>
    <w:rPr>
      <w:rFonts w:ascii="宋体" w:hAnsi="Courier New"/>
      <w:szCs w:val="20"/>
    </w:rPr>
  </w:style>
  <w:style w:type="paragraph" w:customStyle="1" w:styleId="51">
    <w:name w:val="表格正文"/>
    <w:basedOn w:val="1"/>
    <w:qFormat/>
    <w:uiPriority w:val="0"/>
    <w:pPr>
      <w:snapToGrid w:val="0"/>
      <w:spacing w:line="240" w:lineRule="auto"/>
      <w:ind w:firstLine="0" w:firstLineChars="0"/>
    </w:pPr>
    <w:rPr>
      <w:snapToGrid w:val="0"/>
      <w:sz w:val="21"/>
      <w:szCs w:val="21"/>
    </w:rPr>
  </w:style>
  <w:style w:type="paragraph" w:customStyle="1" w:styleId="52">
    <w:name w:val="表格抬头"/>
    <w:basedOn w:val="1"/>
    <w:qFormat/>
    <w:uiPriority w:val="0"/>
    <w:pPr>
      <w:snapToGrid w:val="0"/>
      <w:spacing w:line="240" w:lineRule="auto"/>
      <w:ind w:firstLine="0" w:firstLineChars="0"/>
      <w:jc w:val="center"/>
    </w:pPr>
    <w:rPr>
      <w:snapToGrid w:val="0"/>
      <w:sz w:val="21"/>
      <w:szCs w:val="21"/>
    </w:rPr>
  </w:style>
  <w:style w:type="paragraph" w:customStyle="1" w:styleId="53">
    <w:name w:val="表中文字"/>
    <w:basedOn w:val="54"/>
    <w:qFormat/>
    <w:uiPriority w:val="0"/>
    <w:pPr>
      <w:tabs>
        <w:tab w:val="left" w:pos="540"/>
        <w:tab w:val="left" w:pos="1080"/>
        <w:tab w:val="left" w:pos="1800"/>
      </w:tabs>
      <w:adjustRightInd w:val="0"/>
      <w:snapToGrid w:val="0"/>
      <w:spacing w:line="400" w:lineRule="exact"/>
      <w:jc w:val="center"/>
    </w:pPr>
  </w:style>
  <w:style w:type="paragraph" w:customStyle="1" w:styleId="54">
    <w:name w:val="表格文字"/>
    <w:basedOn w:val="10"/>
    <w:next w:val="1"/>
    <w:qFormat/>
    <w:uiPriority w:val="0"/>
    <w:pPr>
      <w:widowControl w:val="0"/>
      <w:tabs>
        <w:tab w:val="left" w:pos="540"/>
        <w:tab w:val="left" w:pos="1080"/>
        <w:tab w:val="left" w:pos="1800"/>
      </w:tabs>
      <w:adjustRightInd w:val="0"/>
      <w:snapToGrid w:val="0"/>
      <w:spacing w:line="360" w:lineRule="exact"/>
      <w:jc w:val="center"/>
    </w:pPr>
    <w:rPr>
      <w:rFonts w:ascii="宋体" w:hAnsi="宋体" w:eastAsia="宋体" w:cs="Times New Roman"/>
      <w:spacing w:val="8"/>
      <w:sz w:val="24"/>
    </w:rPr>
  </w:style>
  <w:style w:type="paragraph" w:customStyle="1" w:styleId="55">
    <w:name w:val="0正文"/>
    <w:basedOn w:val="1"/>
    <w:qFormat/>
    <w:uiPriority w:val="0"/>
    <w:pPr>
      <w:adjustRightInd w:val="0"/>
      <w:snapToGrid w:val="0"/>
      <w:spacing w:line="460" w:lineRule="exact"/>
      <w:ind w:firstLine="200" w:firstLineChars="200"/>
    </w:pPr>
    <w:rPr>
      <w:rFonts w:eastAsia="宋体" w:cs="Times New Roman"/>
      <w:color w:val="000000"/>
      <w:sz w:val="26"/>
      <w:szCs w:val="26"/>
    </w:rPr>
  </w:style>
  <w:style w:type="paragraph" w:customStyle="1" w:styleId="56">
    <w:name w:val="表格标题"/>
    <w:basedOn w:val="1"/>
    <w:qFormat/>
    <w:uiPriority w:val="0"/>
    <w:pPr>
      <w:spacing w:before="50" w:beforeLines="50" w:line="440" w:lineRule="exact"/>
      <w:jc w:val="center"/>
    </w:pPr>
    <w:rPr>
      <w:b/>
      <w:sz w:val="24"/>
    </w:rPr>
  </w:style>
  <w:style w:type="paragraph" w:customStyle="1" w:styleId="57">
    <w:name w:val="00正文"/>
    <w:basedOn w:val="1"/>
    <w:qFormat/>
    <w:uiPriority w:val="0"/>
    <w:pPr>
      <w:spacing w:line="360" w:lineRule="auto"/>
      <w:ind w:firstLine="480" w:firstLineChars="200"/>
      <w:contextualSpacing/>
    </w:pPr>
    <w:rPr>
      <w:rFonts w:ascii="Calibri" w:hAnsi="Calibri"/>
      <w:sz w:val="24"/>
    </w:rPr>
  </w:style>
  <w:style w:type="paragraph" w:customStyle="1" w:styleId="5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59">
    <w:name w:val="font31"/>
    <w:basedOn w:val="23"/>
    <w:qFormat/>
    <w:uiPriority w:val="0"/>
    <w:rPr>
      <w:rFonts w:hint="default" w:ascii="Times New Roman" w:hAnsi="Times New Roman" w:cs="Times New Roman"/>
      <w:color w:val="FF0000"/>
      <w:sz w:val="21"/>
      <w:szCs w:val="21"/>
      <w:u w:val="none"/>
      <w:vertAlign w:val="subscript"/>
    </w:rPr>
  </w:style>
  <w:style w:type="paragraph" w:customStyle="1" w:styleId="60">
    <w:name w:val="默认"/>
    <w:qFormat/>
    <w:uiPriority w:val="0"/>
    <w:rPr>
      <w:rFonts w:ascii="Helvetica" w:hAnsi="Helvetica" w:eastAsia="Helvetica"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wmf"/><Relationship Id="rId23" Type="http://schemas.openxmlformats.org/officeDocument/2006/relationships/oleObject" Target="embeddings/oleObject2.bin"/><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lqWklNUnNFR0kyQ0RFYmhKZ05Ra2F0QS81azlXTlZ4N09UMWhrTXpQSHNwSmJMWmV1TWpXN3NiSmVMUmIxKzg3Ykc0M0hyRkFaa3VWelcvT0tpZGNaR04yNjI3LzM2Yktmcnp0WjlQem1mejF2bk1GUjkvL1Y3MzUrMXpyaXVheDJ3d2RhOSt3OFB0MGJqVzYxREdLNVZ0LzcyWmZiaHVLcldyVnNBQUFBQUFBQUFBQUFBQUFBQUFBQUFBQUFBQUFBQUFBQUFBQUFBQUlENkNjWElWRU1FcWNlc0FBQUFBRWxGVGtTdVFtQ0MiLAoJIlRoZW1lIiA6ICIiLAoJIlR5cGUiIDogImZsb3ciLAoJIlVzZXJJZCIgOiAiMTMyMTc2MjQ3MiIsCgkiVmVyc2lvbiIgOiAiMjgiCn0K"/>
    </extobj>
    <extobj name="ECB019B1-382A-4266-B25C-5B523AA43C14-2">
      <extobjdata type="ECB019B1-382A-4266-B25C-5B523AA43C14" data="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78</Pages>
  <Words>25397</Words>
  <Characters>27397</Characters>
  <Lines>13</Lines>
  <Paragraphs>3</Paragraphs>
  <TotalTime>27</TotalTime>
  <ScaleCrop>false</ScaleCrop>
  <LinksUpToDate>false</LinksUpToDate>
  <CharactersWithSpaces>27509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珠泪</cp:lastModifiedBy>
  <cp:lastPrinted>2020-12-29T02:43:00Z</cp:lastPrinted>
  <dcterms:modified xsi:type="dcterms:W3CDTF">2025-11-18T14:19:19Z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5160A462BE914B8C9E6688D4B30E6A49_13</vt:lpwstr>
  </property>
  <property fmtid="{D5CDD505-2E9C-101B-9397-08002B2CF9AE}" pid="4" name="KSOTemplateDocerSaveRecord">
    <vt:lpwstr>eyJoZGlkIjoiMzEwNTM5NzYwMDRjMzkwZTVkZjY2ODkwMGIxNGU0OTUiLCJ1c2VySWQiOiIxMzIxNzYyNDcyIn0=</vt:lpwstr>
  </property>
</Properties>
</file>